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8ED06" w14:textId="2A3BF605" w:rsidR="468FC25F" w:rsidRPr="00AB06F3" w:rsidRDefault="444BA110" w:rsidP="00C25586">
      <w:pPr>
        <w:spacing w:after="0" w:line="276" w:lineRule="auto"/>
        <w:ind w:left="4590" w:hanging="2832"/>
        <w:jc w:val="center"/>
        <w:rPr>
          <w:rFonts w:ascii="Verdana" w:hAnsi="Verdana" w:cs="Arial"/>
        </w:rPr>
      </w:pPr>
      <w:r w:rsidRPr="00AB06F3">
        <w:rPr>
          <w:rFonts w:ascii="Verdana" w:hAnsi="Verdana" w:cs="Arial"/>
          <w:noProof/>
        </w:rPr>
        <w:drawing>
          <wp:anchor distT="0" distB="0" distL="114300" distR="114300" simplePos="0" relativeHeight="251658240" behindDoc="1" locked="0" layoutInCell="1" allowOverlap="1" wp14:anchorId="34122DBE" wp14:editId="2C54C5A0">
            <wp:simplePos x="0" y="0"/>
            <wp:positionH relativeFrom="margin">
              <wp:posOffset>1631950</wp:posOffset>
            </wp:positionH>
            <wp:positionV relativeFrom="paragraph">
              <wp:posOffset>639</wp:posOffset>
            </wp:positionV>
            <wp:extent cx="2157501" cy="1686873"/>
            <wp:effectExtent l="0" t="0" r="0" b="8890"/>
            <wp:wrapNone/>
            <wp:docPr id="2114013594" name="Picture 2114013594" descr="Escudo de Colombia&#10;Agencia para la Reincorporación y la Normalización - 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3594" name="Picture 2114013594" descr="Escudo de Colombia&#10;Agencia para la Reincorporación y la Normalización - ARN"/>
                    <pic:cNvPicPr/>
                  </pic:nvPicPr>
                  <pic:blipFill>
                    <a:blip r:embed="rId11">
                      <a:extLst>
                        <a:ext uri="{28A0092B-C50C-407E-A947-70E740481C1C}">
                          <a14:useLocalDpi xmlns:a14="http://schemas.microsoft.com/office/drawing/2010/main" val="0"/>
                        </a:ext>
                      </a:extLst>
                    </a:blip>
                    <a:srcRect r="8771"/>
                    <a:stretch>
                      <a:fillRect/>
                    </a:stretch>
                  </pic:blipFill>
                  <pic:spPr>
                    <a:xfrm>
                      <a:off x="0" y="0"/>
                      <a:ext cx="2157501" cy="1686873"/>
                    </a:xfrm>
                    <a:prstGeom prst="rect">
                      <a:avLst/>
                    </a:prstGeom>
                  </pic:spPr>
                </pic:pic>
              </a:graphicData>
            </a:graphic>
          </wp:anchor>
        </w:drawing>
      </w:r>
    </w:p>
    <w:p w14:paraId="76F5C6A9" w14:textId="77777777" w:rsidR="008D44EF" w:rsidRPr="00AB06F3" w:rsidRDefault="008D44EF" w:rsidP="00C25586">
      <w:pPr>
        <w:spacing w:after="0" w:line="276" w:lineRule="auto"/>
        <w:jc w:val="both"/>
        <w:rPr>
          <w:rFonts w:ascii="Verdana" w:hAnsi="Verdana" w:cs="Arial"/>
          <w:bCs/>
          <w:sz w:val="44"/>
          <w:szCs w:val="44"/>
        </w:rPr>
      </w:pPr>
    </w:p>
    <w:p w14:paraId="3D6E51FC" w14:textId="77777777" w:rsidR="008D44EF" w:rsidRPr="00AB06F3" w:rsidRDefault="008D44EF" w:rsidP="00C25586">
      <w:pPr>
        <w:spacing w:after="0" w:line="276" w:lineRule="auto"/>
        <w:jc w:val="center"/>
        <w:rPr>
          <w:rFonts w:ascii="Verdana" w:hAnsi="Verdana" w:cs="Arial"/>
          <w:bCs/>
          <w:sz w:val="44"/>
          <w:szCs w:val="44"/>
        </w:rPr>
      </w:pPr>
    </w:p>
    <w:p w14:paraId="19C785B4" w14:textId="77777777" w:rsidR="008D44EF" w:rsidRPr="00AB06F3" w:rsidRDefault="008D44EF" w:rsidP="00C25586">
      <w:pPr>
        <w:spacing w:after="0" w:line="276" w:lineRule="auto"/>
        <w:jc w:val="center"/>
        <w:rPr>
          <w:rFonts w:ascii="Verdana" w:hAnsi="Verdana" w:cs="Arial"/>
          <w:bCs/>
          <w:sz w:val="44"/>
          <w:szCs w:val="44"/>
        </w:rPr>
      </w:pPr>
    </w:p>
    <w:p w14:paraId="23AFCB89" w14:textId="77777777" w:rsidR="008D44EF" w:rsidRPr="00AB06F3" w:rsidRDefault="008D44EF" w:rsidP="00C25586">
      <w:pPr>
        <w:spacing w:after="0" w:line="276" w:lineRule="auto"/>
        <w:jc w:val="center"/>
        <w:rPr>
          <w:rFonts w:ascii="Verdana" w:hAnsi="Verdana" w:cs="Arial"/>
          <w:sz w:val="44"/>
          <w:szCs w:val="44"/>
        </w:rPr>
      </w:pPr>
    </w:p>
    <w:p w14:paraId="102B8BD4" w14:textId="2D55DF81" w:rsidR="48836A97" w:rsidRPr="00AB06F3" w:rsidRDefault="48836A97" w:rsidP="00C25586">
      <w:pPr>
        <w:spacing w:after="0" w:line="276" w:lineRule="auto"/>
        <w:jc w:val="center"/>
        <w:rPr>
          <w:rFonts w:ascii="Verdana" w:hAnsi="Verdana" w:cs="Arial"/>
          <w:sz w:val="44"/>
          <w:szCs w:val="44"/>
        </w:rPr>
      </w:pPr>
    </w:p>
    <w:p w14:paraId="69D1DD1D" w14:textId="6F55B25D" w:rsidR="001E076A" w:rsidRPr="00AB06F3" w:rsidRDefault="00F038DE" w:rsidP="00C25586">
      <w:pPr>
        <w:spacing w:after="0" w:line="276" w:lineRule="auto"/>
        <w:jc w:val="center"/>
        <w:rPr>
          <w:rFonts w:ascii="Verdana" w:hAnsi="Verdana" w:cs="Arial"/>
          <w:color w:val="806000" w:themeColor="accent4" w:themeShade="80"/>
          <w:sz w:val="44"/>
          <w:szCs w:val="44"/>
        </w:rPr>
      </w:pPr>
      <w:r w:rsidRPr="00AB06F3">
        <w:rPr>
          <w:rFonts w:ascii="Verdana" w:hAnsi="Verdana" w:cs="Arial"/>
          <w:color w:val="806000" w:themeColor="accent4" w:themeShade="80"/>
          <w:sz w:val="44"/>
          <w:szCs w:val="44"/>
        </w:rPr>
        <w:t xml:space="preserve">Informe de Rendición de Cuentas Construcción de Paz </w:t>
      </w:r>
    </w:p>
    <w:p w14:paraId="6CE9961B" w14:textId="77777777" w:rsidR="00F038DE" w:rsidRDefault="00F038DE" w:rsidP="00C25586">
      <w:pPr>
        <w:spacing w:after="0" w:line="276" w:lineRule="auto"/>
        <w:jc w:val="center"/>
        <w:rPr>
          <w:rFonts w:ascii="Verdana" w:hAnsi="Verdana" w:cs="Arial"/>
          <w:color w:val="806000" w:themeColor="accent4" w:themeShade="80"/>
          <w:sz w:val="44"/>
          <w:szCs w:val="44"/>
        </w:rPr>
      </w:pPr>
    </w:p>
    <w:p w14:paraId="4A1B4490" w14:textId="77777777" w:rsidR="00B42758" w:rsidRDefault="00B42758" w:rsidP="00C25586">
      <w:pPr>
        <w:spacing w:after="0" w:line="276" w:lineRule="auto"/>
        <w:jc w:val="center"/>
        <w:rPr>
          <w:rFonts w:ascii="Verdana" w:hAnsi="Verdana" w:cs="Arial"/>
          <w:color w:val="806000" w:themeColor="accent4" w:themeShade="80"/>
          <w:sz w:val="44"/>
          <w:szCs w:val="44"/>
        </w:rPr>
      </w:pPr>
    </w:p>
    <w:p w14:paraId="20E973CE" w14:textId="77777777" w:rsidR="00B42758" w:rsidRPr="00AB06F3" w:rsidRDefault="00B42758" w:rsidP="00C25586">
      <w:pPr>
        <w:spacing w:after="0" w:line="276" w:lineRule="auto"/>
        <w:jc w:val="center"/>
        <w:rPr>
          <w:rFonts w:ascii="Verdana" w:hAnsi="Verdana" w:cs="Arial"/>
          <w:color w:val="806000" w:themeColor="accent4" w:themeShade="80"/>
          <w:sz w:val="44"/>
          <w:szCs w:val="44"/>
        </w:rPr>
      </w:pPr>
    </w:p>
    <w:p w14:paraId="29BD48F2" w14:textId="61286BAA" w:rsidR="001E076A" w:rsidRPr="00AB06F3" w:rsidRDefault="00FF5173" w:rsidP="00C25586">
      <w:pPr>
        <w:spacing w:after="0" w:line="276" w:lineRule="auto"/>
        <w:jc w:val="center"/>
        <w:rPr>
          <w:rFonts w:ascii="Verdana" w:hAnsi="Verdana" w:cs="Arial"/>
          <w:color w:val="806000" w:themeColor="accent4" w:themeShade="80"/>
          <w:sz w:val="44"/>
          <w:szCs w:val="44"/>
        </w:rPr>
      </w:pPr>
      <w:r>
        <w:rPr>
          <w:rFonts w:ascii="Verdana" w:hAnsi="Verdana" w:cs="Arial"/>
          <w:color w:val="806000" w:themeColor="accent4" w:themeShade="80"/>
          <w:sz w:val="44"/>
          <w:szCs w:val="44"/>
        </w:rPr>
        <w:t>Agencia para la Reincorporación y la Normalización</w:t>
      </w:r>
    </w:p>
    <w:p w14:paraId="65E9BD6A" w14:textId="77777777" w:rsidR="006A0CD4" w:rsidRPr="00AB06F3" w:rsidRDefault="006A0CD4" w:rsidP="00C25586">
      <w:pPr>
        <w:spacing w:after="0" w:line="276" w:lineRule="auto"/>
        <w:jc w:val="both"/>
        <w:rPr>
          <w:rFonts w:ascii="Verdana" w:hAnsi="Verdana" w:cs="Arial"/>
        </w:rPr>
      </w:pPr>
    </w:p>
    <w:p w14:paraId="531468B8" w14:textId="77777777" w:rsidR="006A0CD4" w:rsidRDefault="006A0CD4" w:rsidP="00C25586">
      <w:pPr>
        <w:spacing w:after="0" w:line="276" w:lineRule="auto"/>
        <w:jc w:val="both"/>
        <w:rPr>
          <w:rFonts w:ascii="Verdana" w:hAnsi="Verdana" w:cs="Arial"/>
        </w:rPr>
      </w:pPr>
    </w:p>
    <w:p w14:paraId="73A23781" w14:textId="77777777" w:rsidR="00B42758" w:rsidRDefault="00B42758" w:rsidP="00C25586">
      <w:pPr>
        <w:spacing w:after="0" w:line="276" w:lineRule="auto"/>
        <w:jc w:val="both"/>
        <w:rPr>
          <w:rFonts w:ascii="Verdana" w:hAnsi="Verdana" w:cs="Arial"/>
        </w:rPr>
      </w:pPr>
    </w:p>
    <w:p w14:paraId="02A7B6F8" w14:textId="77777777" w:rsidR="006A0CD4" w:rsidRPr="00AB06F3" w:rsidRDefault="006A0CD4" w:rsidP="00C25586">
      <w:pPr>
        <w:spacing w:after="0" w:line="276" w:lineRule="auto"/>
        <w:jc w:val="both"/>
        <w:rPr>
          <w:rFonts w:ascii="Verdana" w:hAnsi="Verdana" w:cs="Arial"/>
        </w:rPr>
      </w:pPr>
    </w:p>
    <w:p w14:paraId="7722E730" w14:textId="2BED8157" w:rsidR="006A0CD4" w:rsidRPr="00AB06F3" w:rsidRDefault="003B6C19" w:rsidP="00C25586">
      <w:pPr>
        <w:spacing w:after="0" w:line="276" w:lineRule="auto"/>
        <w:jc w:val="center"/>
        <w:rPr>
          <w:rFonts w:ascii="Verdana" w:hAnsi="Verdana" w:cs="Arial"/>
          <w:color w:val="806000" w:themeColor="accent4" w:themeShade="80"/>
          <w:sz w:val="28"/>
          <w:szCs w:val="28"/>
        </w:rPr>
      </w:pPr>
      <w:r w:rsidRPr="00AB06F3">
        <w:rPr>
          <w:rFonts w:ascii="Verdana" w:hAnsi="Verdana" w:cs="Arial"/>
          <w:color w:val="806000" w:themeColor="accent4" w:themeShade="80"/>
          <w:sz w:val="28"/>
          <w:szCs w:val="28"/>
        </w:rPr>
        <w:t>1 de e</w:t>
      </w:r>
      <w:r w:rsidR="006A0CD4" w:rsidRPr="00AB06F3">
        <w:rPr>
          <w:rFonts w:ascii="Verdana" w:hAnsi="Verdana" w:cs="Arial"/>
          <w:color w:val="806000" w:themeColor="accent4" w:themeShade="80"/>
          <w:sz w:val="28"/>
          <w:szCs w:val="28"/>
        </w:rPr>
        <w:t xml:space="preserve">nero </w:t>
      </w:r>
      <w:r w:rsidRPr="00AB06F3">
        <w:rPr>
          <w:rFonts w:ascii="Verdana" w:hAnsi="Verdana" w:cs="Arial"/>
          <w:color w:val="806000" w:themeColor="accent4" w:themeShade="80"/>
          <w:sz w:val="28"/>
          <w:szCs w:val="28"/>
        </w:rPr>
        <w:t>al 31</w:t>
      </w:r>
      <w:r w:rsidR="006A0CD4" w:rsidRPr="00AB06F3">
        <w:rPr>
          <w:rFonts w:ascii="Verdana" w:hAnsi="Verdana" w:cs="Arial"/>
          <w:color w:val="806000" w:themeColor="accent4" w:themeShade="80"/>
          <w:sz w:val="28"/>
          <w:szCs w:val="28"/>
        </w:rPr>
        <w:t xml:space="preserve"> </w:t>
      </w:r>
      <w:r w:rsidR="005B4E0D">
        <w:rPr>
          <w:rFonts w:ascii="Verdana" w:hAnsi="Verdana" w:cs="Arial"/>
          <w:color w:val="806000" w:themeColor="accent4" w:themeShade="80"/>
          <w:sz w:val="28"/>
          <w:szCs w:val="28"/>
        </w:rPr>
        <w:t xml:space="preserve">de </w:t>
      </w:r>
      <w:r w:rsidR="006A0CD4" w:rsidRPr="00AB06F3">
        <w:rPr>
          <w:rFonts w:ascii="Verdana" w:hAnsi="Verdana" w:cs="Arial"/>
          <w:color w:val="806000" w:themeColor="accent4" w:themeShade="80"/>
          <w:sz w:val="28"/>
          <w:szCs w:val="28"/>
        </w:rPr>
        <w:t>diciembre de 202</w:t>
      </w:r>
      <w:r w:rsidR="00FA45AE">
        <w:rPr>
          <w:rFonts w:ascii="Verdana" w:hAnsi="Verdana" w:cs="Arial"/>
          <w:color w:val="806000" w:themeColor="accent4" w:themeShade="80"/>
          <w:sz w:val="28"/>
          <w:szCs w:val="28"/>
        </w:rPr>
        <w:t>5</w:t>
      </w:r>
    </w:p>
    <w:p w14:paraId="03F6798C" w14:textId="737E38DF" w:rsidR="73939DD2" w:rsidRPr="00AB06F3" w:rsidRDefault="73939DD2"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1AC490BA" w14:textId="66A5394D" w:rsidR="48836A97" w:rsidRDefault="48836A97"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10A52FF7" w14:textId="77777777" w:rsidR="00B42758"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73150C09" w14:textId="77777777" w:rsidR="00B42758"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69555BA1" w14:textId="77777777" w:rsidR="00B42758"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17D98800" w14:textId="77777777" w:rsidR="00B42758"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1F7BA6B9" w14:textId="77777777" w:rsidR="00B42758" w:rsidRPr="00AB06F3" w:rsidRDefault="00B42758" w:rsidP="00C25586">
      <w:pPr>
        <w:shd w:val="clear" w:color="auto" w:fill="FFFFFF" w:themeFill="background1"/>
        <w:spacing w:after="0" w:line="276" w:lineRule="auto"/>
        <w:jc w:val="center"/>
        <w:rPr>
          <w:rFonts w:ascii="Verdana" w:hAnsi="Verdana" w:cs="Arial"/>
          <w:color w:val="806000" w:themeColor="accent4" w:themeShade="80"/>
          <w:sz w:val="28"/>
          <w:szCs w:val="28"/>
        </w:rPr>
      </w:pPr>
    </w:p>
    <w:p w14:paraId="774704D8" w14:textId="70AC5B9C" w:rsidR="00F038DE" w:rsidRPr="00AB06F3" w:rsidRDefault="4772DC43" w:rsidP="00C25586">
      <w:pPr>
        <w:shd w:val="clear" w:color="auto" w:fill="FFFFFF" w:themeFill="background1"/>
        <w:spacing w:after="0" w:line="276" w:lineRule="auto"/>
        <w:jc w:val="center"/>
        <w:rPr>
          <w:rFonts w:ascii="Verdana" w:hAnsi="Verdana" w:cs="Arial"/>
          <w:color w:val="806000" w:themeColor="accent4" w:themeShade="80"/>
          <w:sz w:val="28"/>
          <w:szCs w:val="28"/>
        </w:rPr>
      </w:pPr>
      <w:r w:rsidRPr="00AB06F3">
        <w:rPr>
          <w:rFonts w:ascii="Verdana" w:hAnsi="Verdana" w:cs="Arial"/>
          <w:color w:val="806000" w:themeColor="accent4" w:themeShade="80"/>
          <w:sz w:val="28"/>
          <w:szCs w:val="28"/>
        </w:rPr>
        <w:t>Marzo</w:t>
      </w:r>
      <w:r w:rsidR="6EF85A81" w:rsidRPr="00AB06F3">
        <w:rPr>
          <w:rFonts w:ascii="Verdana" w:hAnsi="Verdana" w:cs="Arial"/>
          <w:color w:val="806000" w:themeColor="accent4" w:themeShade="80"/>
          <w:sz w:val="28"/>
          <w:szCs w:val="28"/>
        </w:rPr>
        <w:t xml:space="preserve"> 202</w:t>
      </w:r>
      <w:r w:rsidR="00FA45AE">
        <w:rPr>
          <w:rFonts w:ascii="Verdana" w:hAnsi="Verdana" w:cs="Arial"/>
          <w:color w:val="806000" w:themeColor="accent4" w:themeShade="80"/>
          <w:sz w:val="28"/>
          <w:szCs w:val="28"/>
        </w:rPr>
        <w:t>6</w:t>
      </w:r>
    </w:p>
    <w:p w14:paraId="457197A5" w14:textId="77777777" w:rsidR="00F038DE" w:rsidRPr="00AB06F3" w:rsidRDefault="00F038DE" w:rsidP="00C25586">
      <w:pPr>
        <w:spacing w:after="0" w:line="276" w:lineRule="auto"/>
        <w:jc w:val="center"/>
        <w:rPr>
          <w:rFonts w:ascii="Verdana" w:hAnsi="Verdana" w:cs="Arial"/>
          <w:color w:val="806000" w:themeColor="accent4" w:themeShade="80"/>
          <w:sz w:val="28"/>
          <w:szCs w:val="28"/>
        </w:rPr>
      </w:pPr>
    </w:p>
    <w:p w14:paraId="41323DEE" w14:textId="65B7CEB0" w:rsidR="00135FA5" w:rsidRPr="00AB06F3" w:rsidRDefault="00B42758" w:rsidP="00C25586">
      <w:pPr>
        <w:spacing w:line="276" w:lineRule="auto"/>
        <w:jc w:val="center"/>
        <w:rPr>
          <w:rFonts w:ascii="Verdana" w:hAnsi="Verdana" w:cs="Arial"/>
          <w:color w:val="806000" w:themeColor="accent4" w:themeShade="80"/>
          <w:sz w:val="28"/>
          <w:szCs w:val="28"/>
        </w:rPr>
      </w:pPr>
      <w:r>
        <w:rPr>
          <w:rFonts w:ascii="Verdana" w:hAnsi="Verdana" w:cs="Arial"/>
          <w:color w:val="806000" w:themeColor="accent4" w:themeShade="80"/>
          <w:sz w:val="28"/>
          <w:szCs w:val="28"/>
        </w:rPr>
        <w:br w:type="page"/>
      </w:r>
      <w:r w:rsidR="008D44EF" w:rsidRPr="00AB06F3">
        <w:rPr>
          <w:rFonts w:ascii="Verdana" w:hAnsi="Verdana" w:cs="Arial"/>
          <w:color w:val="806000" w:themeColor="accent4" w:themeShade="80"/>
          <w:sz w:val="28"/>
          <w:szCs w:val="28"/>
        </w:rPr>
        <w:lastRenderedPageBreak/>
        <w:t>Acuerdo Final para la Terminación del Conflicto y la Construcción de una Paz Estable y Duradera</w:t>
      </w:r>
      <w:r w:rsidR="008D44EF" w:rsidRPr="00AB06F3">
        <w:rPr>
          <w:rFonts w:ascii="Arial" w:hAnsi="Arial" w:cs="Arial"/>
          <w:color w:val="806000" w:themeColor="accent4" w:themeShade="80"/>
          <w:sz w:val="28"/>
          <w:szCs w:val="28"/>
        </w:rPr>
        <w:t>​</w:t>
      </w:r>
    </w:p>
    <w:p w14:paraId="749A052B" w14:textId="77777777" w:rsidR="008D44EF" w:rsidRPr="00AB06F3" w:rsidRDefault="008D44EF" w:rsidP="00C25586">
      <w:pPr>
        <w:spacing w:after="0" w:line="276" w:lineRule="auto"/>
        <w:jc w:val="both"/>
        <w:rPr>
          <w:rFonts w:ascii="Verdana" w:hAnsi="Verdana" w:cs="Arial"/>
          <w:lang w:val="es-ES"/>
        </w:rPr>
      </w:pPr>
    </w:p>
    <w:sdt>
      <w:sdtPr>
        <w:rPr>
          <w:rFonts w:ascii="Verdana" w:hAnsi="Verdana" w:cs="Arial"/>
          <w:bCs/>
          <w:noProof/>
          <w:color w:val="000000" w:themeColor="text1"/>
        </w:rPr>
        <w:id w:val="812185491"/>
        <w:docPartObj>
          <w:docPartGallery w:val="Table of Contents"/>
          <w:docPartUnique/>
        </w:docPartObj>
      </w:sdtPr>
      <w:sdtContent>
        <w:p w14:paraId="44E77486" w14:textId="4C5CFD6F" w:rsidR="00257B44" w:rsidRDefault="38BAE06E" w:rsidP="00C25586">
          <w:pPr>
            <w:spacing w:after="0" w:line="276" w:lineRule="auto"/>
            <w:jc w:val="both"/>
            <w:rPr>
              <w:rFonts w:ascii="Verdana" w:hAnsi="Verdana" w:cs="Arial"/>
              <w:color w:val="806000" w:themeColor="accent4" w:themeShade="80"/>
              <w:sz w:val="40"/>
              <w:szCs w:val="40"/>
              <w:lang w:val="es-ES"/>
            </w:rPr>
          </w:pPr>
          <w:r w:rsidRPr="00AB06F3">
            <w:rPr>
              <w:rFonts w:ascii="Verdana" w:hAnsi="Verdana" w:cs="Arial"/>
              <w:color w:val="806000" w:themeColor="accent4" w:themeShade="80"/>
              <w:sz w:val="40"/>
              <w:szCs w:val="40"/>
              <w:lang w:val="es-ES"/>
            </w:rPr>
            <w:t>Contenido</w:t>
          </w:r>
        </w:p>
        <w:p w14:paraId="57C982B7" w14:textId="77777777" w:rsidR="003115B6" w:rsidRPr="00AB06F3" w:rsidRDefault="003115B6" w:rsidP="00C25586">
          <w:pPr>
            <w:spacing w:after="0" w:line="276" w:lineRule="auto"/>
            <w:jc w:val="both"/>
            <w:rPr>
              <w:rFonts w:ascii="Verdana" w:hAnsi="Verdana" w:cs="Arial"/>
              <w:color w:val="806000" w:themeColor="accent4" w:themeShade="80"/>
              <w:sz w:val="40"/>
              <w:szCs w:val="40"/>
              <w:lang w:val="es-ES"/>
            </w:rPr>
          </w:pPr>
        </w:p>
        <w:p w14:paraId="355EE406" w14:textId="26E1C231" w:rsidR="00ED6A16" w:rsidRDefault="00640915">
          <w:pPr>
            <w:pStyle w:val="TDC2"/>
            <w:rPr>
              <w:rFonts w:asciiTheme="minorHAnsi" w:eastAsiaTheme="minorEastAsia" w:hAnsiTheme="minorHAnsi"/>
              <w:bCs w:val="0"/>
              <w:color w:val="auto"/>
              <w:sz w:val="24"/>
              <w:szCs w:val="24"/>
              <w:lang w:eastAsia="es-CO"/>
            </w:rPr>
          </w:pPr>
          <w:r w:rsidRPr="00AB06F3">
            <w:rPr>
              <w:rFonts w:cs="Arial"/>
            </w:rPr>
            <w:fldChar w:fldCharType="begin"/>
          </w:r>
          <w:r w:rsidR="0074742E" w:rsidRPr="00AB06F3">
            <w:rPr>
              <w:rFonts w:cs="Arial"/>
            </w:rPr>
            <w:instrText>TOC \o "1-3" \z \u \h</w:instrText>
          </w:r>
          <w:r w:rsidRPr="00AB06F3">
            <w:rPr>
              <w:rFonts w:cs="Arial"/>
            </w:rPr>
            <w:fldChar w:fldCharType="separate"/>
          </w:r>
          <w:hyperlink w:anchor="_Toc225283093" w:history="1">
            <w:r w:rsidR="00ED6A16" w:rsidRPr="007D2965">
              <w:rPr>
                <w:rStyle w:val="Hipervnculo"/>
                <w:rFonts w:cs="Arial"/>
              </w:rPr>
              <w:t>1. ¿Qué hicimos en el 2025?</w:t>
            </w:r>
            <w:r w:rsidR="00ED6A16">
              <w:rPr>
                <w:webHidden/>
              </w:rPr>
              <w:tab/>
            </w:r>
            <w:r w:rsidR="00ED6A16">
              <w:rPr>
                <w:webHidden/>
              </w:rPr>
              <w:fldChar w:fldCharType="begin"/>
            </w:r>
            <w:r w:rsidR="00ED6A16">
              <w:rPr>
                <w:webHidden/>
              </w:rPr>
              <w:instrText xml:space="preserve"> PAGEREF _Toc225283093 \h </w:instrText>
            </w:r>
            <w:r w:rsidR="00ED6A16">
              <w:rPr>
                <w:webHidden/>
              </w:rPr>
            </w:r>
            <w:r w:rsidR="00ED6A16">
              <w:rPr>
                <w:webHidden/>
              </w:rPr>
              <w:fldChar w:fldCharType="separate"/>
            </w:r>
            <w:r w:rsidR="0078027F">
              <w:rPr>
                <w:webHidden/>
              </w:rPr>
              <w:t>6</w:t>
            </w:r>
            <w:r w:rsidR="00ED6A16">
              <w:rPr>
                <w:webHidden/>
              </w:rPr>
              <w:fldChar w:fldCharType="end"/>
            </w:r>
          </w:hyperlink>
        </w:p>
        <w:p w14:paraId="145E85C9" w14:textId="200E7593" w:rsidR="00ED6A16" w:rsidRDefault="00ED6A16">
          <w:pPr>
            <w:pStyle w:val="TDC2"/>
            <w:rPr>
              <w:rFonts w:asciiTheme="minorHAnsi" w:eastAsiaTheme="minorEastAsia" w:hAnsiTheme="minorHAnsi"/>
              <w:bCs w:val="0"/>
              <w:color w:val="auto"/>
              <w:sz w:val="24"/>
              <w:szCs w:val="24"/>
              <w:lang w:eastAsia="es-CO"/>
            </w:rPr>
          </w:pPr>
          <w:hyperlink w:anchor="_Toc225283094" w:history="1">
            <w:r w:rsidRPr="007D2965">
              <w:rPr>
                <w:rStyle w:val="Hipervnculo"/>
                <w:rFonts w:cs="Arial"/>
              </w:rPr>
              <w:t>1.1.</w:t>
            </w:r>
            <w:r>
              <w:rPr>
                <w:rFonts w:asciiTheme="minorHAnsi" w:eastAsiaTheme="minorEastAsia" w:hAnsiTheme="minorHAnsi"/>
                <w:bCs w:val="0"/>
                <w:color w:val="auto"/>
                <w:sz w:val="24"/>
                <w:szCs w:val="24"/>
                <w:lang w:eastAsia="es-CO"/>
              </w:rPr>
              <w:tab/>
            </w:r>
            <w:r w:rsidRPr="007D2965">
              <w:rPr>
                <w:rStyle w:val="Hipervnculo"/>
                <w:rFonts w:cs="Arial"/>
              </w:rPr>
              <w:t>Avances en los compromisos del Plan Marco de Implementación</w:t>
            </w:r>
            <w:r>
              <w:rPr>
                <w:webHidden/>
              </w:rPr>
              <w:tab/>
            </w:r>
            <w:r>
              <w:rPr>
                <w:webHidden/>
              </w:rPr>
              <w:fldChar w:fldCharType="begin"/>
            </w:r>
            <w:r>
              <w:rPr>
                <w:webHidden/>
              </w:rPr>
              <w:instrText xml:space="preserve"> PAGEREF _Toc225283094 \h </w:instrText>
            </w:r>
            <w:r>
              <w:rPr>
                <w:webHidden/>
              </w:rPr>
            </w:r>
            <w:r>
              <w:rPr>
                <w:webHidden/>
              </w:rPr>
              <w:fldChar w:fldCharType="separate"/>
            </w:r>
            <w:r w:rsidR="0078027F">
              <w:rPr>
                <w:webHidden/>
              </w:rPr>
              <w:t>6</w:t>
            </w:r>
            <w:r>
              <w:rPr>
                <w:webHidden/>
              </w:rPr>
              <w:fldChar w:fldCharType="end"/>
            </w:r>
          </w:hyperlink>
        </w:p>
        <w:p w14:paraId="093F2E10" w14:textId="4430D53C" w:rsidR="00ED6A16" w:rsidRDefault="00ED6A16">
          <w:pPr>
            <w:pStyle w:val="TDC2"/>
            <w:rPr>
              <w:rFonts w:asciiTheme="minorHAnsi" w:eastAsiaTheme="minorEastAsia" w:hAnsiTheme="minorHAnsi"/>
              <w:bCs w:val="0"/>
              <w:color w:val="auto"/>
              <w:sz w:val="24"/>
              <w:szCs w:val="24"/>
              <w:lang w:eastAsia="es-CO"/>
            </w:rPr>
          </w:pPr>
          <w:hyperlink w:anchor="_Toc225283095" w:history="1">
            <w:r w:rsidRPr="007D2965">
              <w:rPr>
                <w:rStyle w:val="Hipervnculo"/>
                <w:rFonts w:cs="Arial"/>
              </w:rPr>
              <w:t>Punto 3. Fin del conflicto</w:t>
            </w:r>
            <w:r>
              <w:rPr>
                <w:webHidden/>
              </w:rPr>
              <w:tab/>
            </w:r>
            <w:r>
              <w:rPr>
                <w:webHidden/>
              </w:rPr>
              <w:fldChar w:fldCharType="begin"/>
            </w:r>
            <w:r>
              <w:rPr>
                <w:webHidden/>
              </w:rPr>
              <w:instrText xml:space="preserve"> PAGEREF _Toc225283095 \h </w:instrText>
            </w:r>
            <w:r>
              <w:rPr>
                <w:webHidden/>
              </w:rPr>
            </w:r>
            <w:r>
              <w:rPr>
                <w:webHidden/>
              </w:rPr>
              <w:fldChar w:fldCharType="separate"/>
            </w:r>
            <w:r w:rsidR="0078027F">
              <w:rPr>
                <w:webHidden/>
              </w:rPr>
              <w:t>7</w:t>
            </w:r>
            <w:r>
              <w:rPr>
                <w:webHidden/>
              </w:rPr>
              <w:fldChar w:fldCharType="end"/>
            </w:r>
          </w:hyperlink>
        </w:p>
        <w:p w14:paraId="57D6DE93" w14:textId="31436626" w:rsidR="00ED6A16" w:rsidRDefault="00ED6A16">
          <w:pPr>
            <w:pStyle w:val="TDC2"/>
            <w:rPr>
              <w:rFonts w:asciiTheme="minorHAnsi" w:eastAsiaTheme="minorEastAsia" w:hAnsiTheme="minorHAnsi"/>
              <w:bCs w:val="0"/>
              <w:color w:val="auto"/>
              <w:sz w:val="24"/>
              <w:szCs w:val="24"/>
              <w:lang w:eastAsia="es-CO"/>
            </w:rPr>
          </w:pPr>
          <w:hyperlink w:anchor="_Toc225283096" w:history="1">
            <w:r w:rsidRPr="007D2965">
              <w:rPr>
                <w:rStyle w:val="Hipervnculo"/>
                <w:rFonts w:cs="Arial"/>
              </w:rPr>
              <w:t>Punto 6. Implementación, verificación y refrendación</w:t>
            </w:r>
            <w:r>
              <w:rPr>
                <w:webHidden/>
              </w:rPr>
              <w:tab/>
            </w:r>
            <w:r>
              <w:rPr>
                <w:webHidden/>
              </w:rPr>
              <w:fldChar w:fldCharType="begin"/>
            </w:r>
            <w:r>
              <w:rPr>
                <w:webHidden/>
              </w:rPr>
              <w:instrText xml:space="preserve"> PAGEREF _Toc225283096 \h </w:instrText>
            </w:r>
            <w:r>
              <w:rPr>
                <w:webHidden/>
              </w:rPr>
            </w:r>
            <w:r>
              <w:rPr>
                <w:webHidden/>
              </w:rPr>
              <w:fldChar w:fldCharType="separate"/>
            </w:r>
            <w:r w:rsidR="0078027F">
              <w:rPr>
                <w:webHidden/>
              </w:rPr>
              <w:t>7</w:t>
            </w:r>
            <w:r>
              <w:rPr>
                <w:webHidden/>
              </w:rPr>
              <w:fldChar w:fldCharType="end"/>
            </w:r>
          </w:hyperlink>
        </w:p>
        <w:p w14:paraId="6925812C" w14:textId="39CEB6DC" w:rsidR="00ED6A16" w:rsidRDefault="00ED6A16">
          <w:pPr>
            <w:pStyle w:val="TDC2"/>
            <w:rPr>
              <w:rFonts w:asciiTheme="minorHAnsi" w:eastAsiaTheme="minorEastAsia" w:hAnsiTheme="minorHAnsi"/>
              <w:bCs w:val="0"/>
              <w:color w:val="auto"/>
              <w:sz w:val="24"/>
              <w:szCs w:val="24"/>
              <w:lang w:eastAsia="es-CO"/>
            </w:rPr>
          </w:pPr>
          <w:hyperlink w:anchor="_Toc225283097" w:history="1">
            <w:r w:rsidRPr="007D2965">
              <w:rPr>
                <w:rStyle w:val="Hipervnculo"/>
                <w:rFonts w:cs="Arial"/>
              </w:rPr>
              <w:t>1.2.</w:t>
            </w:r>
            <w:r>
              <w:rPr>
                <w:rFonts w:asciiTheme="minorHAnsi" w:eastAsiaTheme="minorEastAsia" w:hAnsiTheme="minorHAnsi"/>
                <w:bCs w:val="0"/>
                <w:color w:val="auto"/>
                <w:sz w:val="24"/>
                <w:szCs w:val="24"/>
                <w:lang w:eastAsia="es-CO"/>
              </w:rPr>
              <w:tab/>
            </w:r>
            <w:r w:rsidRPr="007D2965">
              <w:rPr>
                <w:rStyle w:val="Hipervnculo"/>
                <w:rFonts w:cs="Arial"/>
              </w:rPr>
              <w:t>Avances en acciones para la construcción de Paz</w:t>
            </w:r>
            <w:r>
              <w:rPr>
                <w:webHidden/>
              </w:rPr>
              <w:tab/>
            </w:r>
            <w:r>
              <w:rPr>
                <w:webHidden/>
              </w:rPr>
              <w:fldChar w:fldCharType="begin"/>
            </w:r>
            <w:r>
              <w:rPr>
                <w:webHidden/>
              </w:rPr>
              <w:instrText xml:space="preserve"> PAGEREF _Toc225283097 \h </w:instrText>
            </w:r>
            <w:r>
              <w:rPr>
                <w:webHidden/>
              </w:rPr>
            </w:r>
            <w:r>
              <w:rPr>
                <w:webHidden/>
              </w:rPr>
              <w:fldChar w:fldCharType="separate"/>
            </w:r>
            <w:r w:rsidR="0078027F">
              <w:rPr>
                <w:webHidden/>
              </w:rPr>
              <w:t>79</w:t>
            </w:r>
            <w:r>
              <w:rPr>
                <w:webHidden/>
              </w:rPr>
              <w:fldChar w:fldCharType="end"/>
            </w:r>
          </w:hyperlink>
        </w:p>
        <w:p w14:paraId="5ED951AB" w14:textId="0E6C57F4" w:rsidR="00ED6A16" w:rsidRDefault="00ED6A16">
          <w:pPr>
            <w:pStyle w:val="TDC2"/>
            <w:rPr>
              <w:rFonts w:asciiTheme="minorHAnsi" w:eastAsiaTheme="minorEastAsia" w:hAnsiTheme="minorHAnsi"/>
              <w:bCs w:val="0"/>
              <w:color w:val="auto"/>
              <w:sz w:val="24"/>
              <w:szCs w:val="24"/>
              <w:lang w:eastAsia="es-CO"/>
            </w:rPr>
          </w:pPr>
          <w:hyperlink w:anchor="_Toc225283098" w:history="1">
            <w:r w:rsidRPr="007D2965">
              <w:rPr>
                <w:rStyle w:val="Hipervnculo"/>
                <w:rFonts w:eastAsia="Verdana" w:cs="Arial"/>
              </w:rPr>
              <w:t>2. Participación ciudadana, control social</w:t>
            </w:r>
            <w:r>
              <w:rPr>
                <w:webHidden/>
              </w:rPr>
              <w:tab/>
            </w:r>
            <w:r>
              <w:rPr>
                <w:webHidden/>
              </w:rPr>
              <w:fldChar w:fldCharType="begin"/>
            </w:r>
            <w:r>
              <w:rPr>
                <w:webHidden/>
              </w:rPr>
              <w:instrText xml:space="preserve"> PAGEREF _Toc225283098 \h </w:instrText>
            </w:r>
            <w:r>
              <w:rPr>
                <w:webHidden/>
              </w:rPr>
            </w:r>
            <w:r>
              <w:rPr>
                <w:webHidden/>
              </w:rPr>
              <w:fldChar w:fldCharType="separate"/>
            </w:r>
            <w:r w:rsidR="0078027F">
              <w:rPr>
                <w:webHidden/>
              </w:rPr>
              <w:t>85</w:t>
            </w:r>
            <w:r>
              <w:rPr>
                <w:webHidden/>
              </w:rPr>
              <w:fldChar w:fldCharType="end"/>
            </w:r>
          </w:hyperlink>
        </w:p>
        <w:p w14:paraId="521F0169" w14:textId="056B674A" w:rsidR="00ED6A16" w:rsidRDefault="00ED6A16">
          <w:pPr>
            <w:pStyle w:val="TDC2"/>
            <w:rPr>
              <w:rFonts w:asciiTheme="minorHAnsi" w:eastAsiaTheme="minorEastAsia" w:hAnsiTheme="minorHAnsi"/>
              <w:bCs w:val="0"/>
              <w:color w:val="auto"/>
              <w:sz w:val="24"/>
              <w:szCs w:val="24"/>
              <w:lang w:eastAsia="es-CO"/>
            </w:rPr>
          </w:pPr>
          <w:hyperlink w:anchor="_Toc225283099" w:history="1">
            <w:r w:rsidRPr="007D2965">
              <w:rPr>
                <w:rStyle w:val="Hipervnculo"/>
                <w:rFonts w:eastAsia="Verdana" w:cs="Arial"/>
              </w:rPr>
              <w:t>2.1. Acciones de Promoción de la Participación Ciudadana</w:t>
            </w:r>
            <w:r>
              <w:rPr>
                <w:webHidden/>
              </w:rPr>
              <w:tab/>
            </w:r>
            <w:r>
              <w:rPr>
                <w:webHidden/>
              </w:rPr>
              <w:fldChar w:fldCharType="begin"/>
            </w:r>
            <w:r>
              <w:rPr>
                <w:webHidden/>
              </w:rPr>
              <w:instrText xml:space="preserve"> PAGEREF _Toc225283099 \h </w:instrText>
            </w:r>
            <w:r>
              <w:rPr>
                <w:webHidden/>
              </w:rPr>
            </w:r>
            <w:r>
              <w:rPr>
                <w:webHidden/>
              </w:rPr>
              <w:fldChar w:fldCharType="separate"/>
            </w:r>
            <w:r w:rsidR="0078027F">
              <w:rPr>
                <w:webHidden/>
              </w:rPr>
              <w:t>85</w:t>
            </w:r>
            <w:r>
              <w:rPr>
                <w:webHidden/>
              </w:rPr>
              <w:fldChar w:fldCharType="end"/>
            </w:r>
          </w:hyperlink>
        </w:p>
        <w:p w14:paraId="0A85EF64" w14:textId="5EDDAA51" w:rsidR="00ED6A16" w:rsidRDefault="00ED6A16">
          <w:pPr>
            <w:pStyle w:val="TDC2"/>
            <w:rPr>
              <w:rFonts w:asciiTheme="minorHAnsi" w:eastAsiaTheme="minorEastAsia" w:hAnsiTheme="minorHAnsi"/>
              <w:bCs w:val="0"/>
              <w:color w:val="auto"/>
              <w:sz w:val="24"/>
              <w:szCs w:val="24"/>
              <w:lang w:eastAsia="es-CO"/>
            </w:rPr>
          </w:pPr>
          <w:hyperlink w:anchor="_Toc225283100" w:history="1">
            <w:r w:rsidRPr="007D2965">
              <w:rPr>
                <w:rStyle w:val="Hipervnculo"/>
                <w:rFonts w:eastAsia="Verdana" w:cs="Arial"/>
              </w:rPr>
              <w:t>2.2. Acciones de Promoción para el Control Social para la Construcción de Paz</w:t>
            </w:r>
            <w:r>
              <w:rPr>
                <w:webHidden/>
              </w:rPr>
              <w:tab/>
            </w:r>
            <w:r>
              <w:rPr>
                <w:webHidden/>
              </w:rPr>
              <w:fldChar w:fldCharType="begin"/>
            </w:r>
            <w:r>
              <w:rPr>
                <w:webHidden/>
              </w:rPr>
              <w:instrText xml:space="preserve"> PAGEREF _Toc225283100 \h </w:instrText>
            </w:r>
            <w:r>
              <w:rPr>
                <w:webHidden/>
              </w:rPr>
            </w:r>
            <w:r>
              <w:rPr>
                <w:webHidden/>
              </w:rPr>
              <w:fldChar w:fldCharType="separate"/>
            </w:r>
            <w:r w:rsidR="0078027F">
              <w:rPr>
                <w:webHidden/>
              </w:rPr>
              <w:t>88</w:t>
            </w:r>
            <w:r>
              <w:rPr>
                <w:webHidden/>
              </w:rPr>
              <w:fldChar w:fldCharType="end"/>
            </w:r>
          </w:hyperlink>
        </w:p>
        <w:p w14:paraId="4F3D856D" w14:textId="25E5B018" w:rsidR="00ED6A16" w:rsidRDefault="00ED6A16">
          <w:pPr>
            <w:pStyle w:val="TDC2"/>
            <w:rPr>
              <w:rFonts w:asciiTheme="minorHAnsi" w:eastAsiaTheme="minorEastAsia" w:hAnsiTheme="minorHAnsi"/>
              <w:bCs w:val="0"/>
              <w:color w:val="auto"/>
              <w:sz w:val="24"/>
              <w:szCs w:val="24"/>
              <w:lang w:eastAsia="es-CO"/>
            </w:rPr>
          </w:pPr>
          <w:hyperlink w:anchor="_Toc225283101" w:history="1">
            <w:r w:rsidRPr="007D2965">
              <w:rPr>
                <w:rStyle w:val="Hipervnculo"/>
                <w:rFonts w:eastAsia="Verdana" w:cs="Arial"/>
              </w:rPr>
              <w:t>2.3 Diálogos con las comunidades, ciudadanías y grupos de valor</w:t>
            </w:r>
            <w:r>
              <w:rPr>
                <w:webHidden/>
              </w:rPr>
              <w:tab/>
            </w:r>
            <w:r>
              <w:rPr>
                <w:webHidden/>
              </w:rPr>
              <w:fldChar w:fldCharType="begin"/>
            </w:r>
            <w:r>
              <w:rPr>
                <w:webHidden/>
              </w:rPr>
              <w:instrText xml:space="preserve"> PAGEREF _Toc225283101 \h </w:instrText>
            </w:r>
            <w:r>
              <w:rPr>
                <w:webHidden/>
              </w:rPr>
            </w:r>
            <w:r>
              <w:rPr>
                <w:webHidden/>
              </w:rPr>
              <w:fldChar w:fldCharType="separate"/>
            </w:r>
            <w:r w:rsidR="0078027F">
              <w:rPr>
                <w:webHidden/>
              </w:rPr>
              <w:t>100</w:t>
            </w:r>
            <w:r>
              <w:rPr>
                <w:webHidden/>
              </w:rPr>
              <w:fldChar w:fldCharType="end"/>
            </w:r>
          </w:hyperlink>
        </w:p>
        <w:p w14:paraId="6E670287" w14:textId="063485FC" w:rsidR="00640915" w:rsidRPr="00AB06F3" w:rsidRDefault="00640915" w:rsidP="00C25586">
          <w:pPr>
            <w:pStyle w:val="TDC2"/>
            <w:tabs>
              <w:tab w:val="clear" w:pos="8828"/>
              <w:tab w:val="right" w:leader="dot" w:pos="8820"/>
            </w:tabs>
            <w:spacing w:after="0" w:line="276" w:lineRule="auto"/>
            <w:rPr>
              <w:rStyle w:val="Hipervnculo"/>
              <w:rFonts w:cs="Arial"/>
              <w:kern w:val="0"/>
              <w:lang w:eastAsia="es-CO"/>
              <w14:ligatures w14:val="none"/>
            </w:rPr>
          </w:pPr>
          <w:r w:rsidRPr="00AB06F3">
            <w:rPr>
              <w:rFonts w:cs="Arial"/>
            </w:rPr>
            <w:fldChar w:fldCharType="end"/>
          </w:r>
        </w:p>
      </w:sdtContent>
    </w:sdt>
    <w:p w14:paraId="42AAE579" w14:textId="3FF0EF1B" w:rsidR="004C4CBF" w:rsidRPr="00AB06F3" w:rsidRDefault="004C4CBF" w:rsidP="00C25586">
      <w:pPr>
        <w:pStyle w:val="TDC2"/>
        <w:spacing w:after="0" w:line="276" w:lineRule="auto"/>
        <w:rPr>
          <w:rStyle w:val="Hipervnculo"/>
          <w:rFonts w:cs="Arial"/>
          <w:lang w:eastAsia="es-CO"/>
        </w:rPr>
      </w:pPr>
    </w:p>
    <w:p w14:paraId="7E6E1DC1" w14:textId="3889C6F5" w:rsidR="00257B44" w:rsidRPr="00AB06F3" w:rsidRDefault="00257B44" w:rsidP="00C25586">
      <w:pPr>
        <w:spacing w:after="0" w:line="276" w:lineRule="auto"/>
        <w:jc w:val="both"/>
        <w:rPr>
          <w:rFonts w:ascii="Verdana" w:hAnsi="Verdana" w:cs="Arial"/>
        </w:rPr>
      </w:pPr>
    </w:p>
    <w:p w14:paraId="5FEC975D" w14:textId="79B37D7C" w:rsidR="00C94552" w:rsidRDefault="00935C88" w:rsidP="00C25586">
      <w:pPr>
        <w:spacing w:after="0" w:line="276" w:lineRule="auto"/>
        <w:jc w:val="both"/>
        <w:rPr>
          <w:rFonts w:ascii="Verdana" w:hAnsi="Verdana" w:cs="Arial"/>
          <w:color w:val="806000" w:themeColor="accent4" w:themeShade="80"/>
          <w:sz w:val="40"/>
          <w:szCs w:val="40"/>
          <w:lang w:val="es-ES"/>
        </w:rPr>
      </w:pPr>
      <w:r>
        <w:rPr>
          <w:rFonts w:ascii="Verdana" w:hAnsi="Verdana" w:cs="Arial"/>
          <w:color w:val="806000" w:themeColor="accent4" w:themeShade="80"/>
          <w:sz w:val="40"/>
          <w:szCs w:val="40"/>
          <w:lang w:val="es-ES"/>
        </w:rPr>
        <w:t>Listado de tablas</w:t>
      </w:r>
    </w:p>
    <w:p w14:paraId="6F549E82" w14:textId="44D6764C" w:rsidR="008D1F4C" w:rsidRDefault="00FD4488">
      <w:pPr>
        <w:pStyle w:val="Tabladeilustraciones"/>
        <w:tabs>
          <w:tab w:val="right" w:leader="dot" w:pos="8828"/>
        </w:tabs>
        <w:rPr>
          <w:rFonts w:eastAsiaTheme="minorEastAsia"/>
          <w:noProof/>
          <w:sz w:val="24"/>
          <w:szCs w:val="24"/>
          <w:lang w:eastAsia="es-CO"/>
        </w:rPr>
      </w:pPr>
      <w:r>
        <w:rPr>
          <w:rFonts w:ascii="Verdana" w:hAnsi="Verdana" w:cs="Arial"/>
          <w:color w:val="806000" w:themeColor="accent4" w:themeShade="80"/>
          <w:sz w:val="40"/>
          <w:szCs w:val="40"/>
          <w:lang w:val="es-ES"/>
        </w:rPr>
        <w:fldChar w:fldCharType="begin"/>
      </w:r>
      <w:r>
        <w:rPr>
          <w:rFonts w:ascii="Verdana" w:hAnsi="Verdana" w:cs="Arial"/>
          <w:color w:val="806000" w:themeColor="accent4" w:themeShade="80"/>
          <w:sz w:val="40"/>
          <w:szCs w:val="40"/>
          <w:lang w:val="es-ES"/>
        </w:rPr>
        <w:instrText xml:space="preserve"> TOC \h \z \c "Tabla" </w:instrText>
      </w:r>
      <w:r>
        <w:rPr>
          <w:rFonts w:ascii="Verdana" w:hAnsi="Verdana" w:cs="Arial"/>
          <w:color w:val="806000" w:themeColor="accent4" w:themeShade="80"/>
          <w:sz w:val="40"/>
          <w:szCs w:val="40"/>
          <w:lang w:val="es-ES"/>
        </w:rPr>
        <w:fldChar w:fldCharType="separate"/>
      </w:r>
      <w:hyperlink w:anchor="_Toc225283113" w:history="1">
        <w:r w:rsidR="008D1F4C" w:rsidRPr="005514E8">
          <w:rPr>
            <w:rStyle w:val="Hipervnculo"/>
            <w:rFonts w:ascii="Verdana" w:eastAsia="Verdana" w:hAnsi="Verdana" w:cs="Arial"/>
            <w:noProof/>
          </w:rPr>
          <w:t>Tabla 1. Detalle de indicadores del PMI a cargo de ARN</w:t>
        </w:r>
        <w:r w:rsidR="008D1F4C">
          <w:rPr>
            <w:noProof/>
            <w:webHidden/>
          </w:rPr>
          <w:tab/>
        </w:r>
        <w:r w:rsidR="008D1F4C">
          <w:rPr>
            <w:noProof/>
            <w:webHidden/>
          </w:rPr>
          <w:fldChar w:fldCharType="begin"/>
        </w:r>
        <w:r w:rsidR="008D1F4C">
          <w:rPr>
            <w:noProof/>
            <w:webHidden/>
          </w:rPr>
          <w:instrText xml:space="preserve"> PAGEREF _Toc225283113 \h </w:instrText>
        </w:r>
        <w:r w:rsidR="008D1F4C">
          <w:rPr>
            <w:noProof/>
            <w:webHidden/>
          </w:rPr>
        </w:r>
        <w:r w:rsidR="008D1F4C">
          <w:rPr>
            <w:noProof/>
            <w:webHidden/>
          </w:rPr>
          <w:fldChar w:fldCharType="separate"/>
        </w:r>
        <w:r w:rsidR="0078027F">
          <w:rPr>
            <w:noProof/>
            <w:webHidden/>
          </w:rPr>
          <w:t>7</w:t>
        </w:r>
        <w:r w:rsidR="008D1F4C">
          <w:rPr>
            <w:noProof/>
            <w:webHidden/>
          </w:rPr>
          <w:fldChar w:fldCharType="end"/>
        </w:r>
      </w:hyperlink>
    </w:p>
    <w:p w14:paraId="1C51D43E" w14:textId="78D0ED0E" w:rsidR="008D1F4C" w:rsidRDefault="008D1F4C">
      <w:pPr>
        <w:pStyle w:val="Tabladeilustraciones"/>
        <w:tabs>
          <w:tab w:val="right" w:leader="dot" w:pos="8828"/>
        </w:tabs>
        <w:rPr>
          <w:rFonts w:eastAsiaTheme="minorEastAsia"/>
          <w:noProof/>
          <w:sz w:val="24"/>
          <w:szCs w:val="24"/>
          <w:lang w:eastAsia="es-CO"/>
        </w:rPr>
      </w:pPr>
      <w:hyperlink w:anchor="_Toc225283114" w:history="1">
        <w:r w:rsidRPr="005514E8">
          <w:rPr>
            <w:rStyle w:val="Hipervnculo"/>
            <w:rFonts w:ascii="Verdana" w:eastAsia="Verdana" w:hAnsi="Verdana" w:cs="Arial"/>
            <w:noProof/>
          </w:rPr>
          <w:t>Tabla 2. Detalle de avance en el indicador C.205.N</w:t>
        </w:r>
        <w:r>
          <w:rPr>
            <w:noProof/>
            <w:webHidden/>
          </w:rPr>
          <w:tab/>
        </w:r>
        <w:r>
          <w:rPr>
            <w:noProof/>
            <w:webHidden/>
          </w:rPr>
          <w:fldChar w:fldCharType="begin"/>
        </w:r>
        <w:r>
          <w:rPr>
            <w:noProof/>
            <w:webHidden/>
          </w:rPr>
          <w:instrText xml:space="preserve"> PAGEREF _Toc225283114 \h </w:instrText>
        </w:r>
        <w:r>
          <w:rPr>
            <w:noProof/>
            <w:webHidden/>
          </w:rPr>
        </w:r>
        <w:r>
          <w:rPr>
            <w:noProof/>
            <w:webHidden/>
          </w:rPr>
          <w:fldChar w:fldCharType="separate"/>
        </w:r>
        <w:r w:rsidR="0078027F">
          <w:rPr>
            <w:noProof/>
            <w:webHidden/>
          </w:rPr>
          <w:t>9</w:t>
        </w:r>
        <w:r>
          <w:rPr>
            <w:noProof/>
            <w:webHidden/>
          </w:rPr>
          <w:fldChar w:fldCharType="end"/>
        </w:r>
      </w:hyperlink>
    </w:p>
    <w:p w14:paraId="0A482179" w14:textId="1C7DC4EC" w:rsidR="008D1F4C" w:rsidRDefault="008D1F4C">
      <w:pPr>
        <w:pStyle w:val="Tabladeilustraciones"/>
        <w:tabs>
          <w:tab w:val="right" w:leader="dot" w:pos="8828"/>
        </w:tabs>
        <w:rPr>
          <w:rFonts w:eastAsiaTheme="minorEastAsia"/>
          <w:noProof/>
          <w:sz w:val="24"/>
          <w:szCs w:val="24"/>
          <w:lang w:eastAsia="es-CO"/>
        </w:rPr>
      </w:pPr>
      <w:hyperlink w:anchor="_Toc225283115" w:history="1">
        <w:r w:rsidRPr="005514E8">
          <w:rPr>
            <w:rStyle w:val="Hipervnculo"/>
            <w:rFonts w:ascii="Verdana" w:eastAsia="Verdana" w:hAnsi="Verdana" w:cs="Arial"/>
            <w:noProof/>
          </w:rPr>
          <w:t>Tabla 3. Detalle de las principales acciones del indicador C.205.N</w:t>
        </w:r>
        <w:r>
          <w:rPr>
            <w:noProof/>
            <w:webHidden/>
          </w:rPr>
          <w:tab/>
        </w:r>
        <w:r>
          <w:rPr>
            <w:noProof/>
            <w:webHidden/>
          </w:rPr>
          <w:fldChar w:fldCharType="begin"/>
        </w:r>
        <w:r>
          <w:rPr>
            <w:noProof/>
            <w:webHidden/>
          </w:rPr>
          <w:instrText xml:space="preserve"> PAGEREF _Toc225283115 \h </w:instrText>
        </w:r>
        <w:r>
          <w:rPr>
            <w:noProof/>
            <w:webHidden/>
          </w:rPr>
        </w:r>
        <w:r>
          <w:rPr>
            <w:noProof/>
            <w:webHidden/>
          </w:rPr>
          <w:fldChar w:fldCharType="separate"/>
        </w:r>
        <w:r w:rsidR="0078027F">
          <w:rPr>
            <w:noProof/>
            <w:webHidden/>
          </w:rPr>
          <w:t>11</w:t>
        </w:r>
        <w:r>
          <w:rPr>
            <w:noProof/>
            <w:webHidden/>
          </w:rPr>
          <w:fldChar w:fldCharType="end"/>
        </w:r>
      </w:hyperlink>
    </w:p>
    <w:p w14:paraId="0C38D55C" w14:textId="1704BD6F" w:rsidR="008D1F4C" w:rsidRDefault="008D1F4C">
      <w:pPr>
        <w:pStyle w:val="Tabladeilustraciones"/>
        <w:tabs>
          <w:tab w:val="right" w:leader="dot" w:pos="8828"/>
        </w:tabs>
        <w:rPr>
          <w:rFonts w:eastAsiaTheme="minorEastAsia"/>
          <w:noProof/>
          <w:sz w:val="24"/>
          <w:szCs w:val="24"/>
          <w:lang w:eastAsia="es-CO"/>
        </w:rPr>
      </w:pPr>
      <w:hyperlink w:anchor="_Toc225283116" w:history="1">
        <w:r w:rsidRPr="005514E8">
          <w:rPr>
            <w:rStyle w:val="Hipervnculo"/>
            <w:rFonts w:ascii="Verdana" w:eastAsia="Verdana" w:hAnsi="Verdana" w:cs="Arial"/>
            <w:noProof/>
          </w:rPr>
          <w:t>Tabla 4. Detalle de regionalización del indicador C.205.N</w:t>
        </w:r>
        <w:r>
          <w:rPr>
            <w:noProof/>
            <w:webHidden/>
          </w:rPr>
          <w:tab/>
        </w:r>
        <w:r>
          <w:rPr>
            <w:noProof/>
            <w:webHidden/>
          </w:rPr>
          <w:fldChar w:fldCharType="begin"/>
        </w:r>
        <w:r>
          <w:rPr>
            <w:noProof/>
            <w:webHidden/>
          </w:rPr>
          <w:instrText xml:space="preserve"> PAGEREF _Toc225283116 \h </w:instrText>
        </w:r>
        <w:r>
          <w:rPr>
            <w:noProof/>
            <w:webHidden/>
          </w:rPr>
        </w:r>
        <w:r>
          <w:rPr>
            <w:noProof/>
            <w:webHidden/>
          </w:rPr>
          <w:fldChar w:fldCharType="separate"/>
        </w:r>
        <w:r w:rsidR="0078027F">
          <w:rPr>
            <w:noProof/>
            <w:webHidden/>
          </w:rPr>
          <w:t>11</w:t>
        </w:r>
        <w:r>
          <w:rPr>
            <w:noProof/>
            <w:webHidden/>
          </w:rPr>
          <w:fldChar w:fldCharType="end"/>
        </w:r>
      </w:hyperlink>
    </w:p>
    <w:p w14:paraId="7B5DD8F3" w14:textId="68956365" w:rsidR="008D1F4C" w:rsidRDefault="008D1F4C">
      <w:pPr>
        <w:pStyle w:val="Tabladeilustraciones"/>
        <w:tabs>
          <w:tab w:val="right" w:leader="dot" w:pos="8828"/>
        </w:tabs>
        <w:rPr>
          <w:rFonts w:eastAsiaTheme="minorEastAsia"/>
          <w:noProof/>
          <w:sz w:val="24"/>
          <w:szCs w:val="24"/>
          <w:lang w:eastAsia="es-CO"/>
        </w:rPr>
      </w:pPr>
      <w:hyperlink w:anchor="_Toc225283117" w:history="1">
        <w:r w:rsidRPr="005514E8">
          <w:rPr>
            <w:rStyle w:val="Hipervnculo"/>
            <w:rFonts w:ascii="Verdana" w:eastAsia="Verdana" w:hAnsi="Verdana" w:cs="Arial"/>
            <w:noProof/>
          </w:rPr>
          <w:t>Tabla 5. Desafíos y retos del indicador C.205.N</w:t>
        </w:r>
        <w:r>
          <w:rPr>
            <w:noProof/>
            <w:webHidden/>
          </w:rPr>
          <w:tab/>
        </w:r>
        <w:r>
          <w:rPr>
            <w:noProof/>
            <w:webHidden/>
          </w:rPr>
          <w:fldChar w:fldCharType="begin"/>
        </w:r>
        <w:r>
          <w:rPr>
            <w:noProof/>
            <w:webHidden/>
          </w:rPr>
          <w:instrText xml:space="preserve"> PAGEREF _Toc225283117 \h </w:instrText>
        </w:r>
        <w:r>
          <w:rPr>
            <w:noProof/>
            <w:webHidden/>
          </w:rPr>
        </w:r>
        <w:r>
          <w:rPr>
            <w:noProof/>
            <w:webHidden/>
          </w:rPr>
          <w:fldChar w:fldCharType="separate"/>
        </w:r>
        <w:r w:rsidR="0078027F">
          <w:rPr>
            <w:noProof/>
            <w:webHidden/>
          </w:rPr>
          <w:t>13</w:t>
        </w:r>
        <w:r>
          <w:rPr>
            <w:noProof/>
            <w:webHidden/>
          </w:rPr>
          <w:fldChar w:fldCharType="end"/>
        </w:r>
      </w:hyperlink>
    </w:p>
    <w:p w14:paraId="5A58DAC3" w14:textId="64CCC3C2" w:rsidR="008D1F4C" w:rsidRDefault="008D1F4C">
      <w:pPr>
        <w:pStyle w:val="Tabladeilustraciones"/>
        <w:tabs>
          <w:tab w:val="right" w:leader="dot" w:pos="8828"/>
        </w:tabs>
        <w:rPr>
          <w:rFonts w:eastAsiaTheme="minorEastAsia"/>
          <w:noProof/>
          <w:sz w:val="24"/>
          <w:szCs w:val="24"/>
          <w:lang w:eastAsia="es-CO"/>
        </w:rPr>
      </w:pPr>
      <w:hyperlink w:anchor="_Toc225283118" w:history="1">
        <w:r w:rsidRPr="005514E8">
          <w:rPr>
            <w:rStyle w:val="Hipervnculo"/>
            <w:rFonts w:ascii="Verdana" w:eastAsia="Verdana" w:hAnsi="Verdana" w:cs="Arial"/>
            <w:noProof/>
          </w:rPr>
          <w:t>Tabla 6. Detalle de avance en el indicador C.207.N</w:t>
        </w:r>
        <w:r>
          <w:rPr>
            <w:noProof/>
            <w:webHidden/>
          </w:rPr>
          <w:tab/>
        </w:r>
        <w:r>
          <w:rPr>
            <w:noProof/>
            <w:webHidden/>
          </w:rPr>
          <w:fldChar w:fldCharType="begin"/>
        </w:r>
        <w:r>
          <w:rPr>
            <w:noProof/>
            <w:webHidden/>
          </w:rPr>
          <w:instrText xml:space="preserve"> PAGEREF _Toc225283118 \h </w:instrText>
        </w:r>
        <w:r>
          <w:rPr>
            <w:noProof/>
            <w:webHidden/>
          </w:rPr>
        </w:r>
        <w:r>
          <w:rPr>
            <w:noProof/>
            <w:webHidden/>
          </w:rPr>
          <w:fldChar w:fldCharType="separate"/>
        </w:r>
        <w:r w:rsidR="0078027F">
          <w:rPr>
            <w:noProof/>
            <w:webHidden/>
          </w:rPr>
          <w:t>13</w:t>
        </w:r>
        <w:r>
          <w:rPr>
            <w:noProof/>
            <w:webHidden/>
          </w:rPr>
          <w:fldChar w:fldCharType="end"/>
        </w:r>
      </w:hyperlink>
    </w:p>
    <w:p w14:paraId="1DCD47AE" w14:textId="0519D26C" w:rsidR="008D1F4C" w:rsidRDefault="008D1F4C">
      <w:pPr>
        <w:pStyle w:val="Tabladeilustraciones"/>
        <w:tabs>
          <w:tab w:val="right" w:leader="dot" w:pos="8828"/>
        </w:tabs>
        <w:rPr>
          <w:rFonts w:eastAsiaTheme="minorEastAsia"/>
          <w:noProof/>
          <w:sz w:val="24"/>
          <w:szCs w:val="24"/>
          <w:lang w:eastAsia="es-CO"/>
        </w:rPr>
      </w:pPr>
      <w:hyperlink w:anchor="_Toc225283119" w:history="1">
        <w:r w:rsidRPr="005514E8">
          <w:rPr>
            <w:rStyle w:val="Hipervnculo"/>
            <w:rFonts w:ascii="Verdana" w:eastAsia="Verdana" w:hAnsi="Verdana" w:cs="Arial"/>
            <w:noProof/>
          </w:rPr>
          <w:t>Tabla 7. Detalle de las principales acciones del indicador C.207.N</w:t>
        </w:r>
        <w:r>
          <w:rPr>
            <w:noProof/>
            <w:webHidden/>
          </w:rPr>
          <w:tab/>
        </w:r>
        <w:r>
          <w:rPr>
            <w:noProof/>
            <w:webHidden/>
          </w:rPr>
          <w:fldChar w:fldCharType="begin"/>
        </w:r>
        <w:r>
          <w:rPr>
            <w:noProof/>
            <w:webHidden/>
          </w:rPr>
          <w:instrText xml:space="preserve"> PAGEREF _Toc225283119 \h </w:instrText>
        </w:r>
        <w:r>
          <w:rPr>
            <w:noProof/>
            <w:webHidden/>
          </w:rPr>
        </w:r>
        <w:r>
          <w:rPr>
            <w:noProof/>
            <w:webHidden/>
          </w:rPr>
          <w:fldChar w:fldCharType="separate"/>
        </w:r>
        <w:r w:rsidR="0078027F">
          <w:rPr>
            <w:noProof/>
            <w:webHidden/>
          </w:rPr>
          <w:t>14</w:t>
        </w:r>
        <w:r>
          <w:rPr>
            <w:noProof/>
            <w:webHidden/>
          </w:rPr>
          <w:fldChar w:fldCharType="end"/>
        </w:r>
      </w:hyperlink>
    </w:p>
    <w:p w14:paraId="674393B5" w14:textId="7DF50E9D" w:rsidR="008D1F4C" w:rsidRDefault="008D1F4C">
      <w:pPr>
        <w:pStyle w:val="Tabladeilustraciones"/>
        <w:tabs>
          <w:tab w:val="right" w:leader="dot" w:pos="8828"/>
        </w:tabs>
        <w:rPr>
          <w:rFonts w:eastAsiaTheme="minorEastAsia"/>
          <w:noProof/>
          <w:sz w:val="24"/>
          <w:szCs w:val="24"/>
          <w:lang w:eastAsia="es-CO"/>
        </w:rPr>
      </w:pPr>
      <w:hyperlink w:anchor="_Toc225283120" w:history="1">
        <w:r w:rsidRPr="005514E8">
          <w:rPr>
            <w:rStyle w:val="Hipervnculo"/>
            <w:rFonts w:ascii="Verdana" w:eastAsia="Verdana" w:hAnsi="Verdana" w:cs="Arial"/>
            <w:noProof/>
          </w:rPr>
          <w:t>Tabla 8. Detalle de regionalización del indicador C.207.N</w:t>
        </w:r>
        <w:r>
          <w:rPr>
            <w:noProof/>
            <w:webHidden/>
          </w:rPr>
          <w:tab/>
        </w:r>
        <w:r>
          <w:rPr>
            <w:noProof/>
            <w:webHidden/>
          </w:rPr>
          <w:fldChar w:fldCharType="begin"/>
        </w:r>
        <w:r>
          <w:rPr>
            <w:noProof/>
            <w:webHidden/>
          </w:rPr>
          <w:instrText xml:space="preserve"> PAGEREF _Toc225283120 \h </w:instrText>
        </w:r>
        <w:r>
          <w:rPr>
            <w:noProof/>
            <w:webHidden/>
          </w:rPr>
        </w:r>
        <w:r>
          <w:rPr>
            <w:noProof/>
            <w:webHidden/>
          </w:rPr>
          <w:fldChar w:fldCharType="separate"/>
        </w:r>
        <w:r w:rsidR="0078027F">
          <w:rPr>
            <w:noProof/>
            <w:webHidden/>
          </w:rPr>
          <w:t>15</w:t>
        </w:r>
        <w:r>
          <w:rPr>
            <w:noProof/>
            <w:webHidden/>
          </w:rPr>
          <w:fldChar w:fldCharType="end"/>
        </w:r>
      </w:hyperlink>
    </w:p>
    <w:p w14:paraId="26867B1F" w14:textId="245CD358" w:rsidR="008D1F4C" w:rsidRDefault="008D1F4C">
      <w:pPr>
        <w:pStyle w:val="Tabladeilustraciones"/>
        <w:tabs>
          <w:tab w:val="right" w:leader="dot" w:pos="8828"/>
        </w:tabs>
        <w:rPr>
          <w:rFonts w:eastAsiaTheme="minorEastAsia"/>
          <w:noProof/>
          <w:sz w:val="24"/>
          <w:szCs w:val="24"/>
          <w:lang w:eastAsia="es-CO"/>
        </w:rPr>
      </w:pPr>
      <w:hyperlink w:anchor="_Toc225283121" w:history="1">
        <w:r w:rsidRPr="005514E8">
          <w:rPr>
            <w:rStyle w:val="Hipervnculo"/>
            <w:rFonts w:ascii="Verdana" w:eastAsia="Verdana" w:hAnsi="Verdana" w:cs="Arial"/>
            <w:noProof/>
          </w:rPr>
          <w:t>Tabla 9. Desafíos y retos del indicador C.207.N</w:t>
        </w:r>
        <w:r>
          <w:rPr>
            <w:noProof/>
            <w:webHidden/>
          </w:rPr>
          <w:tab/>
        </w:r>
        <w:r>
          <w:rPr>
            <w:noProof/>
            <w:webHidden/>
          </w:rPr>
          <w:fldChar w:fldCharType="begin"/>
        </w:r>
        <w:r>
          <w:rPr>
            <w:noProof/>
            <w:webHidden/>
          </w:rPr>
          <w:instrText xml:space="preserve"> PAGEREF _Toc225283121 \h </w:instrText>
        </w:r>
        <w:r>
          <w:rPr>
            <w:noProof/>
            <w:webHidden/>
          </w:rPr>
        </w:r>
        <w:r>
          <w:rPr>
            <w:noProof/>
            <w:webHidden/>
          </w:rPr>
          <w:fldChar w:fldCharType="separate"/>
        </w:r>
        <w:r w:rsidR="0078027F">
          <w:rPr>
            <w:noProof/>
            <w:webHidden/>
          </w:rPr>
          <w:t>16</w:t>
        </w:r>
        <w:r>
          <w:rPr>
            <w:noProof/>
            <w:webHidden/>
          </w:rPr>
          <w:fldChar w:fldCharType="end"/>
        </w:r>
      </w:hyperlink>
    </w:p>
    <w:p w14:paraId="102E0B1D" w14:textId="4DB1DFA5" w:rsidR="008D1F4C" w:rsidRDefault="008D1F4C">
      <w:pPr>
        <w:pStyle w:val="Tabladeilustraciones"/>
        <w:tabs>
          <w:tab w:val="right" w:leader="dot" w:pos="8828"/>
        </w:tabs>
        <w:rPr>
          <w:rFonts w:eastAsiaTheme="minorEastAsia"/>
          <w:noProof/>
          <w:sz w:val="24"/>
          <w:szCs w:val="24"/>
          <w:lang w:eastAsia="es-CO"/>
        </w:rPr>
      </w:pPr>
      <w:hyperlink w:anchor="_Toc225283122" w:history="1">
        <w:r w:rsidRPr="005514E8">
          <w:rPr>
            <w:rStyle w:val="Hipervnculo"/>
            <w:rFonts w:ascii="Verdana" w:eastAsia="Verdana" w:hAnsi="Verdana" w:cs="Arial"/>
            <w:noProof/>
          </w:rPr>
          <w:t>Tabla 10. Detalle de avance en el indicador C.208.N</w:t>
        </w:r>
        <w:r>
          <w:rPr>
            <w:noProof/>
            <w:webHidden/>
          </w:rPr>
          <w:tab/>
        </w:r>
        <w:r>
          <w:rPr>
            <w:noProof/>
            <w:webHidden/>
          </w:rPr>
          <w:fldChar w:fldCharType="begin"/>
        </w:r>
        <w:r>
          <w:rPr>
            <w:noProof/>
            <w:webHidden/>
          </w:rPr>
          <w:instrText xml:space="preserve"> PAGEREF _Toc225283122 \h </w:instrText>
        </w:r>
        <w:r>
          <w:rPr>
            <w:noProof/>
            <w:webHidden/>
          </w:rPr>
        </w:r>
        <w:r>
          <w:rPr>
            <w:noProof/>
            <w:webHidden/>
          </w:rPr>
          <w:fldChar w:fldCharType="separate"/>
        </w:r>
        <w:r w:rsidR="0078027F">
          <w:rPr>
            <w:noProof/>
            <w:webHidden/>
          </w:rPr>
          <w:t>16</w:t>
        </w:r>
        <w:r>
          <w:rPr>
            <w:noProof/>
            <w:webHidden/>
          </w:rPr>
          <w:fldChar w:fldCharType="end"/>
        </w:r>
      </w:hyperlink>
    </w:p>
    <w:p w14:paraId="516D0983" w14:textId="3FC5DEA1" w:rsidR="008D1F4C" w:rsidRDefault="008D1F4C">
      <w:pPr>
        <w:pStyle w:val="Tabladeilustraciones"/>
        <w:tabs>
          <w:tab w:val="right" w:leader="dot" w:pos="8828"/>
        </w:tabs>
        <w:rPr>
          <w:rFonts w:eastAsiaTheme="minorEastAsia"/>
          <w:noProof/>
          <w:sz w:val="24"/>
          <w:szCs w:val="24"/>
          <w:lang w:eastAsia="es-CO"/>
        </w:rPr>
      </w:pPr>
      <w:hyperlink w:anchor="_Toc225283123" w:history="1">
        <w:r w:rsidRPr="005514E8">
          <w:rPr>
            <w:rStyle w:val="Hipervnculo"/>
            <w:rFonts w:ascii="Verdana" w:hAnsi="Verdana" w:cs="Arial"/>
            <w:noProof/>
          </w:rPr>
          <w:t>Tabla 11. Detalle de las principales acciones del indicador C.208.N</w:t>
        </w:r>
        <w:r>
          <w:rPr>
            <w:noProof/>
            <w:webHidden/>
          </w:rPr>
          <w:tab/>
        </w:r>
        <w:r>
          <w:rPr>
            <w:noProof/>
            <w:webHidden/>
          </w:rPr>
          <w:fldChar w:fldCharType="begin"/>
        </w:r>
        <w:r>
          <w:rPr>
            <w:noProof/>
            <w:webHidden/>
          </w:rPr>
          <w:instrText xml:space="preserve"> PAGEREF _Toc225283123 \h </w:instrText>
        </w:r>
        <w:r>
          <w:rPr>
            <w:noProof/>
            <w:webHidden/>
          </w:rPr>
        </w:r>
        <w:r>
          <w:rPr>
            <w:noProof/>
            <w:webHidden/>
          </w:rPr>
          <w:fldChar w:fldCharType="separate"/>
        </w:r>
        <w:r w:rsidR="0078027F">
          <w:rPr>
            <w:noProof/>
            <w:webHidden/>
          </w:rPr>
          <w:t>17</w:t>
        </w:r>
        <w:r>
          <w:rPr>
            <w:noProof/>
            <w:webHidden/>
          </w:rPr>
          <w:fldChar w:fldCharType="end"/>
        </w:r>
      </w:hyperlink>
    </w:p>
    <w:p w14:paraId="5F12C659" w14:textId="3D80ECB7" w:rsidR="008D1F4C" w:rsidRDefault="008D1F4C">
      <w:pPr>
        <w:pStyle w:val="Tabladeilustraciones"/>
        <w:tabs>
          <w:tab w:val="right" w:leader="dot" w:pos="8828"/>
        </w:tabs>
        <w:rPr>
          <w:rFonts w:eastAsiaTheme="minorEastAsia"/>
          <w:noProof/>
          <w:sz w:val="24"/>
          <w:szCs w:val="24"/>
          <w:lang w:eastAsia="es-CO"/>
        </w:rPr>
      </w:pPr>
      <w:hyperlink w:anchor="_Toc225283124" w:history="1">
        <w:r w:rsidRPr="005514E8">
          <w:rPr>
            <w:rStyle w:val="Hipervnculo"/>
            <w:rFonts w:ascii="Verdana" w:eastAsia="Verdana" w:hAnsi="Verdana" w:cs="Arial"/>
            <w:noProof/>
          </w:rPr>
          <w:t>Tabla 12. Detalle de regionalización del indicador C.208.N</w:t>
        </w:r>
        <w:r>
          <w:rPr>
            <w:noProof/>
            <w:webHidden/>
          </w:rPr>
          <w:tab/>
        </w:r>
        <w:r>
          <w:rPr>
            <w:noProof/>
            <w:webHidden/>
          </w:rPr>
          <w:fldChar w:fldCharType="begin"/>
        </w:r>
        <w:r>
          <w:rPr>
            <w:noProof/>
            <w:webHidden/>
          </w:rPr>
          <w:instrText xml:space="preserve"> PAGEREF _Toc225283124 \h </w:instrText>
        </w:r>
        <w:r>
          <w:rPr>
            <w:noProof/>
            <w:webHidden/>
          </w:rPr>
        </w:r>
        <w:r>
          <w:rPr>
            <w:noProof/>
            <w:webHidden/>
          </w:rPr>
          <w:fldChar w:fldCharType="separate"/>
        </w:r>
        <w:r w:rsidR="0078027F">
          <w:rPr>
            <w:noProof/>
            <w:webHidden/>
          </w:rPr>
          <w:t>18</w:t>
        </w:r>
        <w:r>
          <w:rPr>
            <w:noProof/>
            <w:webHidden/>
          </w:rPr>
          <w:fldChar w:fldCharType="end"/>
        </w:r>
      </w:hyperlink>
    </w:p>
    <w:p w14:paraId="6E50236A" w14:textId="7E210624" w:rsidR="008D1F4C" w:rsidRDefault="008D1F4C">
      <w:pPr>
        <w:pStyle w:val="Tabladeilustraciones"/>
        <w:tabs>
          <w:tab w:val="right" w:leader="dot" w:pos="8828"/>
        </w:tabs>
        <w:rPr>
          <w:rFonts w:eastAsiaTheme="minorEastAsia"/>
          <w:noProof/>
          <w:sz w:val="24"/>
          <w:szCs w:val="24"/>
          <w:lang w:eastAsia="es-CO"/>
        </w:rPr>
      </w:pPr>
      <w:hyperlink w:anchor="_Toc225283125" w:history="1">
        <w:r w:rsidRPr="005514E8">
          <w:rPr>
            <w:rStyle w:val="Hipervnculo"/>
            <w:rFonts w:ascii="Verdana" w:eastAsia="Verdana" w:hAnsi="Verdana" w:cs="Arial"/>
            <w:noProof/>
          </w:rPr>
          <w:t>Tabla 13. Desafíos y retos del indicador C.208.N</w:t>
        </w:r>
        <w:r>
          <w:rPr>
            <w:noProof/>
            <w:webHidden/>
          </w:rPr>
          <w:tab/>
        </w:r>
        <w:r>
          <w:rPr>
            <w:noProof/>
            <w:webHidden/>
          </w:rPr>
          <w:fldChar w:fldCharType="begin"/>
        </w:r>
        <w:r>
          <w:rPr>
            <w:noProof/>
            <w:webHidden/>
          </w:rPr>
          <w:instrText xml:space="preserve"> PAGEREF _Toc225283125 \h </w:instrText>
        </w:r>
        <w:r>
          <w:rPr>
            <w:noProof/>
            <w:webHidden/>
          </w:rPr>
        </w:r>
        <w:r>
          <w:rPr>
            <w:noProof/>
            <w:webHidden/>
          </w:rPr>
          <w:fldChar w:fldCharType="separate"/>
        </w:r>
        <w:r w:rsidR="0078027F">
          <w:rPr>
            <w:noProof/>
            <w:webHidden/>
          </w:rPr>
          <w:t>20</w:t>
        </w:r>
        <w:r>
          <w:rPr>
            <w:noProof/>
            <w:webHidden/>
          </w:rPr>
          <w:fldChar w:fldCharType="end"/>
        </w:r>
      </w:hyperlink>
    </w:p>
    <w:p w14:paraId="136B869B" w14:textId="0E3CED0C" w:rsidR="008D1F4C" w:rsidRDefault="008D1F4C">
      <w:pPr>
        <w:pStyle w:val="Tabladeilustraciones"/>
        <w:tabs>
          <w:tab w:val="right" w:leader="dot" w:pos="8828"/>
        </w:tabs>
        <w:rPr>
          <w:rFonts w:eastAsiaTheme="minorEastAsia"/>
          <w:noProof/>
          <w:sz w:val="24"/>
          <w:szCs w:val="24"/>
          <w:lang w:eastAsia="es-CO"/>
        </w:rPr>
      </w:pPr>
      <w:hyperlink w:anchor="_Toc225283126" w:history="1">
        <w:r w:rsidRPr="005514E8">
          <w:rPr>
            <w:rStyle w:val="Hipervnculo"/>
            <w:rFonts w:ascii="Verdana" w:eastAsia="Verdana" w:hAnsi="Verdana" w:cs="Arial"/>
            <w:noProof/>
          </w:rPr>
          <w:t>Tabla 14. Detalle de avance en el indicador C.210.N</w:t>
        </w:r>
        <w:r>
          <w:rPr>
            <w:noProof/>
            <w:webHidden/>
          </w:rPr>
          <w:tab/>
        </w:r>
        <w:r>
          <w:rPr>
            <w:noProof/>
            <w:webHidden/>
          </w:rPr>
          <w:fldChar w:fldCharType="begin"/>
        </w:r>
        <w:r>
          <w:rPr>
            <w:noProof/>
            <w:webHidden/>
          </w:rPr>
          <w:instrText xml:space="preserve"> PAGEREF _Toc225283126 \h </w:instrText>
        </w:r>
        <w:r>
          <w:rPr>
            <w:noProof/>
            <w:webHidden/>
          </w:rPr>
        </w:r>
        <w:r>
          <w:rPr>
            <w:noProof/>
            <w:webHidden/>
          </w:rPr>
          <w:fldChar w:fldCharType="separate"/>
        </w:r>
        <w:r w:rsidR="0078027F">
          <w:rPr>
            <w:noProof/>
            <w:webHidden/>
          </w:rPr>
          <w:t>20</w:t>
        </w:r>
        <w:r>
          <w:rPr>
            <w:noProof/>
            <w:webHidden/>
          </w:rPr>
          <w:fldChar w:fldCharType="end"/>
        </w:r>
      </w:hyperlink>
    </w:p>
    <w:p w14:paraId="1F17ADC5" w14:textId="14D49BFE" w:rsidR="008D1F4C" w:rsidRDefault="008D1F4C">
      <w:pPr>
        <w:pStyle w:val="Tabladeilustraciones"/>
        <w:tabs>
          <w:tab w:val="right" w:leader="dot" w:pos="8828"/>
        </w:tabs>
        <w:rPr>
          <w:rFonts w:eastAsiaTheme="minorEastAsia"/>
          <w:noProof/>
          <w:sz w:val="24"/>
          <w:szCs w:val="24"/>
          <w:lang w:eastAsia="es-CO"/>
        </w:rPr>
      </w:pPr>
      <w:hyperlink w:anchor="_Toc225283127" w:history="1">
        <w:r w:rsidRPr="005514E8">
          <w:rPr>
            <w:rStyle w:val="Hipervnculo"/>
            <w:rFonts w:ascii="Verdana" w:eastAsia="Verdana" w:hAnsi="Verdana" w:cs="Arial"/>
            <w:noProof/>
          </w:rPr>
          <w:t>Tabla 15. Detalle de las principales acciones del indicador C.210.N</w:t>
        </w:r>
        <w:r>
          <w:rPr>
            <w:noProof/>
            <w:webHidden/>
          </w:rPr>
          <w:tab/>
        </w:r>
        <w:r>
          <w:rPr>
            <w:noProof/>
            <w:webHidden/>
          </w:rPr>
          <w:fldChar w:fldCharType="begin"/>
        </w:r>
        <w:r>
          <w:rPr>
            <w:noProof/>
            <w:webHidden/>
          </w:rPr>
          <w:instrText xml:space="preserve"> PAGEREF _Toc225283127 \h </w:instrText>
        </w:r>
        <w:r>
          <w:rPr>
            <w:noProof/>
            <w:webHidden/>
          </w:rPr>
        </w:r>
        <w:r>
          <w:rPr>
            <w:noProof/>
            <w:webHidden/>
          </w:rPr>
          <w:fldChar w:fldCharType="separate"/>
        </w:r>
        <w:r w:rsidR="0078027F">
          <w:rPr>
            <w:noProof/>
            <w:webHidden/>
          </w:rPr>
          <w:t>21</w:t>
        </w:r>
        <w:r>
          <w:rPr>
            <w:noProof/>
            <w:webHidden/>
          </w:rPr>
          <w:fldChar w:fldCharType="end"/>
        </w:r>
      </w:hyperlink>
    </w:p>
    <w:p w14:paraId="6A7220A7" w14:textId="7B3F890C" w:rsidR="008D1F4C" w:rsidRDefault="008D1F4C">
      <w:pPr>
        <w:pStyle w:val="Tabladeilustraciones"/>
        <w:tabs>
          <w:tab w:val="right" w:leader="dot" w:pos="8828"/>
        </w:tabs>
        <w:rPr>
          <w:rFonts w:eastAsiaTheme="minorEastAsia"/>
          <w:noProof/>
          <w:sz w:val="24"/>
          <w:szCs w:val="24"/>
          <w:lang w:eastAsia="es-CO"/>
        </w:rPr>
      </w:pPr>
      <w:hyperlink w:anchor="_Toc225283128" w:history="1">
        <w:r w:rsidRPr="005514E8">
          <w:rPr>
            <w:rStyle w:val="Hipervnculo"/>
            <w:rFonts w:ascii="Verdana" w:eastAsia="Verdana" w:hAnsi="Verdana" w:cs="Arial"/>
            <w:noProof/>
          </w:rPr>
          <w:t>Tabla 16. Detalle de regionalización del indicador C.210.N</w:t>
        </w:r>
        <w:r>
          <w:rPr>
            <w:noProof/>
            <w:webHidden/>
          </w:rPr>
          <w:tab/>
        </w:r>
        <w:r>
          <w:rPr>
            <w:noProof/>
            <w:webHidden/>
          </w:rPr>
          <w:fldChar w:fldCharType="begin"/>
        </w:r>
        <w:r>
          <w:rPr>
            <w:noProof/>
            <w:webHidden/>
          </w:rPr>
          <w:instrText xml:space="preserve"> PAGEREF _Toc225283128 \h </w:instrText>
        </w:r>
        <w:r>
          <w:rPr>
            <w:noProof/>
            <w:webHidden/>
          </w:rPr>
        </w:r>
        <w:r>
          <w:rPr>
            <w:noProof/>
            <w:webHidden/>
          </w:rPr>
          <w:fldChar w:fldCharType="separate"/>
        </w:r>
        <w:r w:rsidR="0078027F">
          <w:rPr>
            <w:noProof/>
            <w:webHidden/>
          </w:rPr>
          <w:t>22</w:t>
        </w:r>
        <w:r>
          <w:rPr>
            <w:noProof/>
            <w:webHidden/>
          </w:rPr>
          <w:fldChar w:fldCharType="end"/>
        </w:r>
      </w:hyperlink>
    </w:p>
    <w:p w14:paraId="375B8873" w14:textId="07B21D8A" w:rsidR="008D1F4C" w:rsidRDefault="008D1F4C">
      <w:pPr>
        <w:pStyle w:val="Tabladeilustraciones"/>
        <w:tabs>
          <w:tab w:val="right" w:leader="dot" w:pos="8828"/>
        </w:tabs>
        <w:rPr>
          <w:rFonts w:eastAsiaTheme="minorEastAsia"/>
          <w:noProof/>
          <w:sz w:val="24"/>
          <w:szCs w:val="24"/>
          <w:lang w:eastAsia="es-CO"/>
        </w:rPr>
      </w:pPr>
      <w:hyperlink w:anchor="_Toc225283129" w:history="1">
        <w:r w:rsidRPr="005514E8">
          <w:rPr>
            <w:rStyle w:val="Hipervnculo"/>
            <w:rFonts w:ascii="Verdana" w:eastAsia="Verdana" w:hAnsi="Verdana" w:cs="Arial"/>
            <w:noProof/>
          </w:rPr>
          <w:t>Tabla 17. Desafíos y retos del indicador C.210.N</w:t>
        </w:r>
        <w:r>
          <w:rPr>
            <w:noProof/>
            <w:webHidden/>
          </w:rPr>
          <w:tab/>
        </w:r>
        <w:r>
          <w:rPr>
            <w:noProof/>
            <w:webHidden/>
          </w:rPr>
          <w:fldChar w:fldCharType="begin"/>
        </w:r>
        <w:r>
          <w:rPr>
            <w:noProof/>
            <w:webHidden/>
          </w:rPr>
          <w:instrText xml:space="preserve"> PAGEREF _Toc225283129 \h </w:instrText>
        </w:r>
        <w:r>
          <w:rPr>
            <w:noProof/>
            <w:webHidden/>
          </w:rPr>
        </w:r>
        <w:r>
          <w:rPr>
            <w:noProof/>
            <w:webHidden/>
          </w:rPr>
          <w:fldChar w:fldCharType="separate"/>
        </w:r>
        <w:r w:rsidR="0078027F">
          <w:rPr>
            <w:noProof/>
            <w:webHidden/>
          </w:rPr>
          <w:t>22</w:t>
        </w:r>
        <w:r>
          <w:rPr>
            <w:noProof/>
            <w:webHidden/>
          </w:rPr>
          <w:fldChar w:fldCharType="end"/>
        </w:r>
      </w:hyperlink>
    </w:p>
    <w:p w14:paraId="4D8E7F30" w14:textId="1A4AB90F" w:rsidR="008D1F4C" w:rsidRDefault="008D1F4C">
      <w:pPr>
        <w:pStyle w:val="Tabladeilustraciones"/>
        <w:tabs>
          <w:tab w:val="right" w:leader="dot" w:pos="8828"/>
        </w:tabs>
        <w:rPr>
          <w:rFonts w:eastAsiaTheme="minorEastAsia"/>
          <w:noProof/>
          <w:sz w:val="24"/>
          <w:szCs w:val="24"/>
          <w:lang w:eastAsia="es-CO"/>
        </w:rPr>
      </w:pPr>
      <w:hyperlink w:anchor="_Toc225283130" w:history="1">
        <w:r w:rsidRPr="005514E8">
          <w:rPr>
            <w:rStyle w:val="Hipervnculo"/>
            <w:rFonts w:ascii="Verdana" w:eastAsia="Verdana" w:hAnsi="Verdana" w:cs="Arial"/>
            <w:noProof/>
          </w:rPr>
          <w:t>Tabla 18. Detalle de avance en el indicador C.212.N</w:t>
        </w:r>
        <w:r>
          <w:rPr>
            <w:noProof/>
            <w:webHidden/>
          </w:rPr>
          <w:tab/>
        </w:r>
        <w:r>
          <w:rPr>
            <w:noProof/>
            <w:webHidden/>
          </w:rPr>
          <w:fldChar w:fldCharType="begin"/>
        </w:r>
        <w:r>
          <w:rPr>
            <w:noProof/>
            <w:webHidden/>
          </w:rPr>
          <w:instrText xml:space="preserve"> PAGEREF _Toc225283130 \h </w:instrText>
        </w:r>
        <w:r>
          <w:rPr>
            <w:noProof/>
            <w:webHidden/>
          </w:rPr>
        </w:r>
        <w:r>
          <w:rPr>
            <w:noProof/>
            <w:webHidden/>
          </w:rPr>
          <w:fldChar w:fldCharType="separate"/>
        </w:r>
        <w:r w:rsidR="0078027F">
          <w:rPr>
            <w:noProof/>
            <w:webHidden/>
          </w:rPr>
          <w:t>23</w:t>
        </w:r>
        <w:r>
          <w:rPr>
            <w:noProof/>
            <w:webHidden/>
          </w:rPr>
          <w:fldChar w:fldCharType="end"/>
        </w:r>
      </w:hyperlink>
    </w:p>
    <w:p w14:paraId="6EB2455A" w14:textId="7FA4CB6D" w:rsidR="008D1F4C" w:rsidRDefault="008D1F4C">
      <w:pPr>
        <w:pStyle w:val="Tabladeilustraciones"/>
        <w:tabs>
          <w:tab w:val="right" w:leader="dot" w:pos="8828"/>
        </w:tabs>
        <w:rPr>
          <w:rFonts w:eastAsiaTheme="minorEastAsia"/>
          <w:noProof/>
          <w:sz w:val="24"/>
          <w:szCs w:val="24"/>
          <w:lang w:eastAsia="es-CO"/>
        </w:rPr>
      </w:pPr>
      <w:hyperlink w:anchor="_Toc225283131" w:history="1">
        <w:r w:rsidRPr="005514E8">
          <w:rPr>
            <w:rStyle w:val="Hipervnculo"/>
            <w:rFonts w:ascii="Verdana" w:eastAsia="Verdana" w:hAnsi="Verdana" w:cs="Arial"/>
            <w:noProof/>
          </w:rPr>
          <w:t>Tabla 19. Detalle de las principales acciones del indicador C.212.N</w:t>
        </w:r>
        <w:r>
          <w:rPr>
            <w:noProof/>
            <w:webHidden/>
          </w:rPr>
          <w:tab/>
        </w:r>
        <w:r>
          <w:rPr>
            <w:noProof/>
            <w:webHidden/>
          </w:rPr>
          <w:fldChar w:fldCharType="begin"/>
        </w:r>
        <w:r>
          <w:rPr>
            <w:noProof/>
            <w:webHidden/>
          </w:rPr>
          <w:instrText xml:space="preserve"> PAGEREF _Toc225283131 \h </w:instrText>
        </w:r>
        <w:r>
          <w:rPr>
            <w:noProof/>
            <w:webHidden/>
          </w:rPr>
        </w:r>
        <w:r>
          <w:rPr>
            <w:noProof/>
            <w:webHidden/>
          </w:rPr>
          <w:fldChar w:fldCharType="separate"/>
        </w:r>
        <w:r w:rsidR="0078027F">
          <w:rPr>
            <w:noProof/>
            <w:webHidden/>
          </w:rPr>
          <w:t>24</w:t>
        </w:r>
        <w:r>
          <w:rPr>
            <w:noProof/>
            <w:webHidden/>
          </w:rPr>
          <w:fldChar w:fldCharType="end"/>
        </w:r>
      </w:hyperlink>
    </w:p>
    <w:p w14:paraId="481B83A2" w14:textId="2837DCD6" w:rsidR="008D1F4C" w:rsidRDefault="008D1F4C">
      <w:pPr>
        <w:pStyle w:val="Tabladeilustraciones"/>
        <w:tabs>
          <w:tab w:val="right" w:leader="dot" w:pos="8828"/>
        </w:tabs>
        <w:rPr>
          <w:rFonts w:eastAsiaTheme="minorEastAsia"/>
          <w:noProof/>
          <w:sz w:val="24"/>
          <w:szCs w:val="24"/>
          <w:lang w:eastAsia="es-CO"/>
        </w:rPr>
      </w:pPr>
      <w:hyperlink w:anchor="_Toc225283132" w:history="1">
        <w:r w:rsidRPr="005514E8">
          <w:rPr>
            <w:rStyle w:val="Hipervnculo"/>
            <w:rFonts w:ascii="Verdana" w:eastAsia="Verdana" w:hAnsi="Verdana" w:cs="Arial"/>
            <w:noProof/>
          </w:rPr>
          <w:t>Tabla 20. Detalle de regionalización del indicador C.212.N</w:t>
        </w:r>
        <w:r>
          <w:rPr>
            <w:noProof/>
            <w:webHidden/>
          </w:rPr>
          <w:tab/>
        </w:r>
        <w:r>
          <w:rPr>
            <w:noProof/>
            <w:webHidden/>
          </w:rPr>
          <w:fldChar w:fldCharType="begin"/>
        </w:r>
        <w:r>
          <w:rPr>
            <w:noProof/>
            <w:webHidden/>
          </w:rPr>
          <w:instrText xml:space="preserve"> PAGEREF _Toc225283132 \h </w:instrText>
        </w:r>
        <w:r>
          <w:rPr>
            <w:noProof/>
            <w:webHidden/>
          </w:rPr>
        </w:r>
        <w:r>
          <w:rPr>
            <w:noProof/>
            <w:webHidden/>
          </w:rPr>
          <w:fldChar w:fldCharType="separate"/>
        </w:r>
        <w:r w:rsidR="0078027F">
          <w:rPr>
            <w:noProof/>
            <w:webHidden/>
          </w:rPr>
          <w:t>24</w:t>
        </w:r>
        <w:r>
          <w:rPr>
            <w:noProof/>
            <w:webHidden/>
          </w:rPr>
          <w:fldChar w:fldCharType="end"/>
        </w:r>
      </w:hyperlink>
    </w:p>
    <w:p w14:paraId="6295B418" w14:textId="19C3CAA2" w:rsidR="008D1F4C" w:rsidRDefault="008D1F4C">
      <w:pPr>
        <w:pStyle w:val="Tabladeilustraciones"/>
        <w:tabs>
          <w:tab w:val="right" w:leader="dot" w:pos="8828"/>
        </w:tabs>
        <w:rPr>
          <w:rFonts w:eastAsiaTheme="minorEastAsia"/>
          <w:noProof/>
          <w:sz w:val="24"/>
          <w:szCs w:val="24"/>
          <w:lang w:eastAsia="es-CO"/>
        </w:rPr>
      </w:pPr>
      <w:hyperlink w:anchor="_Toc225283133" w:history="1">
        <w:r w:rsidRPr="005514E8">
          <w:rPr>
            <w:rStyle w:val="Hipervnculo"/>
            <w:rFonts w:ascii="Verdana" w:eastAsia="Verdana" w:hAnsi="Verdana" w:cs="Arial"/>
            <w:noProof/>
          </w:rPr>
          <w:t>Tabla 21. Desafíos y retos del indicador C.212.N</w:t>
        </w:r>
        <w:r>
          <w:rPr>
            <w:noProof/>
            <w:webHidden/>
          </w:rPr>
          <w:tab/>
        </w:r>
        <w:r>
          <w:rPr>
            <w:noProof/>
            <w:webHidden/>
          </w:rPr>
          <w:fldChar w:fldCharType="begin"/>
        </w:r>
        <w:r>
          <w:rPr>
            <w:noProof/>
            <w:webHidden/>
          </w:rPr>
          <w:instrText xml:space="preserve"> PAGEREF _Toc225283133 \h </w:instrText>
        </w:r>
        <w:r>
          <w:rPr>
            <w:noProof/>
            <w:webHidden/>
          </w:rPr>
        </w:r>
        <w:r>
          <w:rPr>
            <w:noProof/>
            <w:webHidden/>
          </w:rPr>
          <w:fldChar w:fldCharType="separate"/>
        </w:r>
        <w:r w:rsidR="0078027F">
          <w:rPr>
            <w:noProof/>
            <w:webHidden/>
          </w:rPr>
          <w:t>25</w:t>
        </w:r>
        <w:r>
          <w:rPr>
            <w:noProof/>
            <w:webHidden/>
          </w:rPr>
          <w:fldChar w:fldCharType="end"/>
        </w:r>
      </w:hyperlink>
    </w:p>
    <w:p w14:paraId="242AD92F" w14:textId="7260211A" w:rsidR="008D1F4C" w:rsidRDefault="008D1F4C">
      <w:pPr>
        <w:pStyle w:val="Tabladeilustraciones"/>
        <w:tabs>
          <w:tab w:val="right" w:leader="dot" w:pos="8828"/>
        </w:tabs>
        <w:rPr>
          <w:rFonts w:eastAsiaTheme="minorEastAsia"/>
          <w:noProof/>
          <w:sz w:val="24"/>
          <w:szCs w:val="24"/>
          <w:lang w:eastAsia="es-CO"/>
        </w:rPr>
      </w:pPr>
      <w:hyperlink w:anchor="_Toc225283134" w:history="1">
        <w:r w:rsidRPr="005514E8">
          <w:rPr>
            <w:rStyle w:val="Hipervnculo"/>
            <w:rFonts w:ascii="Verdana" w:eastAsia="Verdana" w:hAnsi="Verdana" w:cs="Arial"/>
            <w:noProof/>
          </w:rPr>
          <w:t>Tabla 22. Detalle de avance en el indicador C.221</w:t>
        </w:r>
        <w:r>
          <w:rPr>
            <w:noProof/>
            <w:webHidden/>
          </w:rPr>
          <w:tab/>
        </w:r>
        <w:r>
          <w:rPr>
            <w:noProof/>
            <w:webHidden/>
          </w:rPr>
          <w:fldChar w:fldCharType="begin"/>
        </w:r>
        <w:r>
          <w:rPr>
            <w:noProof/>
            <w:webHidden/>
          </w:rPr>
          <w:instrText xml:space="preserve"> PAGEREF _Toc225283134 \h </w:instrText>
        </w:r>
        <w:r>
          <w:rPr>
            <w:noProof/>
            <w:webHidden/>
          </w:rPr>
        </w:r>
        <w:r>
          <w:rPr>
            <w:noProof/>
            <w:webHidden/>
          </w:rPr>
          <w:fldChar w:fldCharType="separate"/>
        </w:r>
        <w:r w:rsidR="0078027F">
          <w:rPr>
            <w:noProof/>
            <w:webHidden/>
          </w:rPr>
          <w:t>26</w:t>
        </w:r>
        <w:r>
          <w:rPr>
            <w:noProof/>
            <w:webHidden/>
          </w:rPr>
          <w:fldChar w:fldCharType="end"/>
        </w:r>
      </w:hyperlink>
    </w:p>
    <w:p w14:paraId="1ADA9919" w14:textId="538315A4" w:rsidR="008D1F4C" w:rsidRDefault="008D1F4C">
      <w:pPr>
        <w:pStyle w:val="Tabladeilustraciones"/>
        <w:tabs>
          <w:tab w:val="right" w:leader="dot" w:pos="8828"/>
        </w:tabs>
        <w:rPr>
          <w:rFonts w:eastAsiaTheme="minorEastAsia"/>
          <w:noProof/>
          <w:sz w:val="24"/>
          <w:szCs w:val="24"/>
          <w:lang w:eastAsia="es-CO"/>
        </w:rPr>
      </w:pPr>
      <w:hyperlink w:anchor="_Toc225283135" w:history="1">
        <w:r w:rsidRPr="005514E8">
          <w:rPr>
            <w:rStyle w:val="Hipervnculo"/>
            <w:rFonts w:ascii="Verdana" w:eastAsia="Verdana" w:hAnsi="Verdana" w:cs="Arial"/>
            <w:noProof/>
          </w:rPr>
          <w:t>Tabla 23. Detalle de las principales acciones del indicador C.221</w:t>
        </w:r>
        <w:r>
          <w:rPr>
            <w:noProof/>
            <w:webHidden/>
          </w:rPr>
          <w:tab/>
        </w:r>
        <w:r>
          <w:rPr>
            <w:noProof/>
            <w:webHidden/>
          </w:rPr>
          <w:fldChar w:fldCharType="begin"/>
        </w:r>
        <w:r>
          <w:rPr>
            <w:noProof/>
            <w:webHidden/>
          </w:rPr>
          <w:instrText xml:space="preserve"> PAGEREF _Toc225283135 \h </w:instrText>
        </w:r>
        <w:r>
          <w:rPr>
            <w:noProof/>
            <w:webHidden/>
          </w:rPr>
        </w:r>
        <w:r>
          <w:rPr>
            <w:noProof/>
            <w:webHidden/>
          </w:rPr>
          <w:fldChar w:fldCharType="separate"/>
        </w:r>
        <w:r w:rsidR="0078027F">
          <w:rPr>
            <w:noProof/>
            <w:webHidden/>
          </w:rPr>
          <w:t>28</w:t>
        </w:r>
        <w:r>
          <w:rPr>
            <w:noProof/>
            <w:webHidden/>
          </w:rPr>
          <w:fldChar w:fldCharType="end"/>
        </w:r>
      </w:hyperlink>
    </w:p>
    <w:p w14:paraId="4F301053" w14:textId="085E7B69" w:rsidR="008D1F4C" w:rsidRDefault="008D1F4C">
      <w:pPr>
        <w:pStyle w:val="Tabladeilustraciones"/>
        <w:tabs>
          <w:tab w:val="right" w:leader="dot" w:pos="8828"/>
        </w:tabs>
        <w:rPr>
          <w:rFonts w:eastAsiaTheme="minorEastAsia"/>
          <w:noProof/>
          <w:sz w:val="24"/>
          <w:szCs w:val="24"/>
          <w:lang w:eastAsia="es-CO"/>
        </w:rPr>
      </w:pPr>
      <w:hyperlink w:anchor="_Toc225283136" w:history="1">
        <w:r w:rsidRPr="005514E8">
          <w:rPr>
            <w:rStyle w:val="Hipervnculo"/>
            <w:rFonts w:ascii="Verdana" w:eastAsia="Verdana" w:hAnsi="Verdana" w:cs="Arial"/>
            <w:noProof/>
          </w:rPr>
          <w:t>Tabla 24. Detalle de regionalización del indicador C.221</w:t>
        </w:r>
        <w:r>
          <w:rPr>
            <w:noProof/>
            <w:webHidden/>
          </w:rPr>
          <w:tab/>
        </w:r>
        <w:r>
          <w:rPr>
            <w:noProof/>
            <w:webHidden/>
          </w:rPr>
          <w:fldChar w:fldCharType="begin"/>
        </w:r>
        <w:r>
          <w:rPr>
            <w:noProof/>
            <w:webHidden/>
          </w:rPr>
          <w:instrText xml:space="preserve"> PAGEREF _Toc225283136 \h </w:instrText>
        </w:r>
        <w:r>
          <w:rPr>
            <w:noProof/>
            <w:webHidden/>
          </w:rPr>
        </w:r>
        <w:r>
          <w:rPr>
            <w:noProof/>
            <w:webHidden/>
          </w:rPr>
          <w:fldChar w:fldCharType="separate"/>
        </w:r>
        <w:r w:rsidR="0078027F">
          <w:rPr>
            <w:noProof/>
            <w:webHidden/>
          </w:rPr>
          <w:t>29</w:t>
        </w:r>
        <w:r>
          <w:rPr>
            <w:noProof/>
            <w:webHidden/>
          </w:rPr>
          <w:fldChar w:fldCharType="end"/>
        </w:r>
      </w:hyperlink>
    </w:p>
    <w:p w14:paraId="01EF1B7E" w14:textId="4501CAA8" w:rsidR="008D1F4C" w:rsidRDefault="008D1F4C">
      <w:pPr>
        <w:pStyle w:val="Tabladeilustraciones"/>
        <w:tabs>
          <w:tab w:val="right" w:leader="dot" w:pos="8828"/>
        </w:tabs>
        <w:rPr>
          <w:rFonts w:eastAsiaTheme="minorEastAsia"/>
          <w:noProof/>
          <w:sz w:val="24"/>
          <w:szCs w:val="24"/>
          <w:lang w:eastAsia="es-CO"/>
        </w:rPr>
      </w:pPr>
      <w:hyperlink w:anchor="_Toc225283137" w:history="1">
        <w:r w:rsidRPr="005514E8">
          <w:rPr>
            <w:rStyle w:val="Hipervnculo"/>
            <w:rFonts w:ascii="Verdana" w:eastAsia="Verdana" w:hAnsi="Verdana" w:cs="Arial"/>
            <w:noProof/>
          </w:rPr>
          <w:t>Tabla 25. Desafíos y retos del indicador C.221</w:t>
        </w:r>
        <w:r>
          <w:rPr>
            <w:noProof/>
            <w:webHidden/>
          </w:rPr>
          <w:tab/>
        </w:r>
        <w:r>
          <w:rPr>
            <w:noProof/>
            <w:webHidden/>
          </w:rPr>
          <w:fldChar w:fldCharType="begin"/>
        </w:r>
        <w:r>
          <w:rPr>
            <w:noProof/>
            <w:webHidden/>
          </w:rPr>
          <w:instrText xml:space="preserve"> PAGEREF _Toc225283137 \h </w:instrText>
        </w:r>
        <w:r>
          <w:rPr>
            <w:noProof/>
            <w:webHidden/>
          </w:rPr>
        </w:r>
        <w:r>
          <w:rPr>
            <w:noProof/>
            <w:webHidden/>
          </w:rPr>
          <w:fldChar w:fldCharType="separate"/>
        </w:r>
        <w:r w:rsidR="0078027F">
          <w:rPr>
            <w:noProof/>
            <w:webHidden/>
          </w:rPr>
          <w:t>31</w:t>
        </w:r>
        <w:r>
          <w:rPr>
            <w:noProof/>
            <w:webHidden/>
          </w:rPr>
          <w:fldChar w:fldCharType="end"/>
        </w:r>
      </w:hyperlink>
    </w:p>
    <w:p w14:paraId="4CFE745C" w14:textId="5565EDEC" w:rsidR="008D1F4C" w:rsidRDefault="008D1F4C">
      <w:pPr>
        <w:pStyle w:val="Tabladeilustraciones"/>
        <w:tabs>
          <w:tab w:val="right" w:leader="dot" w:pos="8828"/>
        </w:tabs>
        <w:rPr>
          <w:rFonts w:eastAsiaTheme="minorEastAsia"/>
          <w:noProof/>
          <w:sz w:val="24"/>
          <w:szCs w:val="24"/>
          <w:lang w:eastAsia="es-CO"/>
        </w:rPr>
      </w:pPr>
      <w:hyperlink w:anchor="_Toc225283138" w:history="1">
        <w:r w:rsidRPr="005514E8">
          <w:rPr>
            <w:rStyle w:val="Hipervnculo"/>
            <w:rFonts w:ascii="Verdana" w:eastAsia="Verdana" w:hAnsi="Verdana" w:cs="Arial"/>
            <w:noProof/>
          </w:rPr>
          <w:t>Tabla 26. Detalle de avance en el indicador C.238</w:t>
        </w:r>
        <w:r>
          <w:rPr>
            <w:noProof/>
            <w:webHidden/>
          </w:rPr>
          <w:tab/>
        </w:r>
        <w:r>
          <w:rPr>
            <w:noProof/>
            <w:webHidden/>
          </w:rPr>
          <w:fldChar w:fldCharType="begin"/>
        </w:r>
        <w:r>
          <w:rPr>
            <w:noProof/>
            <w:webHidden/>
          </w:rPr>
          <w:instrText xml:space="preserve"> PAGEREF _Toc225283138 \h </w:instrText>
        </w:r>
        <w:r>
          <w:rPr>
            <w:noProof/>
            <w:webHidden/>
          </w:rPr>
        </w:r>
        <w:r>
          <w:rPr>
            <w:noProof/>
            <w:webHidden/>
          </w:rPr>
          <w:fldChar w:fldCharType="separate"/>
        </w:r>
        <w:r w:rsidR="0078027F">
          <w:rPr>
            <w:noProof/>
            <w:webHidden/>
          </w:rPr>
          <w:t>31</w:t>
        </w:r>
        <w:r>
          <w:rPr>
            <w:noProof/>
            <w:webHidden/>
          </w:rPr>
          <w:fldChar w:fldCharType="end"/>
        </w:r>
      </w:hyperlink>
    </w:p>
    <w:p w14:paraId="58C2C11E" w14:textId="444F6362" w:rsidR="008D1F4C" w:rsidRDefault="008D1F4C">
      <w:pPr>
        <w:pStyle w:val="Tabladeilustraciones"/>
        <w:tabs>
          <w:tab w:val="right" w:leader="dot" w:pos="8828"/>
        </w:tabs>
        <w:rPr>
          <w:rFonts w:eastAsiaTheme="minorEastAsia"/>
          <w:noProof/>
          <w:sz w:val="24"/>
          <w:szCs w:val="24"/>
          <w:lang w:eastAsia="es-CO"/>
        </w:rPr>
      </w:pPr>
      <w:hyperlink w:anchor="_Toc225283139" w:history="1">
        <w:r w:rsidRPr="005514E8">
          <w:rPr>
            <w:rStyle w:val="Hipervnculo"/>
            <w:rFonts w:ascii="Verdana" w:eastAsia="Verdana" w:hAnsi="Verdana" w:cs="Arial"/>
            <w:noProof/>
          </w:rPr>
          <w:t>Tabla 27. Detalle de las principales acciones del indicador C.238</w:t>
        </w:r>
        <w:r>
          <w:rPr>
            <w:noProof/>
            <w:webHidden/>
          </w:rPr>
          <w:tab/>
        </w:r>
        <w:r>
          <w:rPr>
            <w:noProof/>
            <w:webHidden/>
          </w:rPr>
          <w:fldChar w:fldCharType="begin"/>
        </w:r>
        <w:r>
          <w:rPr>
            <w:noProof/>
            <w:webHidden/>
          </w:rPr>
          <w:instrText xml:space="preserve"> PAGEREF _Toc225283139 \h </w:instrText>
        </w:r>
        <w:r>
          <w:rPr>
            <w:noProof/>
            <w:webHidden/>
          </w:rPr>
        </w:r>
        <w:r>
          <w:rPr>
            <w:noProof/>
            <w:webHidden/>
          </w:rPr>
          <w:fldChar w:fldCharType="separate"/>
        </w:r>
        <w:r w:rsidR="0078027F">
          <w:rPr>
            <w:noProof/>
            <w:webHidden/>
          </w:rPr>
          <w:t>33</w:t>
        </w:r>
        <w:r>
          <w:rPr>
            <w:noProof/>
            <w:webHidden/>
          </w:rPr>
          <w:fldChar w:fldCharType="end"/>
        </w:r>
      </w:hyperlink>
    </w:p>
    <w:p w14:paraId="4277889F" w14:textId="27616F65" w:rsidR="008D1F4C" w:rsidRDefault="008D1F4C">
      <w:pPr>
        <w:pStyle w:val="Tabladeilustraciones"/>
        <w:tabs>
          <w:tab w:val="right" w:leader="dot" w:pos="8828"/>
        </w:tabs>
        <w:rPr>
          <w:rFonts w:eastAsiaTheme="minorEastAsia"/>
          <w:noProof/>
          <w:sz w:val="24"/>
          <w:szCs w:val="24"/>
          <w:lang w:eastAsia="es-CO"/>
        </w:rPr>
      </w:pPr>
      <w:hyperlink w:anchor="_Toc225283140" w:history="1">
        <w:r w:rsidRPr="005514E8">
          <w:rPr>
            <w:rStyle w:val="Hipervnculo"/>
            <w:rFonts w:ascii="Verdana" w:eastAsia="Verdana" w:hAnsi="Verdana" w:cs="Arial"/>
            <w:noProof/>
          </w:rPr>
          <w:t>Tabla 28. Regionalización de las acciones del indicador C.238</w:t>
        </w:r>
        <w:r>
          <w:rPr>
            <w:noProof/>
            <w:webHidden/>
          </w:rPr>
          <w:tab/>
        </w:r>
        <w:r>
          <w:rPr>
            <w:noProof/>
            <w:webHidden/>
          </w:rPr>
          <w:fldChar w:fldCharType="begin"/>
        </w:r>
        <w:r>
          <w:rPr>
            <w:noProof/>
            <w:webHidden/>
          </w:rPr>
          <w:instrText xml:space="preserve"> PAGEREF _Toc225283140 \h </w:instrText>
        </w:r>
        <w:r>
          <w:rPr>
            <w:noProof/>
            <w:webHidden/>
          </w:rPr>
        </w:r>
        <w:r>
          <w:rPr>
            <w:noProof/>
            <w:webHidden/>
          </w:rPr>
          <w:fldChar w:fldCharType="separate"/>
        </w:r>
        <w:r w:rsidR="0078027F">
          <w:rPr>
            <w:noProof/>
            <w:webHidden/>
          </w:rPr>
          <w:t>34</w:t>
        </w:r>
        <w:r>
          <w:rPr>
            <w:noProof/>
            <w:webHidden/>
          </w:rPr>
          <w:fldChar w:fldCharType="end"/>
        </w:r>
      </w:hyperlink>
    </w:p>
    <w:p w14:paraId="7EC104BD" w14:textId="44D100FA" w:rsidR="008D1F4C" w:rsidRDefault="008D1F4C">
      <w:pPr>
        <w:pStyle w:val="Tabladeilustraciones"/>
        <w:tabs>
          <w:tab w:val="right" w:leader="dot" w:pos="8828"/>
        </w:tabs>
        <w:rPr>
          <w:rFonts w:eastAsiaTheme="minorEastAsia"/>
          <w:noProof/>
          <w:sz w:val="24"/>
          <w:szCs w:val="24"/>
          <w:lang w:eastAsia="es-CO"/>
        </w:rPr>
      </w:pPr>
      <w:hyperlink w:anchor="_Toc225283141" w:history="1">
        <w:r w:rsidRPr="005514E8">
          <w:rPr>
            <w:rStyle w:val="Hipervnculo"/>
            <w:rFonts w:ascii="Verdana" w:eastAsia="Verdana" w:hAnsi="Verdana" w:cs="Arial"/>
            <w:noProof/>
          </w:rPr>
          <w:t>Tabla 29. Desafíos y retos del indicador C.238</w:t>
        </w:r>
        <w:r>
          <w:rPr>
            <w:noProof/>
            <w:webHidden/>
          </w:rPr>
          <w:tab/>
        </w:r>
        <w:r>
          <w:rPr>
            <w:noProof/>
            <w:webHidden/>
          </w:rPr>
          <w:fldChar w:fldCharType="begin"/>
        </w:r>
        <w:r>
          <w:rPr>
            <w:noProof/>
            <w:webHidden/>
          </w:rPr>
          <w:instrText xml:space="preserve"> PAGEREF _Toc225283141 \h </w:instrText>
        </w:r>
        <w:r>
          <w:rPr>
            <w:noProof/>
            <w:webHidden/>
          </w:rPr>
        </w:r>
        <w:r>
          <w:rPr>
            <w:noProof/>
            <w:webHidden/>
          </w:rPr>
          <w:fldChar w:fldCharType="separate"/>
        </w:r>
        <w:r w:rsidR="0078027F">
          <w:rPr>
            <w:noProof/>
            <w:webHidden/>
          </w:rPr>
          <w:t>35</w:t>
        </w:r>
        <w:r>
          <w:rPr>
            <w:noProof/>
            <w:webHidden/>
          </w:rPr>
          <w:fldChar w:fldCharType="end"/>
        </w:r>
      </w:hyperlink>
    </w:p>
    <w:p w14:paraId="4DDFC3B7" w14:textId="4B4EDF15" w:rsidR="008D1F4C" w:rsidRDefault="008D1F4C">
      <w:pPr>
        <w:pStyle w:val="Tabladeilustraciones"/>
        <w:tabs>
          <w:tab w:val="right" w:leader="dot" w:pos="8828"/>
        </w:tabs>
        <w:rPr>
          <w:rFonts w:eastAsiaTheme="minorEastAsia"/>
          <w:noProof/>
          <w:sz w:val="24"/>
          <w:szCs w:val="24"/>
          <w:lang w:eastAsia="es-CO"/>
        </w:rPr>
      </w:pPr>
      <w:hyperlink w:anchor="_Toc225283142" w:history="1">
        <w:r w:rsidRPr="005514E8">
          <w:rPr>
            <w:rStyle w:val="Hipervnculo"/>
            <w:rFonts w:ascii="Verdana" w:eastAsia="Verdana" w:hAnsi="Verdana" w:cs="Arial"/>
            <w:noProof/>
          </w:rPr>
          <w:t>Tabla 30. Detalle de avance en el indicador C.239</w:t>
        </w:r>
        <w:r>
          <w:rPr>
            <w:noProof/>
            <w:webHidden/>
          </w:rPr>
          <w:tab/>
        </w:r>
        <w:r>
          <w:rPr>
            <w:noProof/>
            <w:webHidden/>
          </w:rPr>
          <w:fldChar w:fldCharType="begin"/>
        </w:r>
        <w:r>
          <w:rPr>
            <w:noProof/>
            <w:webHidden/>
          </w:rPr>
          <w:instrText xml:space="preserve"> PAGEREF _Toc225283142 \h </w:instrText>
        </w:r>
        <w:r>
          <w:rPr>
            <w:noProof/>
            <w:webHidden/>
          </w:rPr>
        </w:r>
        <w:r>
          <w:rPr>
            <w:noProof/>
            <w:webHidden/>
          </w:rPr>
          <w:fldChar w:fldCharType="separate"/>
        </w:r>
        <w:r w:rsidR="0078027F">
          <w:rPr>
            <w:noProof/>
            <w:webHidden/>
          </w:rPr>
          <w:t>36</w:t>
        </w:r>
        <w:r>
          <w:rPr>
            <w:noProof/>
            <w:webHidden/>
          </w:rPr>
          <w:fldChar w:fldCharType="end"/>
        </w:r>
      </w:hyperlink>
    </w:p>
    <w:p w14:paraId="1C642377" w14:textId="0AC61960" w:rsidR="008D1F4C" w:rsidRDefault="008D1F4C">
      <w:pPr>
        <w:pStyle w:val="Tabladeilustraciones"/>
        <w:tabs>
          <w:tab w:val="right" w:leader="dot" w:pos="8828"/>
        </w:tabs>
        <w:rPr>
          <w:rFonts w:eastAsiaTheme="minorEastAsia"/>
          <w:noProof/>
          <w:sz w:val="24"/>
          <w:szCs w:val="24"/>
          <w:lang w:eastAsia="es-CO"/>
        </w:rPr>
      </w:pPr>
      <w:hyperlink w:anchor="_Toc225283143" w:history="1">
        <w:r w:rsidRPr="005514E8">
          <w:rPr>
            <w:rStyle w:val="Hipervnculo"/>
            <w:rFonts w:ascii="Verdana" w:hAnsi="Verdana" w:cs="Arial"/>
            <w:noProof/>
          </w:rPr>
          <w:t>Tabla 31. Detalle de las principales acciones de los indicadores C.239</w:t>
        </w:r>
        <w:r>
          <w:rPr>
            <w:noProof/>
            <w:webHidden/>
          </w:rPr>
          <w:tab/>
        </w:r>
        <w:r>
          <w:rPr>
            <w:noProof/>
            <w:webHidden/>
          </w:rPr>
          <w:fldChar w:fldCharType="begin"/>
        </w:r>
        <w:r>
          <w:rPr>
            <w:noProof/>
            <w:webHidden/>
          </w:rPr>
          <w:instrText xml:space="preserve"> PAGEREF _Toc225283143 \h </w:instrText>
        </w:r>
        <w:r>
          <w:rPr>
            <w:noProof/>
            <w:webHidden/>
          </w:rPr>
        </w:r>
        <w:r>
          <w:rPr>
            <w:noProof/>
            <w:webHidden/>
          </w:rPr>
          <w:fldChar w:fldCharType="separate"/>
        </w:r>
        <w:r w:rsidR="0078027F">
          <w:rPr>
            <w:noProof/>
            <w:webHidden/>
          </w:rPr>
          <w:t>37</w:t>
        </w:r>
        <w:r>
          <w:rPr>
            <w:noProof/>
            <w:webHidden/>
          </w:rPr>
          <w:fldChar w:fldCharType="end"/>
        </w:r>
      </w:hyperlink>
    </w:p>
    <w:p w14:paraId="48B159DB" w14:textId="565C2B8E" w:rsidR="008D1F4C" w:rsidRDefault="008D1F4C">
      <w:pPr>
        <w:pStyle w:val="Tabladeilustraciones"/>
        <w:tabs>
          <w:tab w:val="right" w:leader="dot" w:pos="8828"/>
        </w:tabs>
        <w:rPr>
          <w:rFonts w:eastAsiaTheme="minorEastAsia"/>
          <w:noProof/>
          <w:sz w:val="24"/>
          <w:szCs w:val="24"/>
          <w:lang w:eastAsia="es-CO"/>
        </w:rPr>
      </w:pPr>
      <w:hyperlink w:anchor="_Toc225283144" w:history="1">
        <w:r w:rsidRPr="005514E8">
          <w:rPr>
            <w:rStyle w:val="Hipervnculo"/>
            <w:rFonts w:ascii="Verdana" w:hAnsi="Verdana" w:cs="Arial"/>
            <w:noProof/>
          </w:rPr>
          <w:t>Tabla 32. Regionalización de las acciones del indicador C.239</w:t>
        </w:r>
        <w:r>
          <w:rPr>
            <w:noProof/>
            <w:webHidden/>
          </w:rPr>
          <w:tab/>
        </w:r>
        <w:r>
          <w:rPr>
            <w:noProof/>
            <w:webHidden/>
          </w:rPr>
          <w:fldChar w:fldCharType="begin"/>
        </w:r>
        <w:r>
          <w:rPr>
            <w:noProof/>
            <w:webHidden/>
          </w:rPr>
          <w:instrText xml:space="preserve"> PAGEREF _Toc225283144 \h </w:instrText>
        </w:r>
        <w:r>
          <w:rPr>
            <w:noProof/>
            <w:webHidden/>
          </w:rPr>
        </w:r>
        <w:r>
          <w:rPr>
            <w:noProof/>
            <w:webHidden/>
          </w:rPr>
          <w:fldChar w:fldCharType="separate"/>
        </w:r>
        <w:r w:rsidR="0078027F">
          <w:rPr>
            <w:noProof/>
            <w:webHidden/>
          </w:rPr>
          <w:t>38</w:t>
        </w:r>
        <w:r>
          <w:rPr>
            <w:noProof/>
            <w:webHidden/>
          </w:rPr>
          <w:fldChar w:fldCharType="end"/>
        </w:r>
      </w:hyperlink>
    </w:p>
    <w:p w14:paraId="56D1074A" w14:textId="794EC732" w:rsidR="008D1F4C" w:rsidRDefault="008D1F4C">
      <w:pPr>
        <w:pStyle w:val="Tabladeilustraciones"/>
        <w:tabs>
          <w:tab w:val="right" w:leader="dot" w:pos="8828"/>
        </w:tabs>
        <w:rPr>
          <w:rFonts w:eastAsiaTheme="minorEastAsia"/>
          <w:noProof/>
          <w:sz w:val="24"/>
          <w:szCs w:val="24"/>
          <w:lang w:eastAsia="es-CO"/>
        </w:rPr>
      </w:pPr>
      <w:hyperlink w:anchor="_Toc225283145" w:history="1">
        <w:r w:rsidRPr="005514E8">
          <w:rPr>
            <w:rStyle w:val="Hipervnculo"/>
            <w:rFonts w:ascii="Verdana" w:hAnsi="Verdana" w:cs="Arial"/>
            <w:noProof/>
          </w:rPr>
          <w:t>Tabla 33. Desafíos y retos del indicador C.239</w:t>
        </w:r>
        <w:r>
          <w:rPr>
            <w:noProof/>
            <w:webHidden/>
          </w:rPr>
          <w:tab/>
        </w:r>
        <w:r>
          <w:rPr>
            <w:noProof/>
            <w:webHidden/>
          </w:rPr>
          <w:fldChar w:fldCharType="begin"/>
        </w:r>
        <w:r>
          <w:rPr>
            <w:noProof/>
            <w:webHidden/>
          </w:rPr>
          <w:instrText xml:space="preserve"> PAGEREF _Toc225283145 \h </w:instrText>
        </w:r>
        <w:r>
          <w:rPr>
            <w:noProof/>
            <w:webHidden/>
          </w:rPr>
        </w:r>
        <w:r>
          <w:rPr>
            <w:noProof/>
            <w:webHidden/>
          </w:rPr>
          <w:fldChar w:fldCharType="separate"/>
        </w:r>
        <w:r w:rsidR="0078027F">
          <w:rPr>
            <w:noProof/>
            <w:webHidden/>
          </w:rPr>
          <w:t>38</w:t>
        </w:r>
        <w:r>
          <w:rPr>
            <w:noProof/>
            <w:webHidden/>
          </w:rPr>
          <w:fldChar w:fldCharType="end"/>
        </w:r>
      </w:hyperlink>
    </w:p>
    <w:p w14:paraId="2C118ED5" w14:textId="5945D817" w:rsidR="008D1F4C" w:rsidRDefault="008D1F4C">
      <w:pPr>
        <w:pStyle w:val="Tabladeilustraciones"/>
        <w:tabs>
          <w:tab w:val="right" w:leader="dot" w:pos="8828"/>
        </w:tabs>
        <w:rPr>
          <w:rFonts w:eastAsiaTheme="minorEastAsia"/>
          <w:noProof/>
          <w:sz w:val="24"/>
          <w:szCs w:val="24"/>
          <w:lang w:eastAsia="es-CO"/>
        </w:rPr>
      </w:pPr>
      <w:hyperlink w:anchor="_Toc225283146" w:history="1">
        <w:r w:rsidRPr="005514E8">
          <w:rPr>
            <w:rStyle w:val="Hipervnculo"/>
            <w:rFonts w:ascii="Verdana" w:eastAsia="Verdana" w:hAnsi="Verdana" w:cs="Arial"/>
            <w:noProof/>
          </w:rPr>
          <w:t>Tabla 34. Detalle de avance en el indicador C.240</w:t>
        </w:r>
        <w:r>
          <w:rPr>
            <w:noProof/>
            <w:webHidden/>
          </w:rPr>
          <w:tab/>
        </w:r>
        <w:r>
          <w:rPr>
            <w:noProof/>
            <w:webHidden/>
          </w:rPr>
          <w:fldChar w:fldCharType="begin"/>
        </w:r>
        <w:r>
          <w:rPr>
            <w:noProof/>
            <w:webHidden/>
          </w:rPr>
          <w:instrText xml:space="preserve"> PAGEREF _Toc225283146 \h </w:instrText>
        </w:r>
        <w:r>
          <w:rPr>
            <w:noProof/>
            <w:webHidden/>
          </w:rPr>
        </w:r>
        <w:r>
          <w:rPr>
            <w:noProof/>
            <w:webHidden/>
          </w:rPr>
          <w:fldChar w:fldCharType="separate"/>
        </w:r>
        <w:r w:rsidR="0078027F">
          <w:rPr>
            <w:noProof/>
            <w:webHidden/>
          </w:rPr>
          <w:t>39</w:t>
        </w:r>
        <w:r>
          <w:rPr>
            <w:noProof/>
            <w:webHidden/>
          </w:rPr>
          <w:fldChar w:fldCharType="end"/>
        </w:r>
      </w:hyperlink>
    </w:p>
    <w:p w14:paraId="38A138E7" w14:textId="2BDE609B" w:rsidR="008D1F4C" w:rsidRDefault="008D1F4C">
      <w:pPr>
        <w:pStyle w:val="Tabladeilustraciones"/>
        <w:tabs>
          <w:tab w:val="right" w:leader="dot" w:pos="8828"/>
        </w:tabs>
        <w:rPr>
          <w:rFonts w:eastAsiaTheme="minorEastAsia"/>
          <w:noProof/>
          <w:sz w:val="24"/>
          <w:szCs w:val="24"/>
          <w:lang w:eastAsia="es-CO"/>
        </w:rPr>
      </w:pPr>
      <w:hyperlink w:anchor="_Toc225283147" w:history="1">
        <w:r w:rsidRPr="005514E8">
          <w:rPr>
            <w:rStyle w:val="Hipervnculo"/>
            <w:rFonts w:ascii="Verdana" w:hAnsi="Verdana" w:cs="Arial"/>
            <w:noProof/>
          </w:rPr>
          <w:t>Tabla 35. Detalle de las principales acciones del indicador C.240</w:t>
        </w:r>
        <w:r>
          <w:rPr>
            <w:noProof/>
            <w:webHidden/>
          </w:rPr>
          <w:tab/>
        </w:r>
        <w:r>
          <w:rPr>
            <w:noProof/>
            <w:webHidden/>
          </w:rPr>
          <w:fldChar w:fldCharType="begin"/>
        </w:r>
        <w:r>
          <w:rPr>
            <w:noProof/>
            <w:webHidden/>
          </w:rPr>
          <w:instrText xml:space="preserve"> PAGEREF _Toc225283147 \h </w:instrText>
        </w:r>
        <w:r>
          <w:rPr>
            <w:noProof/>
            <w:webHidden/>
          </w:rPr>
        </w:r>
        <w:r>
          <w:rPr>
            <w:noProof/>
            <w:webHidden/>
          </w:rPr>
          <w:fldChar w:fldCharType="separate"/>
        </w:r>
        <w:r w:rsidR="0078027F">
          <w:rPr>
            <w:noProof/>
            <w:webHidden/>
          </w:rPr>
          <w:t>41</w:t>
        </w:r>
        <w:r>
          <w:rPr>
            <w:noProof/>
            <w:webHidden/>
          </w:rPr>
          <w:fldChar w:fldCharType="end"/>
        </w:r>
      </w:hyperlink>
    </w:p>
    <w:p w14:paraId="1C10C040" w14:textId="0C9CF5A6" w:rsidR="008D1F4C" w:rsidRDefault="008D1F4C">
      <w:pPr>
        <w:pStyle w:val="Tabladeilustraciones"/>
        <w:tabs>
          <w:tab w:val="right" w:leader="dot" w:pos="8828"/>
        </w:tabs>
        <w:rPr>
          <w:rFonts w:eastAsiaTheme="minorEastAsia"/>
          <w:noProof/>
          <w:sz w:val="24"/>
          <w:szCs w:val="24"/>
          <w:lang w:eastAsia="es-CO"/>
        </w:rPr>
      </w:pPr>
      <w:hyperlink w:anchor="_Toc225283148" w:history="1">
        <w:r w:rsidRPr="005514E8">
          <w:rPr>
            <w:rStyle w:val="Hipervnculo"/>
            <w:rFonts w:ascii="Verdana" w:hAnsi="Verdana" w:cs="Arial"/>
            <w:noProof/>
          </w:rPr>
          <w:t>Tabla 36. Regionalización del indicador C.240</w:t>
        </w:r>
        <w:r>
          <w:rPr>
            <w:noProof/>
            <w:webHidden/>
          </w:rPr>
          <w:tab/>
        </w:r>
        <w:r>
          <w:rPr>
            <w:noProof/>
            <w:webHidden/>
          </w:rPr>
          <w:fldChar w:fldCharType="begin"/>
        </w:r>
        <w:r>
          <w:rPr>
            <w:noProof/>
            <w:webHidden/>
          </w:rPr>
          <w:instrText xml:space="preserve"> PAGEREF _Toc225283148 \h </w:instrText>
        </w:r>
        <w:r>
          <w:rPr>
            <w:noProof/>
            <w:webHidden/>
          </w:rPr>
        </w:r>
        <w:r>
          <w:rPr>
            <w:noProof/>
            <w:webHidden/>
          </w:rPr>
          <w:fldChar w:fldCharType="separate"/>
        </w:r>
        <w:r w:rsidR="0078027F">
          <w:rPr>
            <w:noProof/>
            <w:webHidden/>
          </w:rPr>
          <w:t>42</w:t>
        </w:r>
        <w:r>
          <w:rPr>
            <w:noProof/>
            <w:webHidden/>
          </w:rPr>
          <w:fldChar w:fldCharType="end"/>
        </w:r>
      </w:hyperlink>
    </w:p>
    <w:p w14:paraId="49AC11EB" w14:textId="20B1D7F5" w:rsidR="008D1F4C" w:rsidRDefault="008D1F4C">
      <w:pPr>
        <w:pStyle w:val="Tabladeilustraciones"/>
        <w:tabs>
          <w:tab w:val="right" w:leader="dot" w:pos="8828"/>
        </w:tabs>
        <w:rPr>
          <w:rFonts w:eastAsiaTheme="minorEastAsia"/>
          <w:noProof/>
          <w:sz w:val="24"/>
          <w:szCs w:val="24"/>
          <w:lang w:eastAsia="es-CO"/>
        </w:rPr>
      </w:pPr>
      <w:hyperlink w:anchor="_Toc225283149" w:history="1">
        <w:r w:rsidRPr="005514E8">
          <w:rPr>
            <w:rStyle w:val="Hipervnculo"/>
            <w:rFonts w:ascii="Verdana" w:hAnsi="Verdana" w:cs="Arial"/>
            <w:noProof/>
          </w:rPr>
          <w:t>Tabla 37. Desafíos y retos del indicador C.240</w:t>
        </w:r>
        <w:r>
          <w:rPr>
            <w:noProof/>
            <w:webHidden/>
          </w:rPr>
          <w:tab/>
        </w:r>
        <w:r>
          <w:rPr>
            <w:noProof/>
            <w:webHidden/>
          </w:rPr>
          <w:fldChar w:fldCharType="begin"/>
        </w:r>
        <w:r>
          <w:rPr>
            <w:noProof/>
            <w:webHidden/>
          </w:rPr>
          <w:instrText xml:space="preserve"> PAGEREF _Toc225283149 \h </w:instrText>
        </w:r>
        <w:r>
          <w:rPr>
            <w:noProof/>
            <w:webHidden/>
          </w:rPr>
        </w:r>
        <w:r>
          <w:rPr>
            <w:noProof/>
            <w:webHidden/>
          </w:rPr>
          <w:fldChar w:fldCharType="separate"/>
        </w:r>
        <w:r w:rsidR="0078027F">
          <w:rPr>
            <w:noProof/>
            <w:webHidden/>
          </w:rPr>
          <w:t>43</w:t>
        </w:r>
        <w:r>
          <w:rPr>
            <w:noProof/>
            <w:webHidden/>
          </w:rPr>
          <w:fldChar w:fldCharType="end"/>
        </w:r>
      </w:hyperlink>
    </w:p>
    <w:p w14:paraId="693846D3" w14:textId="34817675" w:rsidR="008D1F4C" w:rsidRDefault="008D1F4C">
      <w:pPr>
        <w:pStyle w:val="Tabladeilustraciones"/>
        <w:tabs>
          <w:tab w:val="right" w:leader="dot" w:pos="8828"/>
        </w:tabs>
        <w:rPr>
          <w:rFonts w:eastAsiaTheme="minorEastAsia"/>
          <w:noProof/>
          <w:sz w:val="24"/>
          <w:szCs w:val="24"/>
          <w:lang w:eastAsia="es-CO"/>
        </w:rPr>
      </w:pPr>
      <w:hyperlink w:anchor="_Toc225283150" w:history="1">
        <w:r w:rsidRPr="005514E8">
          <w:rPr>
            <w:rStyle w:val="Hipervnculo"/>
            <w:rFonts w:ascii="Verdana" w:eastAsia="Verdana" w:hAnsi="Verdana" w:cs="Arial"/>
            <w:noProof/>
          </w:rPr>
          <w:t>Tabla 38. Detalle de avance en el indicador C.241</w:t>
        </w:r>
        <w:r>
          <w:rPr>
            <w:noProof/>
            <w:webHidden/>
          </w:rPr>
          <w:tab/>
        </w:r>
        <w:r>
          <w:rPr>
            <w:noProof/>
            <w:webHidden/>
          </w:rPr>
          <w:fldChar w:fldCharType="begin"/>
        </w:r>
        <w:r>
          <w:rPr>
            <w:noProof/>
            <w:webHidden/>
          </w:rPr>
          <w:instrText xml:space="preserve"> PAGEREF _Toc225283150 \h </w:instrText>
        </w:r>
        <w:r>
          <w:rPr>
            <w:noProof/>
            <w:webHidden/>
          </w:rPr>
        </w:r>
        <w:r>
          <w:rPr>
            <w:noProof/>
            <w:webHidden/>
          </w:rPr>
          <w:fldChar w:fldCharType="separate"/>
        </w:r>
        <w:r w:rsidR="0078027F">
          <w:rPr>
            <w:noProof/>
            <w:webHidden/>
          </w:rPr>
          <w:t>44</w:t>
        </w:r>
        <w:r>
          <w:rPr>
            <w:noProof/>
            <w:webHidden/>
          </w:rPr>
          <w:fldChar w:fldCharType="end"/>
        </w:r>
      </w:hyperlink>
    </w:p>
    <w:p w14:paraId="2F02006B" w14:textId="4D68192D" w:rsidR="008D1F4C" w:rsidRDefault="008D1F4C">
      <w:pPr>
        <w:pStyle w:val="Tabladeilustraciones"/>
        <w:tabs>
          <w:tab w:val="right" w:leader="dot" w:pos="8828"/>
        </w:tabs>
        <w:rPr>
          <w:rFonts w:eastAsiaTheme="minorEastAsia"/>
          <w:noProof/>
          <w:sz w:val="24"/>
          <w:szCs w:val="24"/>
          <w:lang w:eastAsia="es-CO"/>
        </w:rPr>
      </w:pPr>
      <w:hyperlink w:anchor="_Toc225283151" w:history="1">
        <w:r w:rsidRPr="005514E8">
          <w:rPr>
            <w:rStyle w:val="Hipervnculo"/>
            <w:rFonts w:ascii="Verdana" w:hAnsi="Verdana" w:cs="Arial"/>
            <w:noProof/>
          </w:rPr>
          <w:t>Tabla 39. Detalle de las principales acciones del indicador C.241</w:t>
        </w:r>
        <w:r>
          <w:rPr>
            <w:noProof/>
            <w:webHidden/>
          </w:rPr>
          <w:tab/>
        </w:r>
        <w:r>
          <w:rPr>
            <w:noProof/>
            <w:webHidden/>
          </w:rPr>
          <w:fldChar w:fldCharType="begin"/>
        </w:r>
        <w:r>
          <w:rPr>
            <w:noProof/>
            <w:webHidden/>
          </w:rPr>
          <w:instrText xml:space="preserve"> PAGEREF _Toc225283151 \h </w:instrText>
        </w:r>
        <w:r>
          <w:rPr>
            <w:noProof/>
            <w:webHidden/>
          </w:rPr>
        </w:r>
        <w:r>
          <w:rPr>
            <w:noProof/>
            <w:webHidden/>
          </w:rPr>
          <w:fldChar w:fldCharType="separate"/>
        </w:r>
        <w:r w:rsidR="0078027F">
          <w:rPr>
            <w:noProof/>
            <w:webHidden/>
          </w:rPr>
          <w:t>45</w:t>
        </w:r>
        <w:r>
          <w:rPr>
            <w:noProof/>
            <w:webHidden/>
          </w:rPr>
          <w:fldChar w:fldCharType="end"/>
        </w:r>
      </w:hyperlink>
    </w:p>
    <w:p w14:paraId="7AD6D4B2" w14:textId="250C386B" w:rsidR="008D1F4C" w:rsidRDefault="008D1F4C">
      <w:pPr>
        <w:pStyle w:val="Tabladeilustraciones"/>
        <w:tabs>
          <w:tab w:val="right" w:leader="dot" w:pos="8828"/>
        </w:tabs>
        <w:rPr>
          <w:rFonts w:eastAsiaTheme="minorEastAsia"/>
          <w:noProof/>
          <w:sz w:val="24"/>
          <w:szCs w:val="24"/>
          <w:lang w:eastAsia="es-CO"/>
        </w:rPr>
      </w:pPr>
      <w:hyperlink w:anchor="_Toc225283152" w:history="1">
        <w:r w:rsidRPr="005514E8">
          <w:rPr>
            <w:rStyle w:val="Hipervnculo"/>
            <w:rFonts w:ascii="Verdana" w:hAnsi="Verdana" w:cs="Arial"/>
            <w:noProof/>
          </w:rPr>
          <w:t>Tabla 40. Regionalización de las acciones del indicador C.241</w:t>
        </w:r>
        <w:r>
          <w:rPr>
            <w:noProof/>
            <w:webHidden/>
          </w:rPr>
          <w:tab/>
        </w:r>
        <w:r>
          <w:rPr>
            <w:noProof/>
            <w:webHidden/>
          </w:rPr>
          <w:fldChar w:fldCharType="begin"/>
        </w:r>
        <w:r>
          <w:rPr>
            <w:noProof/>
            <w:webHidden/>
          </w:rPr>
          <w:instrText xml:space="preserve"> PAGEREF _Toc225283152 \h </w:instrText>
        </w:r>
        <w:r>
          <w:rPr>
            <w:noProof/>
            <w:webHidden/>
          </w:rPr>
        </w:r>
        <w:r>
          <w:rPr>
            <w:noProof/>
            <w:webHidden/>
          </w:rPr>
          <w:fldChar w:fldCharType="separate"/>
        </w:r>
        <w:r w:rsidR="0078027F">
          <w:rPr>
            <w:noProof/>
            <w:webHidden/>
          </w:rPr>
          <w:t>46</w:t>
        </w:r>
        <w:r>
          <w:rPr>
            <w:noProof/>
            <w:webHidden/>
          </w:rPr>
          <w:fldChar w:fldCharType="end"/>
        </w:r>
      </w:hyperlink>
    </w:p>
    <w:p w14:paraId="1EAAA9FA" w14:textId="1E569581" w:rsidR="008D1F4C" w:rsidRDefault="008D1F4C">
      <w:pPr>
        <w:pStyle w:val="Tabladeilustraciones"/>
        <w:tabs>
          <w:tab w:val="right" w:leader="dot" w:pos="8828"/>
        </w:tabs>
        <w:rPr>
          <w:rFonts w:eastAsiaTheme="minorEastAsia"/>
          <w:noProof/>
          <w:sz w:val="24"/>
          <w:szCs w:val="24"/>
          <w:lang w:eastAsia="es-CO"/>
        </w:rPr>
      </w:pPr>
      <w:hyperlink w:anchor="_Toc225283153" w:history="1">
        <w:r w:rsidRPr="005514E8">
          <w:rPr>
            <w:rStyle w:val="Hipervnculo"/>
            <w:rFonts w:ascii="Verdana" w:hAnsi="Verdana" w:cs="Arial"/>
            <w:noProof/>
          </w:rPr>
          <w:t>Tabla 41. Desafíos y retos del indicador C.241</w:t>
        </w:r>
        <w:r>
          <w:rPr>
            <w:noProof/>
            <w:webHidden/>
          </w:rPr>
          <w:tab/>
        </w:r>
        <w:r>
          <w:rPr>
            <w:noProof/>
            <w:webHidden/>
          </w:rPr>
          <w:fldChar w:fldCharType="begin"/>
        </w:r>
        <w:r>
          <w:rPr>
            <w:noProof/>
            <w:webHidden/>
          </w:rPr>
          <w:instrText xml:space="preserve"> PAGEREF _Toc225283153 \h </w:instrText>
        </w:r>
        <w:r>
          <w:rPr>
            <w:noProof/>
            <w:webHidden/>
          </w:rPr>
        </w:r>
        <w:r>
          <w:rPr>
            <w:noProof/>
            <w:webHidden/>
          </w:rPr>
          <w:fldChar w:fldCharType="separate"/>
        </w:r>
        <w:r w:rsidR="0078027F">
          <w:rPr>
            <w:noProof/>
            <w:webHidden/>
          </w:rPr>
          <w:t>47</w:t>
        </w:r>
        <w:r>
          <w:rPr>
            <w:noProof/>
            <w:webHidden/>
          </w:rPr>
          <w:fldChar w:fldCharType="end"/>
        </w:r>
      </w:hyperlink>
    </w:p>
    <w:p w14:paraId="1447924C" w14:textId="219DAC9F" w:rsidR="008D1F4C" w:rsidRDefault="008D1F4C">
      <w:pPr>
        <w:pStyle w:val="Tabladeilustraciones"/>
        <w:tabs>
          <w:tab w:val="right" w:leader="dot" w:pos="8828"/>
        </w:tabs>
        <w:rPr>
          <w:rFonts w:eastAsiaTheme="minorEastAsia"/>
          <w:noProof/>
          <w:sz w:val="24"/>
          <w:szCs w:val="24"/>
          <w:lang w:eastAsia="es-CO"/>
        </w:rPr>
      </w:pPr>
      <w:hyperlink w:anchor="_Toc225283154" w:history="1">
        <w:r w:rsidRPr="005514E8">
          <w:rPr>
            <w:rStyle w:val="Hipervnculo"/>
            <w:rFonts w:ascii="Verdana" w:eastAsia="Verdana" w:hAnsi="Verdana" w:cs="Arial"/>
            <w:noProof/>
          </w:rPr>
          <w:t>Tabla 42. Detalle de avance en el indicador C.427</w:t>
        </w:r>
        <w:r>
          <w:rPr>
            <w:noProof/>
            <w:webHidden/>
          </w:rPr>
          <w:tab/>
        </w:r>
        <w:r>
          <w:rPr>
            <w:noProof/>
            <w:webHidden/>
          </w:rPr>
          <w:fldChar w:fldCharType="begin"/>
        </w:r>
        <w:r>
          <w:rPr>
            <w:noProof/>
            <w:webHidden/>
          </w:rPr>
          <w:instrText xml:space="preserve"> PAGEREF _Toc225283154 \h </w:instrText>
        </w:r>
        <w:r>
          <w:rPr>
            <w:noProof/>
            <w:webHidden/>
          </w:rPr>
        </w:r>
        <w:r>
          <w:rPr>
            <w:noProof/>
            <w:webHidden/>
          </w:rPr>
          <w:fldChar w:fldCharType="separate"/>
        </w:r>
        <w:r w:rsidR="0078027F">
          <w:rPr>
            <w:noProof/>
            <w:webHidden/>
          </w:rPr>
          <w:t>48</w:t>
        </w:r>
        <w:r>
          <w:rPr>
            <w:noProof/>
            <w:webHidden/>
          </w:rPr>
          <w:fldChar w:fldCharType="end"/>
        </w:r>
      </w:hyperlink>
    </w:p>
    <w:p w14:paraId="18C4231C" w14:textId="07FE60DD" w:rsidR="008D1F4C" w:rsidRDefault="008D1F4C">
      <w:pPr>
        <w:pStyle w:val="Tabladeilustraciones"/>
        <w:tabs>
          <w:tab w:val="right" w:leader="dot" w:pos="8828"/>
        </w:tabs>
        <w:rPr>
          <w:rFonts w:eastAsiaTheme="minorEastAsia"/>
          <w:noProof/>
          <w:sz w:val="24"/>
          <w:szCs w:val="24"/>
          <w:lang w:eastAsia="es-CO"/>
        </w:rPr>
      </w:pPr>
      <w:hyperlink w:anchor="_Toc225283155" w:history="1">
        <w:r w:rsidRPr="005514E8">
          <w:rPr>
            <w:rStyle w:val="Hipervnculo"/>
            <w:rFonts w:ascii="Verdana" w:eastAsia="Verdana" w:hAnsi="Verdana" w:cs="Arial"/>
            <w:noProof/>
          </w:rPr>
          <w:t>Tabla 43. Detalle de las principales acciones del indicador C.427</w:t>
        </w:r>
        <w:r>
          <w:rPr>
            <w:noProof/>
            <w:webHidden/>
          </w:rPr>
          <w:tab/>
        </w:r>
        <w:r>
          <w:rPr>
            <w:noProof/>
            <w:webHidden/>
          </w:rPr>
          <w:fldChar w:fldCharType="begin"/>
        </w:r>
        <w:r>
          <w:rPr>
            <w:noProof/>
            <w:webHidden/>
          </w:rPr>
          <w:instrText xml:space="preserve"> PAGEREF _Toc225283155 \h </w:instrText>
        </w:r>
        <w:r>
          <w:rPr>
            <w:noProof/>
            <w:webHidden/>
          </w:rPr>
        </w:r>
        <w:r>
          <w:rPr>
            <w:noProof/>
            <w:webHidden/>
          </w:rPr>
          <w:fldChar w:fldCharType="separate"/>
        </w:r>
        <w:r w:rsidR="0078027F">
          <w:rPr>
            <w:noProof/>
            <w:webHidden/>
          </w:rPr>
          <w:t>51</w:t>
        </w:r>
        <w:r>
          <w:rPr>
            <w:noProof/>
            <w:webHidden/>
          </w:rPr>
          <w:fldChar w:fldCharType="end"/>
        </w:r>
      </w:hyperlink>
    </w:p>
    <w:p w14:paraId="3783B72C" w14:textId="7E1A78BB" w:rsidR="008D1F4C" w:rsidRDefault="008D1F4C">
      <w:pPr>
        <w:pStyle w:val="Tabladeilustraciones"/>
        <w:tabs>
          <w:tab w:val="right" w:leader="dot" w:pos="8828"/>
        </w:tabs>
        <w:rPr>
          <w:rFonts w:eastAsiaTheme="minorEastAsia"/>
          <w:noProof/>
          <w:sz w:val="24"/>
          <w:szCs w:val="24"/>
          <w:lang w:eastAsia="es-CO"/>
        </w:rPr>
      </w:pPr>
      <w:hyperlink w:anchor="_Toc225283156" w:history="1">
        <w:r w:rsidRPr="005514E8">
          <w:rPr>
            <w:rStyle w:val="Hipervnculo"/>
            <w:rFonts w:ascii="Verdana" w:eastAsia="Verdana" w:hAnsi="Verdana" w:cs="Arial"/>
            <w:noProof/>
          </w:rPr>
          <w:t>Tabla 44. Sesiones de los CTR del indicador C.427</w:t>
        </w:r>
        <w:r>
          <w:rPr>
            <w:noProof/>
            <w:webHidden/>
          </w:rPr>
          <w:tab/>
        </w:r>
        <w:r>
          <w:rPr>
            <w:noProof/>
            <w:webHidden/>
          </w:rPr>
          <w:fldChar w:fldCharType="begin"/>
        </w:r>
        <w:r>
          <w:rPr>
            <w:noProof/>
            <w:webHidden/>
          </w:rPr>
          <w:instrText xml:space="preserve"> PAGEREF _Toc225283156 \h </w:instrText>
        </w:r>
        <w:r>
          <w:rPr>
            <w:noProof/>
            <w:webHidden/>
          </w:rPr>
        </w:r>
        <w:r>
          <w:rPr>
            <w:noProof/>
            <w:webHidden/>
          </w:rPr>
          <w:fldChar w:fldCharType="separate"/>
        </w:r>
        <w:r w:rsidR="0078027F">
          <w:rPr>
            <w:noProof/>
            <w:webHidden/>
          </w:rPr>
          <w:t>51</w:t>
        </w:r>
        <w:r>
          <w:rPr>
            <w:noProof/>
            <w:webHidden/>
          </w:rPr>
          <w:fldChar w:fldCharType="end"/>
        </w:r>
      </w:hyperlink>
    </w:p>
    <w:p w14:paraId="5316F032" w14:textId="21EA9CBF" w:rsidR="008D1F4C" w:rsidRDefault="008D1F4C">
      <w:pPr>
        <w:pStyle w:val="Tabladeilustraciones"/>
        <w:tabs>
          <w:tab w:val="right" w:leader="dot" w:pos="8828"/>
        </w:tabs>
        <w:rPr>
          <w:rFonts w:eastAsiaTheme="minorEastAsia"/>
          <w:noProof/>
          <w:sz w:val="24"/>
          <w:szCs w:val="24"/>
          <w:lang w:eastAsia="es-CO"/>
        </w:rPr>
      </w:pPr>
      <w:hyperlink w:anchor="_Toc225283157" w:history="1">
        <w:r w:rsidRPr="005514E8">
          <w:rPr>
            <w:rStyle w:val="Hipervnculo"/>
            <w:rFonts w:ascii="Verdana" w:eastAsia="Verdana" w:hAnsi="Verdana" w:cs="Arial"/>
            <w:noProof/>
          </w:rPr>
          <w:t>Tabla 45. Sesiones por instancias del indicador C.427</w:t>
        </w:r>
        <w:r>
          <w:rPr>
            <w:noProof/>
            <w:webHidden/>
          </w:rPr>
          <w:tab/>
        </w:r>
        <w:r>
          <w:rPr>
            <w:noProof/>
            <w:webHidden/>
          </w:rPr>
          <w:fldChar w:fldCharType="begin"/>
        </w:r>
        <w:r>
          <w:rPr>
            <w:noProof/>
            <w:webHidden/>
          </w:rPr>
          <w:instrText xml:space="preserve"> PAGEREF _Toc225283157 \h </w:instrText>
        </w:r>
        <w:r>
          <w:rPr>
            <w:noProof/>
            <w:webHidden/>
          </w:rPr>
        </w:r>
        <w:r>
          <w:rPr>
            <w:noProof/>
            <w:webHidden/>
          </w:rPr>
          <w:fldChar w:fldCharType="separate"/>
        </w:r>
        <w:r w:rsidR="0078027F">
          <w:rPr>
            <w:noProof/>
            <w:webHidden/>
          </w:rPr>
          <w:t>51</w:t>
        </w:r>
        <w:r>
          <w:rPr>
            <w:noProof/>
            <w:webHidden/>
          </w:rPr>
          <w:fldChar w:fldCharType="end"/>
        </w:r>
      </w:hyperlink>
    </w:p>
    <w:p w14:paraId="32098681" w14:textId="558C5828" w:rsidR="008D1F4C" w:rsidRDefault="008D1F4C">
      <w:pPr>
        <w:pStyle w:val="Tabladeilustraciones"/>
        <w:tabs>
          <w:tab w:val="right" w:leader="dot" w:pos="8828"/>
        </w:tabs>
        <w:rPr>
          <w:rFonts w:eastAsiaTheme="minorEastAsia"/>
          <w:noProof/>
          <w:sz w:val="24"/>
          <w:szCs w:val="24"/>
          <w:lang w:eastAsia="es-CO"/>
        </w:rPr>
      </w:pPr>
      <w:hyperlink w:anchor="_Toc225283158" w:history="1">
        <w:r w:rsidRPr="005514E8">
          <w:rPr>
            <w:rStyle w:val="Hipervnculo"/>
            <w:rFonts w:ascii="Verdana" w:eastAsia="Verdana" w:hAnsi="Verdana" w:cs="Arial"/>
            <w:noProof/>
          </w:rPr>
          <w:t>Tabla 46. Población desagregada por género, etnia y condición de discapacidad</w:t>
        </w:r>
        <w:r>
          <w:rPr>
            <w:noProof/>
            <w:webHidden/>
          </w:rPr>
          <w:tab/>
        </w:r>
        <w:r>
          <w:rPr>
            <w:noProof/>
            <w:webHidden/>
          </w:rPr>
          <w:fldChar w:fldCharType="begin"/>
        </w:r>
        <w:r>
          <w:rPr>
            <w:noProof/>
            <w:webHidden/>
          </w:rPr>
          <w:instrText xml:space="preserve"> PAGEREF _Toc225283158 \h </w:instrText>
        </w:r>
        <w:r>
          <w:rPr>
            <w:noProof/>
            <w:webHidden/>
          </w:rPr>
        </w:r>
        <w:r>
          <w:rPr>
            <w:noProof/>
            <w:webHidden/>
          </w:rPr>
          <w:fldChar w:fldCharType="separate"/>
        </w:r>
        <w:r w:rsidR="0078027F">
          <w:rPr>
            <w:noProof/>
            <w:webHidden/>
          </w:rPr>
          <w:t>52</w:t>
        </w:r>
        <w:r>
          <w:rPr>
            <w:noProof/>
            <w:webHidden/>
          </w:rPr>
          <w:fldChar w:fldCharType="end"/>
        </w:r>
      </w:hyperlink>
    </w:p>
    <w:p w14:paraId="3279E29F" w14:textId="2C1B8A79" w:rsidR="008D1F4C" w:rsidRDefault="008D1F4C">
      <w:pPr>
        <w:pStyle w:val="Tabladeilustraciones"/>
        <w:tabs>
          <w:tab w:val="right" w:leader="dot" w:pos="8828"/>
        </w:tabs>
        <w:rPr>
          <w:rFonts w:eastAsiaTheme="minorEastAsia"/>
          <w:noProof/>
          <w:sz w:val="24"/>
          <w:szCs w:val="24"/>
          <w:lang w:eastAsia="es-CO"/>
        </w:rPr>
      </w:pPr>
      <w:hyperlink w:anchor="_Toc225283159" w:history="1">
        <w:r w:rsidRPr="005514E8">
          <w:rPr>
            <w:rStyle w:val="Hipervnculo"/>
            <w:rFonts w:ascii="Verdana" w:eastAsia="Verdana" w:hAnsi="Verdana" w:cs="Arial"/>
            <w:noProof/>
          </w:rPr>
          <w:t>Tabla 47. Desafíos y retos del indicador C.427</w:t>
        </w:r>
        <w:r>
          <w:rPr>
            <w:noProof/>
            <w:webHidden/>
          </w:rPr>
          <w:tab/>
        </w:r>
        <w:r>
          <w:rPr>
            <w:noProof/>
            <w:webHidden/>
          </w:rPr>
          <w:fldChar w:fldCharType="begin"/>
        </w:r>
        <w:r>
          <w:rPr>
            <w:noProof/>
            <w:webHidden/>
          </w:rPr>
          <w:instrText xml:space="preserve"> PAGEREF _Toc225283159 \h </w:instrText>
        </w:r>
        <w:r>
          <w:rPr>
            <w:noProof/>
            <w:webHidden/>
          </w:rPr>
        </w:r>
        <w:r>
          <w:rPr>
            <w:noProof/>
            <w:webHidden/>
          </w:rPr>
          <w:fldChar w:fldCharType="separate"/>
        </w:r>
        <w:r w:rsidR="0078027F">
          <w:rPr>
            <w:noProof/>
            <w:webHidden/>
          </w:rPr>
          <w:t>53</w:t>
        </w:r>
        <w:r>
          <w:rPr>
            <w:noProof/>
            <w:webHidden/>
          </w:rPr>
          <w:fldChar w:fldCharType="end"/>
        </w:r>
      </w:hyperlink>
    </w:p>
    <w:p w14:paraId="08F7CCD9" w14:textId="768CC231" w:rsidR="008D1F4C" w:rsidRDefault="008D1F4C">
      <w:pPr>
        <w:pStyle w:val="Tabladeilustraciones"/>
        <w:tabs>
          <w:tab w:val="right" w:leader="dot" w:pos="8828"/>
        </w:tabs>
        <w:rPr>
          <w:rFonts w:eastAsiaTheme="minorEastAsia"/>
          <w:noProof/>
          <w:sz w:val="24"/>
          <w:szCs w:val="24"/>
          <w:lang w:eastAsia="es-CO"/>
        </w:rPr>
      </w:pPr>
      <w:hyperlink w:anchor="_Toc225283160" w:history="1">
        <w:r w:rsidRPr="005514E8">
          <w:rPr>
            <w:rStyle w:val="Hipervnculo"/>
            <w:rFonts w:ascii="Verdana" w:eastAsia="Verdana" w:hAnsi="Verdana" w:cs="Arial"/>
            <w:noProof/>
          </w:rPr>
          <w:t>Tabla 48. Detalle de avance en el indicador C.458</w:t>
        </w:r>
        <w:r>
          <w:rPr>
            <w:noProof/>
            <w:webHidden/>
          </w:rPr>
          <w:tab/>
        </w:r>
        <w:r>
          <w:rPr>
            <w:noProof/>
            <w:webHidden/>
          </w:rPr>
          <w:fldChar w:fldCharType="begin"/>
        </w:r>
        <w:r>
          <w:rPr>
            <w:noProof/>
            <w:webHidden/>
          </w:rPr>
          <w:instrText xml:space="preserve"> PAGEREF _Toc225283160 \h </w:instrText>
        </w:r>
        <w:r>
          <w:rPr>
            <w:noProof/>
            <w:webHidden/>
          </w:rPr>
        </w:r>
        <w:r>
          <w:rPr>
            <w:noProof/>
            <w:webHidden/>
          </w:rPr>
          <w:fldChar w:fldCharType="separate"/>
        </w:r>
        <w:r w:rsidR="0078027F">
          <w:rPr>
            <w:noProof/>
            <w:webHidden/>
          </w:rPr>
          <w:t>54</w:t>
        </w:r>
        <w:r>
          <w:rPr>
            <w:noProof/>
            <w:webHidden/>
          </w:rPr>
          <w:fldChar w:fldCharType="end"/>
        </w:r>
      </w:hyperlink>
    </w:p>
    <w:p w14:paraId="257A6791" w14:textId="3087CCD8" w:rsidR="008D1F4C" w:rsidRDefault="008D1F4C">
      <w:pPr>
        <w:pStyle w:val="Tabladeilustraciones"/>
        <w:tabs>
          <w:tab w:val="right" w:leader="dot" w:pos="8828"/>
        </w:tabs>
        <w:rPr>
          <w:rFonts w:eastAsiaTheme="minorEastAsia"/>
          <w:noProof/>
          <w:sz w:val="24"/>
          <w:szCs w:val="24"/>
          <w:lang w:eastAsia="es-CO"/>
        </w:rPr>
      </w:pPr>
      <w:hyperlink w:anchor="_Toc225283161" w:history="1">
        <w:r w:rsidRPr="005514E8">
          <w:rPr>
            <w:rStyle w:val="Hipervnculo"/>
            <w:rFonts w:ascii="Verdana" w:hAnsi="Verdana" w:cs="Arial"/>
            <w:noProof/>
          </w:rPr>
          <w:t>Tabla 49. Detalle de las principales acciones del indicador C.458</w:t>
        </w:r>
        <w:r>
          <w:rPr>
            <w:noProof/>
            <w:webHidden/>
          </w:rPr>
          <w:tab/>
        </w:r>
        <w:r>
          <w:rPr>
            <w:noProof/>
            <w:webHidden/>
          </w:rPr>
          <w:fldChar w:fldCharType="begin"/>
        </w:r>
        <w:r>
          <w:rPr>
            <w:noProof/>
            <w:webHidden/>
          </w:rPr>
          <w:instrText xml:space="preserve"> PAGEREF _Toc225283161 \h </w:instrText>
        </w:r>
        <w:r>
          <w:rPr>
            <w:noProof/>
            <w:webHidden/>
          </w:rPr>
        </w:r>
        <w:r>
          <w:rPr>
            <w:noProof/>
            <w:webHidden/>
          </w:rPr>
          <w:fldChar w:fldCharType="separate"/>
        </w:r>
        <w:r w:rsidR="0078027F">
          <w:rPr>
            <w:noProof/>
            <w:webHidden/>
          </w:rPr>
          <w:t>55</w:t>
        </w:r>
        <w:r>
          <w:rPr>
            <w:noProof/>
            <w:webHidden/>
          </w:rPr>
          <w:fldChar w:fldCharType="end"/>
        </w:r>
      </w:hyperlink>
    </w:p>
    <w:p w14:paraId="63E3EB22" w14:textId="3E736A81" w:rsidR="008D1F4C" w:rsidRDefault="008D1F4C">
      <w:pPr>
        <w:pStyle w:val="Tabladeilustraciones"/>
        <w:tabs>
          <w:tab w:val="right" w:leader="dot" w:pos="8828"/>
        </w:tabs>
        <w:rPr>
          <w:rFonts w:eastAsiaTheme="minorEastAsia"/>
          <w:noProof/>
          <w:sz w:val="24"/>
          <w:szCs w:val="24"/>
          <w:lang w:eastAsia="es-CO"/>
        </w:rPr>
      </w:pPr>
      <w:hyperlink w:anchor="_Toc225283162" w:history="1">
        <w:r w:rsidRPr="005514E8">
          <w:rPr>
            <w:rStyle w:val="Hipervnculo"/>
            <w:rFonts w:ascii="Verdana" w:hAnsi="Verdana" w:cs="Arial"/>
            <w:noProof/>
          </w:rPr>
          <w:t>Tabla 50. Regionalización de las acciones del indicador C.458</w:t>
        </w:r>
        <w:r>
          <w:rPr>
            <w:noProof/>
            <w:webHidden/>
          </w:rPr>
          <w:tab/>
        </w:r>
        <w:r>
          <w:rPr>
            <w:noProof/>
            <w:webHidden/>
          </w:rPr>
          <w:fldChar w:fldCharType="begin"/>
        </w:r>
        <w:r>
          <w:rPr>
            <w:noProof/>
            <w:webHidden/>
          </w:rPr>
          <w:instrText xml:space="preserve"> PAGEREF _Toc225283162 \h </w:instrText>
        </w:r>
        <w:r>
          <w:rPr>
            <w:noProof/>
            <w:webHidden/>
          </w:rPr>
        </w:r>
        <w:r>
          <w:rPr>
            <w:noProof/>
            <w:webHidden/>
          </w:rPr>
          <w:fldChar w:fldCharType="separate"/>
        </w:r>
        <w:r w:rsidR="0078027F">
          <w:rPr>
            <w:noProof/>
            <w:webHidden/>
          </w:rPr>
          <w:t>56</w:t>
        </w:r>
        <w:r>
          <w:rPr>
            <w:noProof/>
            <w:webHidden/>
          </w:rPr>
          <w:fldChar w:fldCharType="end"/>
        </w:r>
      </w:hyperlink>
    </w:p>
    <w:p w14:paraId="39C05FCD" w14:textId="10A699E7" w:rsidR="008D1F4C" w:rsidRDefault="008D1F4C">
      <w:pPr>
        <w:pStyle w:val="Tabladeilustraciones"/>
        <w:tabs>
          <w:tab w:val="right" w:leader="dot" w:pos="8828"/>
        </w:tabs>
        <w:rPr>
          <w:rFonts w:eastAsiaTheme="minorEastAsia"/>
          <w:noProof/>
          <w:sz w:val="24"/>
          <w:szCs w:val="24"/>
          <w:lang w:eastAsia="es-CO"/>
        </w:rPr>
      </w:pPr>
      <w:hyperlink w:anchor="_Toc225283163" w:history="1">
        <w:r w:rsidRPr="005514E8">
          <w:rPr>
            <w:rStyle w:val="Hipervnculo"/>
            <w:rFonts w:ascii="Verdana" w:hAnsi="Verdana" w:cs="Arial"/>
            <w:noProof/>
          </w:rPr>
          <w:t>Tabla 51. Desafíos y retos del indicador C.458</w:t>
        </w:r>
        <w:r>
          <w:rPr>
            <w:noProof/>
            <w:webHidden/>
          </w:rPr>
          <w:tab/>
        </w:r>
        <w:r>
          <w:rPr>
            <w:noProof/>
            <w:webHidden/>
          </w:rPr>
          <w:fldChar w:fldCharType="begin"/>
        </w:r>
        <w:r>
          <w:rPr>
            <w:noProof/>
            <w:webHidden/>
          </w:rPr>
          <w:instrText xml:space="preserve"> PAGEREF _Toc225283163 \h </w:instrText>
        </w:r>
        <w:r>
          <w:rPr>
            <w:noProof/>
            <w:webHidden/>
          </w:rPr>
        </w:r>
        <w:r>
          <w:rPr>
            <w:noProof/>
            <w:webHidden/>
          </w:rPr>
          <w:fldChar w:fldCharType="separate"/>
        </w:r>
        <w:r w:rsidR="0078027F">
          <w:rPr>
            <w:noProof/>
            <w:webHidden/>
          </w:rPr>
          <w:t>57</w:t>
        </w:r>
        <w:r>
          <w:rPr>
            <w:noProof/>
            <w:webHidden/>
          </w:rPr>
          <w:fldChar w:fldCharType="end"/>
        </w:r>
      </w:hyperlink>
    </w:p>
    <w:p w14:paraId="24281D42" w14:textId="3A3800D0" w:rsidR="008D1F4C" w:rsidRDefault="008D1F4C">
      <w:pPr>
        <w:pStyle w:val="Tabladeilustraciones"/>
        <w:tabs>
          <w:tab w:val="right" w:leader="dot" w:pos="8828"/>
        </w:tabs>
        <w:rPr>
          <w:rFonts w:eastAsiaTheme="minorEastAsia"/>
          <w:noProof/>
          <w:sz w:val="24"/>
          <w:szCs w:val="24"/>
          <w:lang w:eastAsia="es-CO"/>
        </w:rPr>
      </w:pPr>
      <w:hyperlink w:anchor="_Toc225283164" w:history="1">
        <w:r w:rsidRPr="005514E8">
          <w:rPr>
            <w:rStyle w:val="Hipervnculo"/>
            <w:rFonts w:ascii="Verdana" w:eastAsia="Verdana" w:hAnsi="Verdana" w:cs="Arial"/>
            <w:noProof/>
          </w:rPr>
          <w:t>Tabla 52. Detalle de avance en el indicador C.459</w:t>
        </w:r>
        <w:r>
          <w:rPr>
            <w:noProof/>
            <w:webHidden/>
          </w:rPr>
          <w:tab/>
        </w:r>
        <w:r>
          <w:rPr>
            <w:noProof/>
            <w:webHidden/>
          </w:rPr>
          <w:fldChar w:fldCharType="begin"/>
        </w:r>
        <w:r>
          <w:rPr>
            <w:noProof/>
            <w:webHidden/>
          </w:rPr>
          <w:instrText xml:space="preserve"> PAGEREF _Toc225283164 \h </w:instrText>
        </w:r>
        <w:r>
          <w:rPr>
            <w:noProof/>
            <w:webHidden/>
          </w:rPr>
        </w:r>
        <w:r>
          <w:rPr>
            <w:noProof/>
            <w:webHidden/>
          </w:rPr>
          <w:fldChar w:fldCharType="separate"/>
        </w:r>
        <w:r w:rsidR="0078027F">
          <w:rPr>
            <w:noProof/>
            <w:webHidden/>
          </w:rPr>
          <w:t>58</w:t>
        </w:r>
        <w:r>
          <w:rPr>
            <w:noProof/>
            <w:webHidden/>
          </w:rPr>
          <w:fldChar w:fldCharType="end"/>
        </w:r>
      </w:hyperlink>
    </w:p>
    <w:p w14:paraId="31F72207" w14:textId="0F156602" w:rsidR="008D1F4C" w:rsidRDefault="008D1F4C">
      <w:pPr>
        <w:pStyle w:val="Tabladeilustraciones"/>
        <w:tabs>
          <w:tab w:val="right" w:leader="dot" w:pos="8828"/>
        </w:tabs>
        <w:rPr>
          <w:rFonts w:eastAsiaTheme="minorEastAsia"/>
          <w:noProof/>
          <w:sz w:val="24"/>
          <w:szCs w:val="24"/>
          <w:lang w:eastAsia="es-CO"/>
        </w:rPr>
      </w:pPr>
      <w:hyperlink w:anchor="_Toc225283165" w:history="1">
        <w:r w:rsidRPr="005514E8">
          <w:rPr>
            <w:rStyle w:val="Hipervnculo"/>
            <w:rFonts w:ascii="Verdana" w:hAnsi="Verdana" w:cs="Arial"/>
            <w:noProof/>
          </w:rPr>
          <w:t>Tabla 53. Detalle de avance en el indicador C.459</w:t>
        </w:r>
        <w:r>
          <w:rPr>
            <w:noProof/>
            <w:webHidden/>
          </w:rPr>
          <w:tab/>
        </w:r>
        <w:r>
          <w:rPr>
            <w:noProof/>
            <w:webHidden/>
          </w:rPr>
          <w:fldChar w:fldCharType="begin"/>
        </w:r>
        <w:r>
          <w:rPr>
            <w:noProof/>
            <w:webHidden/>
          </w:rPr>
          <w:instrText xml:space="preserve"> PAGEREF _Toc225283165 \h </w:instrText>
        </w:r>
        <w:r>
          <w:rPr>
            <w:noProof/>
            <w:webHidden/>
          </w:rPr>
        </w:r>
        <w:r>
          <w:rPr>
            <w:noProof/>
            <w:webHidden/>
          </w:rPr>
          <w:fldChar w:fldCharType="separate"/>
        </w:r>
        <w:r w:rsidR="0078027F">
          <w:rPr>
            <w:noProof/>
            <w:webHidden/>
          </w:rPr>
          <w:t>60</w:t>
        </w:r>
        <w:r>
          <w:rPr>
            <w:noProof/>
            <w:webHidden/>
          </w:rPr>
          <w:fldChar w:fldCharType="end"/>
        </w:r>
      </w:hyperlink>
    </w:p>
    <w:p w14:paraId="70E13118" w14:textId="1DF68F63" w:rsidR="008D1F4C" w:rsidRDefault="008D1F4C">
      <w:pPr>
        <w:pStyle w:val="Tabladeilustraciones"/>
        <w:tabs>
          <w:tab w:val="right" w:leader="dot" w:pos="8828"/>
        </w:tabs>
        <w:rPr>
          <w:rFonts w:eastAsiaTheme="minorEastAsia"/>
          <w:noProof/>
          <w:sz w:val="24"/>
          <w:szCs w:val="24"/>
          <w:lang w:eastAsia="es-CO"/>
        </w:rPr>
      </w:pPr>
      <w:hyperlink w:anchor="_Toc225283166" w:history="1">
        <w:r w:rsidRPr="005514E8">
          <w:rPr>
            <w:rStyle w:val="Hipervnculo"/>
            <w:rFonts w:ascii="Verdana" w:eastAsia="Verdana" w:hAnsi="Verdana" w:cs="Arial"/>
            <w:noProof/>
          </w:rPr>
          <w:t>Tabla 54. Espacios Transitorios de Capacitación y Reincorporación, dispuestos y en funcionamiento</w:t>
        </w:r>
        <w:r>
          <w:rPr>
            <w:noProof/>
            <w:webHidden/>
          </w:rPr>
          <w:tab/>
        </w:r>
        <w:r>
          <w:rPr>
            <w:noProof/>
            <w:webHidden/>
          </w:rPr>
          <w:fldChar w:fldCharType="begin"/>
        </w:r>
        <w:r>
          <w:rPr>
            <w:noProof/>
            <w:webHidden/>
          </w:rPr>
          <w:instrText xml:space="preserve"> PAGEREF _Toc225283166 \h </w:instrText>
        </w:r>
        <w:r>
          <w:rPr>
            <w:noProof/>
            <w:webHidden/>
          </w:rPr>
        </w:r>
        <w:r>
          <w:rPr>
            <w:noProof/>
            <w:webHidden/>
          </w:rPr>
          <w:fldChar w:fldCharType="separate"/>
        </w:r>
        <w:r w:rsidR="0078027F">
          <w:rPr>
            <w:noProof/>
            <w:webHidden/>
          </w:rPr>
          <w:t>61</w:t>
        </w:r>
        <w:r>
          <w:rPr>
            <w:noProof/>
            <w:webHidden/>
          </w:rPr>
          <w:fldChar w:fldCharType="end"/>
        </w:r>
      </w:hyperlink>
    </w:p>
    <w:p w14:paraId="0A255BA9" w14:textId="4E0A59C5" w:rsidR="008D1F4C" w:rsidRDefault="008D1F4C">
      <w:pPr>
        <w:pStyle w:val="Tabladeilustraciones"/>
        <w:tabs>
          <w:tab w:val="right" w:leader="dot" w:pos="8828"/>
        </w:tabs>
        <w:rPr>
          <w:rFonts w:eastAsiaTheme="minorEastAsia"/>
          <w:noProof/>
          <w:sz w:val="24"/>
          <w:szCs w:val="24"/>
          <w:lang w:eastAsia="es-CO"/>
        </w:rPr>
      </w:pPr>
      <w:hyperlink w:anchor="_Toc225283167" w:history="1">
        <w:r w:rsidRPr="005514E8">
          <w:rPr>
            <w:rStyle w:val="Hipervnculo"/>
            <w:rFonts w:ascii="Verdana" w:eastAsia="Verdana" w:hAnsi="Verdana" w:cs="Arial"/>
            <w:noProof/>
          </w:rPr>
          <w:t>Tabla 55. Detalle de avance en el indicador C.460</w:t>
        </w:r>
        <w:r>
          <w:rPr>
            <w:noProof/>
            <w:webHidden/>
          </w:rPr>
          <w:tab/>
        </w:r>
        <w:r>
          <w:rPr>
            <w:noProof/>
            <w:webHidden/>
          </w:rPr>
          <w:fldChar w:fldCharType="begin"/>
        </w:r>
        <w:r>
          <w:rPr>
            <w:noProof/>
            <w:webHidden/>
          </w:rPr>
          <w:instrText xml:space="preserve"> PAGEREF _Toc225283167 \h </w:instrText>
        </w:r>
        <w:r>
          <w:rPr>
            <w:noProof/>
            <w:webHidden/>
          </w:rPr>
        </w:r>
        <w:r>
          <w:rPr>
            <w:noProof/>
            <w:webHidden/>
          </w:rPr>
          <w:fldChar w:fldCharType="separate"/>
        </w:r>
        <w:r w:rsidR="0078027F">
          <w:rPr>
            <w:noProof/>
            <w:webHidden/>
          </w:rPr>
          <w:t>62</w:t>
        </w:r>
        <w:r>
          <w:rPr>
            <w:noProof/>
            <w:webHidden/>
          </w:rPr>
          <w:fldChar w:fldCharType="end"/>
        </w:r>
      </w:hyperlink>
    </w:p>
    <w:p w14:paraId="563A1246" w14:textId="128161B3" w:rsidR="008D1F4C" w:rsidRDefault="008D1F4C">
      <w:pPr>
        <w:pStyle w:val="Tabladeilustraciones"/>
        <w:tabs>
          <w:tab w:val="right" w:leader="dot" w:pos="8828"/>
        </w:tabs>
        <w:rPr>
          <w:rFonts w:eastAsiaTheme="minorEastAsia"/>
          <w:noProof/>
          <w:sz w:val="24"/>
          <w:szCs w:val="24"/>
          <w:lang w:eastAsia="es-CO"/>
        </w:rPr>
      </w:pPr>
      <w:hyperlink w:anchor="_Toc225283168" w:history="1">
        <w:r w:rsidRPr="005514E8">
          <w:rPr>
            <w:rStyle w:val="Hipervnculo"/>
            <w:rFonts w:ascii="Verdana" w:hAnsi="Verdana" w:cs="Arial"/>
            <w:noProof/>
          </w:rPr>
          <w:t>Tabla 56. Detalle de las principales acciones de los indicadores del Indicador C.460</w:t>
        </w:r>
        <w:r>
          <w:rPr>
            <w:noProof/>
            <w:webHidden/>
          </w:rPr>
          <w:tab/>
        </w:r>
        <w:r>
          <w:rPr>
            <w:noProof/>
            <w:webHidden/>
          </w:rPr>
          <w:fldChar w:fldCharType="begin"/>
        </w:r>
        <w:r>
          <w:rPr>
            <w:noProof/>
            <w:webHidden/>
          </w:rPr>
          <w:instrText xml:space="preserve"> PAGEREF _Toc225283168 \h </w:instrText>
        </w:r>
        <w:r>
          <w:rPr>
            <w:noProof/>
            <w:webHidden/>
          </w:rPr>
        </w:r>
        <w:r>
          <w:rPr>
            <w:noProof/>
            <w:webHidden/>
          </w:rPr>
          <w:fldChar w:fldCharType="separate"/>
        </w:r>
        <w:r w:rsidR="0078027F">
          <w:rPr>
            <w:noProof/>
            <w:webHidden/>
          </w:rPr>
          <w:t>65</w:t>
        </w:r>
        <w:r>
          <w:rPr>
            <w:noProof/>
            <w:webHidden/>
          </w:rPr>
          <w:fldChar w:fldCharType="end"/>
        </w:r>
      </w:hyperlink>
    </w:p>
    <w:p w14:paraId="0CDBE3E5" w14:textId="4443DE7F" w:rsidR="008D1F4C" w:rsidRDefault="008D1F4C">
      <w:pPr>
        <w:pStyle w:val="Tabladeilustraciones"/>
        <w:tabs>
          <w:tab w:val="right" w:leader="dot" w:pos="8828"/>
        </w:tabs>
        <w:rPr>
          <w:rFonts w:eastAsiaTheme="minorEastAsia"/>
          <w:noProof/>
          <w:sz w:val="24"/>
          <w:szCs w:val="24"/>
          <w:lang w:eastAsia="es-CO"/>
        </w:rPr>
      </w:pPr>
      <w:hyperlink w:anchor="_Toc225283169" w:history="1">
        <w:r w:rsidRPr="005514E8">
          <w:rPr>
            <w:rStyle w:val="Hipervnculo"/>
            <w:rFonts w:ascii="Verdana" w:hAnsi="Verdana" w:cs="Arial"/>
            <w:noProof/>
          </w:rPr>
          <w:t>Tabla 57. Desafíos y retos del indicador C.460</w:t>
        </w:r>
        <w:r>
          <w:rPr>
            <w:noProof/>
            <w:webHidden/>
          </w:rPr>
          <w:tab/>
        </w:r>
        <w:r>
          <w:rPr>
            <w:noProof/>
            <w:webHidden/>
          </w:rPr>
          <w:fldChar w:fldCharType="begin"/>
        </w:r>
        <w:r>
          <w:rPr>
            <w:noProof/>
            <w:webHidden/>
          </w:rPr>
          <w:instrText xml:space="preserve"> PAGEREF _Toc225283169 \h </w:instrText>
        </w:r>
        <w:r>
          <w:rPr>
            <w:noProof/>
            <w:webHidden/>
          </w:rPr>
        </w:r>
        <w:r>
          <w:rPr>
            <w:noProof/>
            <w:webHidden/>
          </w:rPr>
          <w:fldChar w:fldCharType="separate"/>
        </w:r>
        <w:r w:rsidR="0078027F">
          <w:rPr>
            <w:noProof/>
            <w:webHidden/>
          </w:rPr>
          <w:t>65</w:t>
        </w:r>
        <w:r>
          <w:rPr>
            <w:noProof/>
            <w:webHidden/>
          </w:rPr>
          <w:fldChar w:fldCharType="end"/>
        </w:r>
      </w:hyperlink>
    </w:p>
    <w:p w14:paraId="6AC28136" w14:textId="088D05CA" w:rsidR="008D1F4C" w:rsidRDefault="008D1F4C">
      <w:pPr>
        <w:pStyle w:val="Tabladeilustraciones"/>
        <w:tabs>
          <w:tab w:val="right" w:leader="dot" w:pos="8828"/>
        </w:tabs>
        <w:rPr>
          <w:rFonts w:eastAsiaTheme="minorEastAsia"/>
          <w:noProof/>
          <w:sz w:val="24"/>
          <w:szCs w:val="24"/>
          <w:lang w:eastAsia="es-CO"/>
        </w:rPr>
      </w:pPr>
      <w:hyperlink w:anchor="_Toc225283170" w:history="1">
        <w:r w:rsidRPr="005514E8">
          <w:rPr>
            <w:rStyle w:val="Hipervnculo"/>
            <w:rFonts w:ascii="Verdana" w:eastAsia="Verdana" w:hAnsi="Verdana" w:cs="Arial"/>
            <w:noProof/>
          </w:rPr>
          <w:t>Tabla 58. Detalle de avance en el indicador C.E.11.N</w:t>
        </w:r>
        <w:r>
          <w:rPr>
            <w:noProof/>
            <w:webHidden/>
          </w:rPr>
          <w:tab/>
        </w:r>
        <w:r>
          <w:rPr>
            <w:noProof/>
            <w:webHidden/>
          </w:rPr>
          <w:fldChar w:fldCharType="begin"/>
        </w:r>
        <w:r>
          <w:rPr>
            <w:noProof/>
            <w:webHidden/>
          </w:rPr>
          <w:instrText xml:space="preserve"> PAGEREF _Toc225283170 \h </w:instrText>
        </w:r>
        <w:r>
          <w:rPr>
            <w:noProof/>
            <w:webHidden/>
          </w:rPr>
        </w:r>
        <w:r>
          <w:rPr>
            <w:noProof/>
            <w:webHidden/>
          </w:rPr>
          <w:fldChar w:fldCharType="separate"/>
        </w:r>
        <w:r w:rsidR="0078027F">
          <w:rPr>
            <w:noProof/>
            <w:webHidden/>
          </w:rPr>
          <w:t>66</w:t>
        </w:r>
        <w:r>
          <w:rPr>
            <w:noProof/>
            <w:webHidden/>
          </w:rPr>
          <w:fldChar w:fldCharType="end"/>
        </w:r>
      </w:hyperlink>
    </w:p>
    <w:p w14:paraId="42E3D739" w14:textId="66B968F9" w:rsidR="008D1F4C" w:rsidRDefault="008D1F4C">
      <w:pPr>
        <w:pStyle w:val="Tabladeilustraciones"/>
        <w:tabs>
          <w:tab w:val="right" w:leader="dot" w:pos="8828"/>
        </w:tabs>
        <w:rPr>
          <w:rFonts w:eastAsiaTheme="minorEastAsia"/>
          <w:noProof/>
          <w:sz w:val="24"/>
          <w:szCs w:val="24"/>
          <w:lang w:eastAsia="es-CO"/>
        </w:rPr>
      </w:pPr>
      <w:hyperlink w:anchor="_Toc225283171" w:history="1">
        <w:r w:rsidRPr="005514E8">
          <w:rPr>
            <w:rStyle w:val="Hipervnculo"/>
            <w:rFonts w:ascii="Verdana" w:eastAsia="Verdana" w:hAnsi="Verdana" w:cs="Arial"/>
            <w:noProof/>
          </w:rPr>
          <w:t>Tabla 59. Detalle de las principales acciones del indicador C.E.11.N</w:t>
        </w:r>
        <w:r>
          <w:rPr>
            <w:noProof/>
            <w:webHidden/>
          </w:rPr>
          <w:tab/>
        </w:r>
        <w:r>
          <w:rPr>
            <w:noProof/>
            <w:webHidden/>
          </w:rPr>
          <w:fldChar w:fldCharType="begin"/>
        </w:r>
        <w:r>
          <w:rPr>
            <w:noProof/>
            <w:webHidden/>
          </w:rPr>
          <w:instrText xml:space="preserve"> PAGEREF _Toc225283171 \h </w:instrText>
        </w:r>
        <w:r>
          <w:rPr>
            <w:noProof/>
            <w:webHidden/>
          </w:rPr>
        </w:r>
        <w:r>
          <w:rPr>
            <w:noProof/>
            <w:webHidden/>
          </w:rPr>
          <w:fldChar w:fldCharType="separate"/>
        </w:r>
        <w:r w:rsidR="0078027F">
          <w:rPr>
            <w:noProof/>
            <w:webHidden/>
          </w:rPr>
          <w:t>68</w:t>
        </w:r>
        <w:r>
          <w:rPr>
            <w:noProof/>
            <w:webHidden/>
          </w:rPr>
          <w:fldChar w:fldCharType="end"/>
        </w:r>
      </w:hyperlink>
    </w:p>
    <w:p w14:paraId="39C4810C" w14:textId="15182389" w:rsidR="008D1F4C" w:rsidRDefault="008D1F4C">
      <w:pPr>
        <w:pStyle w:val="Tabladeilustraciones"/>
        <w:tabs>
          <w:tab w:val="right" w:leader="dot" w:pos="8828"/>
        </w:tabs>
        <w:rPr>
          <w:rFonts w:eastAsiaTheme="minorEastAsia"/>
          <w:noProof/>
          <w:sz w:val="24"/>
          <w:szCs w:val="24"/>
          <w:lang w:eastAsia="es-CO"/>
        </w:rPr>
      </w:pPr>
      <w:hyperlink w:anchor="_Toc225283172" w:history="1">
        <w:r w:rsidRPr="005514E8">
          <w:rPr>
            <w:rStyle w:val="Hipervnculo"/>
            <w:rFonts w:ascii="Verdana" w:eastAsia="Verdana" w:hAnsi="Verdana" w:cs="Arial"/>
            <w:noProof/>
          </w:rPr>
          <w:t>Tabla 60.Detalle de regionalización del indicador C.E.11.N</w:t>
        </w:r>
        <w:r>
          <w:rPr>
            <w:noProof/>
            <w:webHidden/>
          </w:rPr>
          <w:tab/>
        </w:r>
        <w:r>
          <w:rPr>
            <w:noProof/>
            <w:webHidden/>
          </w:rPr>
          <w:fldChar w:fldCharType="begin"/>
        </w:r>
        <w:r>
          <w:rPr>
            <w:noProof/>
            <w:webHidden/>
          </w:rPr>
          <w:instrText xml:space="preserve"> PAGEREF _Toc225283172 \h </w:instrText>
        </w:r>
        <w:r>
          <w:rPr>
            <w:noProof/>
            <w:webHidden/>
          </w:rPr>
        </w:r>
        <w:r>
          <w:rPr>
            <w:noProof/>
            <w:webHidden/>
          </w:rPr>
          <w:fldChar w:fldCharType="separate"/>
        </w:r>
        <w:r w:rsidR="0078027F">
          <w:rPr>
            <w:noProof/>
            <w:webHidden/>
          </w:rPr>
          <w:t>69</w:t>
        </w:r>
        <w:r>
          <w:rPr>
            <w:noProof/>
            <w:webHidden/>
          </w:rPr>
          <w:fldChar w:fldCharType="end"/>
        </w:r>
      </w:hyperlink>
    </w:p>
    <w:p w14:paraId="42976CF2" w14:textId="65C614C3" w:rsidR="008D1F4C" w:rsidRDefault="008D1F4C">
      <w:pPr>
        <w:pStyle w:val="Tabladeilustraciones"/>
        <w:tabs>
          <w:tab w:val="right" w:leader="dot" w:pos="8828"/>
        </w:tabs>
        <w:rPr>
          <w:rFonts w:eastAsiaTheme="minorEastAsia"/>
          <w:noProof/>
          <w:sz w:val="24"/>
          <w:szCs w:val="24"/>
          <w:lang w:eastAsia="es-CO"/>
        </w:rPr>
      </w:pPr>
      <w:hyperlink w:anchor="_Toc225283173" w:history="1">
        <w:r w:rsidRPr="005514E8">
          <w:rPr>
            <w:rStyle w:val="Hipervnculo"/>
            <w:rFonts w:ascii="Verdana" w:eastAsia="Verdana" w:hAnsi="Verdana" w:cs="Arial"/>
            <w:noProof/>
          </w:rPr>
          <w:t>Tabla 61. Desafíos y retos del indicador C.E.11.N</w:t>
        </w:r>
        <w:r>
          <w:rPr>
            <w:noProof/>
            <w:webHidden/>
          </w:rPr>
          <w:tab/>
        </w:r>
        <w:r>
          <w:rPr>
            <w:noProof/>
            <w:webHidden/>
          </w:rPr>
          <w:fldChar w:fldCharType="begin"/>
        </w:r>
        <w:r>
          <w:rPr>
            <w:noProof/>
            <w:webHidden/>
          </w:rPr>
          <w:instrText xml:space="preserve"> PAGEREF _Toc225283173 \h </w:instrText>
        </w:r>
        <w:r>
          <w:rPr>
            <w:noProof/>
            <w:webHidden/>
          </w:rPr>
        </w:r>
        <w:r>
          <w:rPr>
            <w:noProof/>
            <w:webHidden/>
          </w:rPr>
          <w:fldChar w:fldCharType="separate"/>
        </w:r>
        <w:r w:rsidR="0078027F">
          <w:rPr>
            <w:noProof/>
            <w:webHidden/>
          </w:rPr>
          <w:t>70</w:t>
        </w:r>
        <w:r>
          <w:rPr>
            <w:noProof/>
            <w:webHidden/>
          </w:rPr>
          <w:fldChar w:fldCharType="end"/>
        </w:r>
      </w:hyperlink>
    </w:p>
    <w:p w14:paraId="463B539C" w14:textId="4AACD424" w:rsidR="008D1F4C" w:rsidRDefault="008D1F4C">
      <w:pPr>
        <w:pStyle w:val="Tabladeilustraciones"/>
        <w:tabs>
          <w:tab w:val="right" w:leader="dot" w:pos="8828"/>
        </w:tabs>
        <w:rPr>
          <w:rFonts w:eastAsiaTheme="minorEastAsia"/>
          <w:noProof/>
          <w:sz w:val="24"/>
          <w:szCs w:val="24"/>
          <w:lang w:eastAsia="es-CO"/>
        </w:rPr>
      </w:pPr>
      <w:hyperlink w:anchor="_Toc225283174" w:history="1">
        <w:r w:rsidRPr="005514E8">
          <w:rPr>
            <w:rStyle w:val="Hipervnculo"/>
            <w:rFonts w:ascii="Verdana" w:eastAsia="Verdana" w:hAnsi="Verdana" w:cs="Arial"/>
            <w:noProof/>
          </w:rPr>
          <w:t>Tabla 62. Detalle de avance en el indicador C.MT.6.N</w:t>
        </w:r>
        <w:r>
          <w:rPr>
            <w:noProof/>
            <w:webHidden/>
          </w:rPr>
          <w:tab/>
        </w:r>
        <w:r>
          <w:rPr>
            <w:noProof/>
            <w:webHidden/>
          </w:rPr>
          <w:fldChar w:fldCharType="begin"/>
        </w:r>
        <w:r>
          <w:rPr>
            <w:noProof/>
            <w:webHidden/>
          </w:rPr>
          <w:instrText xml:space="preserve"> PAGEREF _Toc225283174 \h </w:instrText>
        </w:r>
        <w:r>
          <w:rPr>
            <w:noProof/>
            <w:webHidden/>
          </w:rPr>
        </w:r>
        <w:r>
          <w:rPr>
            <w:noProof/>
            <w:webHidden/>
          </w:rPr>
          <w:fldChar w:fldCharType="separate"/>
        </w:r>
        <w:r w:rsidR="0078027F">
          <w:rPr>
            <w:noProof/>
            <w:webHidden/>
          </w:rPr>
          <w:t>71</w:t>
        </w:r>
        <w:r>
          <w:rPr>
            <w:noProof/>
            <w:webHidden/>
          </w:rPr>
          <w:fldChar w:fldCharType="end"/>
        </w:r>
      </w:hyperlink>
    </w:p>
    <w:p w14:paraId="6D035D63" w14:textId="0ABF941E" w:rsidR="008D1F4C" w:rsidRDefault="008D1F4C">
      <w:pPr>
        <w:pStyle w:val="Tabladeilustraciones"/>
        <w:tabs>
          <w:tab w:val="right" w:leader="dot" w:pos="8828"/>
        </w:tabs>
        <w:rPr>
          <w:rFonts w:eastAsiaTheme="minorEastAsia"/>
          <w:noProof/>
          <w:sz w:val="24"/>
          <w:szCs w:val="24"/>
          <w:lang w:eastAsia="es-CO"/>
        </w:rPr>
      </w:pPr>
      <w:hyperlink w:anchor="_Toc225283175" w:history="1">
        <w:r w:rsidRPr="005514E8">
          <w:rPr>
            <w:rStyle w:val="Hipervnculo"/>
            <w:rFonts w:ascii="Verdana" w:eastAsia="Verdana" w:hAnsi="Verdana" w:cs="Arial"/>
            <w:noProof/>
          </w:rPr>
          <w:t>Tabla 63. Detalle de las principales acciones del indicador C.MT.6.N</w:t>
        </w:r>
        <w:r>
          <w:rPr>
            <w:noProof/>
            <w:webHidden/>
          </w:rPr>
          <w:tab/>
        </w:r>
        <w:r>
          <w:rPr>
            <w:noProof/>
            <w:webHidden/>
          </w:rPr>
          <w:fldChar w:fldCharType="begin"/>
        </w:r>
        <w:r>
          <w:rPr>
            <w:noProof/>
            <w:webHidden/>
          </w:rPr>
          <w:instrText xml:space="preserve"> PAGEREF _Toc225283175 \h </w:instrText>
        </w:r>
        <w:r>
          <w:rPr>
            <w:noProof/>
            <w:webHidden/>
          </w:rPr>
        </w:r>
        <w:r>
          <w:rPr>
            <w:noProof/>
            <w:webHidden/>
          </w:rPr>
          <w:fldChar w:fldCharType="separate"/>
        </w:r>
        <w:r w:rsidR="0078027F">
          <w:rPr>
            <w:noProof/>
            <w:webHidden/>
          </w:rPr>
          <w:t>72</w:t>
        </w:r>
        <w:r>
          <w:rPr>
            <w:noProof/>
            <w:webHidden/>
          </w:rPr>
          <w:fldChar w:fldCharType="end"/>
        </w:r>
      </w:hyperlink>
    </w:p>
    <w:p w14:paraId="35229760" w14:textId="4B6CC76D" w:rsidR="008D1F4C" w:rsidRDefault="008D1F4C">
      <w:pPr>
        <w:pStyle w:val="Tabladeilustraciones"/>
        <w:tabs>
          <w:tab w:val="right" w:leader="dot" w:pos="8828"/>
        </w:tabs>
        <w:rPr>
          <w:rFonts w:eastAsiaTheme="minorEastAsia"/>
          <w:noProof/>
          <w:sz w:val="24"/>
          <w:szCs w:val="24"/>
          <w:lang w:eastAsia="es-CO"/>
        </w:rPr>
      </w:pPr>
      <w:hyperlink w:anchor="_Toc225283176" w:history="1">
        <w:r w:rsidRPr="005514E8">
          <w:rPr>
            <w:rStyle w:val="Hipervnculo"/>
            <w:rFonts w:ascii="Verdana" w:eastAsia="Verdana" w:hAnsi="Verdana" w:cs="Arial"/>
            <w:noProof/>
          </w:rPr>
          <w:t>Tabla 64. Detalle de regionalización del indicador C.MT.6.N</w:t>
        </w:r>
        <w:r>
          <w:rPr>
            <w:noProof/>
            <w:webHidden/>
          </w:rPr>
          <w:tab/>
        </w:r>
        <w:r>
          <w:rPr>
            <w:noProof/>
            <w:webHidden/>
          </w:rPr>
          <w:fldChar w:fldCharType="begin"/>
        </w:r>
        <w:r>
          <w:rPr>
            <w:noProof/>
            <w:webHidden/>
          </w:rPr>
          <w:instrText xml:space="preserve"> PAGEREF _Toc225283176 \h </w:instrText>
        </w:r>
        <w:r>
          <w:rPr>
            <w:noProof/>
            <w:webHidden/>
          </w:rPr>
        </w:r>
        <w:r>
          <w:rPr>
            <w:noProof/>
            <w:webHidden/>
          </w:rPr>
          <w:fldChar w:fldCharType="separate"/>
        </w:r>
        <w:r w:rsidR="0078027F">
          <w:rPr>
            <w:noProof/>
            <w:webHidden/>
          </w:rPr>
          <w:t>74</w:t>
        </w:r>
        <w:r>
          <w:rPr>
            <w:noProof/>
            <w:webHidden/>
          </w:rPr>
          <w:fldChar w:fldCharType="end"/>
        </w:r>
      </w:hyperlink>
    </w:p>
    <w:p w14:paraId="0B1613D2" w14:textId="4894FCEA" w:rsidR="008D1F4C" w:rsidRDefault="008D1F4C">
      <w:pPr>
        <w:pStyle w:val="Tabladeilustraciones"/>
        <w:tabs>
          <w:tab w:val="right" w:leader="dot" w:pos="8828"/>
        </w:tabs>
        <w:rPr>
          <w:rFonts w:eastAsiaTheme="minorEastAsia"/>
          <w:noProof/>
          <w:sz w:val="24"/>
          <w:szCs w:val="24"/>
          <w:lang w:eastAsia="es-CO"/>
        </w:rPr>
      </w:pPr>
      <w:hyperlink w:anchor="_Toc225283177" w:history="1">
        <w:r w:rsidRPr="005514E8">
          <w:rPr>
            <w:rStyle w:val="Hipervnculo"/>
            <w:rFonts w:ascii="Verdana" w:eastAsia="Verdana" w:hAnsi="Verdana" w:cs="Arial"/>
            <w:noProof/>
          </w:rPr>
          <w:t>Tabla 65. Desafíos y retos del indicador C.MT.6.N</w:t>
        </w:r>
        <w:r>
          <w:rPr>
            <w:noProof/>
            <w:webHidden/>
          </w:rPr>
          <w:tab/>
        </w:r>
        <w:r>
          <w:rPr>
            <w:noProof/>
            <w:webHidden/>
          </w:rPr>
          <w:fldChar w:fldCharType="begin"/>
        </w:r>
        <w:r>
          <w:rPr>
            <w:noProof/>
            <w:webHidden/>
          </w:rPr>
          <w:instrText xml:space="preserve"> PAGEREF _Toc225283177 \h </w:instrText>
        </w:r>
        <w:r>
          <w:rPr>
            <w:noProof/>
            <w:webHidden/>
          </w:rPr>
        </w:r>
        <w:r>
          <w:rPr>
            <w:noProof/>
            <w:webHidden/>
          </w:rPr>
          <w:fldChar w:fldCharType="separate"/>
        </w:r>
        <w:r w:rsidR="0078027F">
          <w:rPr>
            <w:noProof/>
            <w:webHidden/>
          </w:rPr>
          <w:t>74</w:t>
        </w:r>
        <w:r>
          <w:rPr>
            <w:noProof/>
            <w:webHidden/>
          </w:rPr>
          <w:fldChar w:fldCharType="end"/>
        </w:r>
      </w:hyperlink>
    </w:p>
    <w:p w14:paraId="69031FE0" w14:textId="15D605D6" w:rsidR="008D1F4C" w:rsidRDefault="008D1F4C">
      <w:pPr>
        <w:pStyle w:val="Tabladeilustraciones"/>
        <w:tabs>
          <w:tab w:val="right" w:leader="dot" w:pos="8828"/>
        </w:tabs>
        <w:rPr>
          <w:rFonts w:eastAsiaTheme="minorEastAsia"/>
          <w:noProof/>
          <w:sz w:val="24"/>
          <w:szCs w:val="24"/>
          <w:lang w:eastAsia="es-CO"/>
        </w:rPr>
      </w:pPr>
      <w:hyperlink w:anchor="_Toc225283178" w:history="1">
        <w:r w:rsidRPr="005514E8">
          <w:rPr>
            <w:rStyle w:val="Hipervnculo"/>
            <w:rFonts w:ascii="Verdana" w:eastAsia="Verdana" w:hAnsi="Verdana" w:cs="Arial"/>
            <w:noProof/>
          </w:rPr>
          <w:t>Tabla 66. Detalle de avance en el indicador C.MT.8.N</w:t>
        </w:r>
        <w:r>
          <w:rPr>
            <w:noProof/>
            <w:webHidden/>
          </w:rPr>
          <w:tab/>
        </w:r>
        <w:r>
          <w:rPr>
            <w:noProof/>
            <w:webHidden/>
          </w:rPr>
          <w:fldChar w:fldCharType="begin"/>
        </w:r>
        <w:r>
          <w:rPr>
            <w:noProof/>
            <w:webHidden/>
          </w:rPr>
          <w:instrText xml:space="preserve"> PAGEREF _Toc225283178 \h </w:instrText>
        </w:r>
        <w:r>
          <w:rPr>
            <w:noProof/>
            <w:webHidden/>
          </w:rPr>
        </w:r>
        <w:r>
          <w:rPr>
            <w:noProof/>
            <w:webHidden/>
          </w:rPr>
          <w:fldChar w:fldCharType="separate"/>
        </w:r>
        <w:r w:rsidR="0078027F">
          <w:rPr>
            <w:noProof/>
            <w:webHidden/>
          </w:rPr>
          <w:t>75</w:t>
        </w:r>
        <w:r>
          <w:rPr>
            <w:noProof/>
            <w:webHidden/>
          </w:rPr>
          <w:fldChar w:fldCharType="end"/>
        </w:r>
      </w:hyperlink>
    </w:p>
    <w:p w14:paraId="37EAC43E" w14:textId="03851AAC" w:rsidR="008D1F4C" w:rsidRDefault="008D1F4C">
      <w:pPr>
        <w:pStyle w:val="Tabladeilustraciones"/>
        <w:tabs>
          <w:tab w:val="right" w:leader="dot" w:pos="8828"/>
        </w:tabs>
        <w:rPr>
          <w:rFonts w:eastAsiaTheme="minorEastAsia"/>
          <w:noProof/>
          <w:sz w:val="24"/>
          <w:szCs w:val="24"/>
          <w:lang w:eastAsia="es-CO"/>
        </w:rPr>
      </w:pPr>
      <w:hyperlink w:anchor="_Toc225283179" w:history="1">
        <w:r w:rsidRPr="005514E8">
          <w:rPr>
            <w:rStyle w:val="Hipervnculo"/>
            <w:rFonts w:ascii="Verdana" w:eastAsia="Verdana" w:hAnsi="Verdana" w:cs="Arial"/>
            <w:noProof/>
          </w:rPr>
          <w:t>Tabla 67. Detalle de las principales acciones del indicador C.MT.8.N</w:t>
        </w:r>
        <w:r>
          <w:rPr>
            <w:noProof/>
            <w:webHidden/>
          </w:rPr>
          <w:tab/>
        </w:r>
        <w:r>
          <w:rPr>
            <w:noProof/>
            <w:webHidden/>
          </w:rPr>
          <w:fldChar w:fldCharType="begin"/>
        </w:r>
        <w:r>
          <w:rPr>
            <w:noProof/>
            <w:webHidden/>
          </w:rPr>
          <w:instrText xml:space="preserve"> PAGEREF _Toc225283179 \h </w:instrText>
        </w:r>
        <w:r>
          <w:rPr>
            <w:noProof/>
            <w:webHidden/>
          </w:rPr>
        </w:r>
        <w:r>
          <w:rPr>
            <w:noProof/>
            <w:webHidden/>
          </w:rPr>
          <w:fldChar w:fldCharType="separate"/>
        </w:r>
        <w:r w:rsidR="0078027F">
          <w:rPr>
            <w:noProof/>
            <w:webHidden/>
          </w:rPr>
          <w:t>76</w:t>
        </w:r>
        <w:r>
          <w:rPr>
            <w:noProof/>
            <w:webHidden/>
          </w:rPr>
          <w:fldChar w:fldCharType="end"/>
        </w:r>
      </w:hyperlink>
    </w:p>
    <w:p w14:paraId="44775FA1" w14:textId="1B735270" w:rsidR="008D1F4C" w:rsidRDefault="008D1F4C">
      <w:pPr>
        <w:pStyle w:val="Tabladeilustraciones"/>
        <w:tabs>
          <w:tab w:val="right" w:leader="dot" w:pos="8828"/>
        </w:tabs>
        <w:rPr>
          <w:rFonts w:eastAsiaTheme="minorEastAsia"/>
          <w:noProof/>
          <w:sz w:val="24"/>
          <w:szCs w:val="24"/>
          <w:lang w:eastAsia="es-CO"/>
        </w:rPr>
      </w:pPr>
      <w:hyperlink w:anchor="_Toc225283180" w:history="1">
        <w:r w:rsidRPr="005514E8">
          <w:rPr>
            <w:rStyle w:val="Hipervnculo"/>
            <w:rFonts w:ascii="Verdana" w:eastAsia="Verdana" w:hAnsi="Verdana" w:cs="Arial"/>
            <w:noProof/>
          </w:rPr>
          <w:t>Tabla 68. Detalle de regionalización del indicador C.MT.8.N</w:t>
        </w:r>
        <w:r>
          <w:rPr>
            <w:noProof/>
            <w:webHidden/>
          </w:rPr>
          <w:tab/>
        </w:r>
        <w:r>
          <w:rPr>
            <w:noProof/>
            <w:webHidden/>
          </w:rPr>
          <w:fldChar w:fldCharType="begin"/>
        </w:r>
        <w:r>
          <w:rPr>
            <w:noProof/>
            <w:webHidden/>
          </w:rPr>
          <w:instrText xml:space="preserve"> PAGEREF _Toc225283180 \h </w:instrText>
        </w:r>
        <w:r>
          <w:rPr>
            <w:noProof/>
            <w:webHidden/>
          </w:rPr>
        </w:r>
        <w:r>
          <w:rPr>
            <w:noProof/>
            <w:webHidden/>
          </w:rPr>
          <w:fldChar w:fldCharType="separate"/>
        </w:r>
        <w:r w:rsidR="0078027F">
          <w:rPr>
            <w:noProof/>
            <w:webHidden/>
          </w:rPr>
          <w:t>77</w:t>
        </w:r>
        <w:r>
          <w:rPr>
            <w:noProof/>
            <w:webHidden/>
          </w:rPr>
          <w:fldChar w:fldCharType="end"/>
        </w:r>
      </w:hyperlink>
    </w:p>
    <w:p w14:paraId="329C8CEA" w14:textId="37F56083" w:rsidR="008D1F4C" w:rsidRDefault="008D1F4C">
      <w:pPr>
        <w:pStyle w:val="Tabladeilustraciones"/>
        <w:tabs>
          <w:tab w:val="right" w:leader="dot" w:pos="8828"/>
        </w:tabs>
        <w:rPr>
          <w:rFonts w:eastAsiaTheme="minorEastAsia"/>
          <w:noProof/>
          <w:sz w:val="24"/>
          <w:szCs w:val="24"/>
          <w:lang w:eastAsia="es-CO"/>
        </w:rPr>
      </w:pPr>
      <w:hyperlink w:anchor="_Toc225283181" w:history="1">
        <w:r w:rsidRPr="005514E8">
          <w:rPr>
            <w:rStyle w:val="Hipervnculo"/>
            <w:rFonts w:ascii="Verdana" w:eastAsia="Verdana" w:hAnsi="Verdana" w:cs="Arial"/>
            <w:noProof/>
          </w:rPr>
          <w:t>Tabla 69. Desafíos y retos del indicador C.MT.8.N.</w:t>
        </w:r>
        <w:r>
          <w:rPr>
            <w:noProof/>
            <w:webHidden/>
          </w:rPr>
          <w:tab/>
        </w:r>
        <w:r>
          <w:rPr>
            <w:noProof/>
            <w:webHidden/>
          </w:rPr>
          <w:fldChar w:fldCharType="begin"/>
        </w:r>
        <w:r>
          <w:rPr>
            <w:noProof/>
            <w:webHidden/>
          </w:rPr>
          <w:instrText xml:space="preserve"> PAGEREF _Toc225283181 \h </w:instrText>
        </w:r>
        <w:r>
          <w:rPr>
            <w:noProof/>
            <w:webHidden/>
          </w:rPr>
        </w:r>
        <w:r>
          <w:rPr>
            <w:noProof/>
            <w:webHidden/>
          </w:rPr>
          <w:fldChar w:fldCharType="separate"/>
        </w:r>
        <w:r w:rsidR="0078027F">
          <w:rPr>
            <w:noProof/>
            <w:webHidden/>
          </w:rPr>
          <w:t>78</w:t>
        </w:r>
        <w:r>
          <w:rPr>
            <w:noProof/>
            <w:webHidden/>
          </w:rPr>
          <w:fldChar w:fldCharType="end"/>
        </w:r>
      </w:hyperlink>
    </w:p>
    <w:p w14:paraId="3AD6B64A" w14:textId="7E4A2CED" w:rsidR="008D1F4C" w:rsidRDefault="008D1F4C">
      <w:pPr>
        <w:pStyle w:val="Tabladeilustraciones"/>
        <w:tabs>
          <w:tab w:val="right" w:leader="dot" w:pos="8828"/>
        </w:tabs>
        <w:rPr>
          <w:rFonts w:eastAsiaTheme="minorEastAsia"/>
          <w:noProof/>
          <w:sz w:val="24"/>
          <w:szCs w:val="24"/>
          <w:lang w:eastAsia="es-CO"/>
        </w:rPr>
      </w:pPr>
      <w:hyperlink w:anchor="_Toc225283182" w:history="1">
        <w:r w:rsidRPr="005514E8">
          <w:rPr>
            <w:rStyle w:val="Hipervnculo"/>
            <w:rFonts w:ascii="Verdana" w:hAnsi="Verdana" w:cs="Arial"/>
            <w:noProof/>
          </w:rPr>
          <w:t>Tabla 70. Acciones de participación ciudadana para la construcción de paz</w:t>
        </w:r>
        <w:r>
          <w:rPr>
            <w:noProof/>
            <w:webHidden/>
          </w:rPr>
          <w:tab/>
        </w:r>
        <w:r>
          <w:rPr>
            <w:noProof/>
            <w:webHidden/>
          </w:rPr>
          <w:fldChar w:fldCharType="begin"/>
        </w:r>
        <w:r>
          <w:rPr>
            <w:noProof/>
            <w:webHidden/>
          </w:rPr>
          <w:instrText xml:space="preserve"> PAGEREF _Toc225283182 \h </w:instrText>
        </w:r>
        <w:r>
          <w:rPr>
            <w:noProof/>
            <w:webHidden/>
          </w:rPr>
        </w:r>
        <w:r>
          <w:rPr>
            <w:noProof/>
            <w:webHidden/>
          </w:rPr>
          <w:fldChar w:fldCharType="separate"/>
        </w:r>
        <w:r w:rsidR="0078027F">
          <w:rPr>
            <w:noProof/>
            <w:webHidden/>
          </w:rPr>
          <w:t>85</w:t>
        </w:r>
        <w:r>
          <w:rPr>
            <w:noProof/>
            <w:webHidden/>
          </w:rPr>
          <w:fldChar w:fldCharType="end"/>
        </w:r>
      </w:hyperlink>
    </w:p>
    <w:p w14:paraId="5A1C0115" w14:textId="6B4B7B46" w:rsidR="008D1F4C" w:rsidRDefault="008D1F4C">
      <w:pPr>
        <w:pStyle w:val="Tabladeilustraciones"/>
        <w:tabs>
          <w:tab w:val="right" w:leader="dot" w:pos="8828"/>
        </w:tabs>
        <w:rPr>
          <w:rFonts w:eastAsiaTheme="minorEastAsia"/>
          <w:noProof/>
          <w:sz w:val="24"/>
          <w:szCs w:val="24"/>
          <w:lang w:eastAsia="es-CO"/>
        </w:rPr>
      </w:pPr>
      <w:hyperlink w:anchor="_Toc225283183" w:history="1">
        <w:r w:rsidRPr="005514E8">
          <w:rPr>
            <w:rStyle w:val="Hipervnculo"/>
            <w:rFonts w:ascii="Verdana" w:hAnsi="Verdana" w:cs="Arial"/>
            <w:noProof/>
          </w:rPr>
          <w:t>Tabla 71. Contratos celebrados en el periodo para la implementación del Acuerdo Final</w:t>
        </w:r>
        <w:r>
          <w:rPr>
            <w:noProof/>
            <w:webHidden/>
          </w:rPr>
          <w:tab/>
        </w:r>
        <w:r>
          <w:rPr>
            <w:noProof/>
            <w:webHidden/>
          </w:rPr>
          <w:fldChar w:fldCharType="begin"/>
        </w:r>
        <w:r>
          <w:rPr>
            <w:noProof/>
            <w:webHidden/>
          </w:rPr>
          <w:instrText xml:space="preserve"> PAGEREF _Toc225283183 \h </w:instrText>
        </w:r>
        <w:r>
          <w:rPr>
            <w:noProof/>
            <w:webHidden/>
          </w:rPr>
        </w:r>
        <w:r>
          <w:rPr>
            <w:noProof/>
            <w:webHidden/>
          </w:rPr>
          <w:fldChar w:fldCharType="separate"/>
        </w:r>
        <w:r w:rsidR="0078027F">
          <w:rPr>
            <w:noProof/>
            <w:webHidden/>
          </w:rPr>
          <w:t>90</w:t>
        </w:r>
        <w:r>
          <w:rPr>
            <w:noProof/>
            <w:webHidden/>
          </w:rPr>
          <w:fldChar w:fldCharType="end"/>
        </w:r>
      </w:hyperlink>
    </w:p>
    <w:p w14:paraId="7F62786A" w14:textId="28C1BD78" w:rsidR="008D1F4C" w:rsidRDefault="008D1F4C">
      <w:pPr>
        <w:pStyle w:val="Tabladeilustraciones"/>
        <w:tabs>
          <w:tab w:val="right" w:leader="dot" w:pos="8828"/>
        </w:tabs>
        <w:rPr>
          <w:rFonts w:eastAsiaTheme="minorEastAsia"/>
          <w:noProof/>
          <w:sz w:val="24"/>
          <w:szCs w:val="24"/>
          <w:lang w:eastAsia="es-CO"/>
        </w:rPr>
      </w:pPr>
      <w:hyperlink w:anchor="_Toc225283184" w:history="1">
        <w:r w:rsidRPr="005514E8">
          <w:rPr>
            <w:rStyle w:val="Hipervnculo"/>
            <w:rFonts w:ascii="Verdana" w:hAnsi="Verdana" w:cs="Arial"/>
            <w:noProof/>
          </w:rPr>
          <w:t>Tabla 72. Denuncias ante los organismos de control competentes</w:t>
        </w:r>
        <w:r>
          <w:rPr>
            <w:noProof/>
            <w:webHidden/>
          </w:rPr>
          <w:tab/>
        </w:r>
        <w:r>
          <w:rPr>
            <w:noProof/>
            <w:webHidden/>
          </w:rPr>
          <w:fldChar w:fldCharType="begin"/>
        </w:r>
        <w:r>
          <w:rPr>
            <w:noProof/>
            <w:webHidden/>
          </w:rPr>
          <w:instrText xml:space="preserve"> PAGEREF _Toc225283184 \h </w:instrText>
        </w:r>
        <w:r>
          <w:rPr>
            <w:noProof/>
            <w:webHidden/>
          </w:rPr>
        </w:r>
        <w:r>
          <w:rPr>
            <w:noProof/>
            <w:webHidden/>
          </w:rPr>
          <w:fldChar w:fldCharType="separate"/>
        </w:r>
        <w:r w:rsidR="0078027F">
          <w:rPr>
            <w:noProof/>
            <w:webHidden/>
          </w:rPr>
          <w:t>99</w:t>
        </w:r>
        <w:r>
          <w:rPr>
            <w:noProof/>
            <w:webHidden/>
          </w:rPr>
          <w:fldChar w:fldCharType="end"/>
        </w:r>
      </w:hyperlink>
    </w:p>
    <w:p w14:paraId="7FB26906" w14:textId="0F7F1495" w:rsidR="008D1F4C" w:rsidRDefault="008D1F4C">
      <w:pPr>
        <w:pStyle w:val="Tabladeilustraciones"/>
        <w:tabs>
          <w:tab w:val="right" w:leader="dot" w:pos="8828"/>
        </w:tabs>
        <w:rPr>
          <w:rFonts w:eastAsiaTheme="minorEastAsia"/>
          <w:noProof/>
          <w:sz w:val="24"/>
          <w:szCs w:val="24"/>
          <w:lang w:eastAsia="es-CO"/>
        </w:rPr>
      </w:pPr>
      <w:hyperlink w:anchor="_Toc225283185" w:history="1">
        <w:r w:rsidRPr="005514E8">
          <w:rPr>
            <w:rStyle w:val="Hipervnculo"/>
            <w:rFonts w:ascii="Verdana" w:hAnsi="Verdana" w:cs="Arial"/>
            <w:noProof/>
          </w:rPr>
          <w:t>Tabla 73. Datos de enlaces de la Entidad</w:t>
        </w:r>
        <w:r>
          <w:rPr>
            <w:noProof/>
            <w:webHidden/>
          </w:rPr>
          <w:tab/>
        </w:r>
        <w:r>
          <w:rPr>
            <w:noProof/>
            <w:webHidden/>
          </w:rPr>
          <w:fldChar w:fldCharType="begin"/>
        </w:r>
        <w:r>
          <w:rPr>
            <w:noProof/>
            <w:webHidden/>
          </w:rPr>
          <w:instrText xml:space="preserve"> PAGEREF _Toc225283185 \h </w:instrText>
        </w:r>
        <w:r>
          <w:rPr>
            <w:noProof/>
            <w:webHidden/>
          </w:rPr>
        </w:r>
        <w:r>
          <w:rPr>
            <w:noProof/>
            <w:webHidden/>
          </w:rPr>
          <w:fldChar w:fldCharType="separate"/>
        </w:r>
        <w:r w:rsidR="0078027F">
          <w:rPr>
            <w:noProof/>
            <w:webHidden/>
          </w:rPr>
          <w:t>100</w:t>
        </w:r>
        <w:r>
          <w:rPr>
            <w:noProof/>
            <w:webHidden/>
          </w:rPr>
          <w:fldChar w:fldCharType="end"/>
        </w:r>
      </w:hyperlink>
    </w:p>
    <w:p w14:paraId="39A9CA96" w14:textId="7A740862" w:rsidR="00D23445" w:rsidRPr="00935C88" w:rsidRDefault="00FD4488" w:rsidP="00C25586">
      <w:pPr>
        <w:spacing w:after="0" w:line="276" w:lineRule="auto"/>
        <w:jc w:val="both"/>
        <w:rPr>
          <w:rFonts w:ascii="Verdana" w:hAnsi="Verdana" w:cs="Arial"/>
          <w:color w:val="806000" w:themeColor="accent4" w:themeShade="80"/>
          <w:sz w:val="40"/>
          <w:szCs w:val="40"/>
          <w:lang w:val="es-ES"/>
        </w:rPr>
      </w:pPr>
      <w:r>
        <w:rPr>
          <w:rFonts w:ascii="Verdana" w:hAnsi="Verdana" w:cs="Arial"/>
          <w:color w:val="806000" w:themeColor="accent4" w:themeShade="80"/>
          <w:sz w:val="40"/>
          <w:szCs w:val="40"/>
          <w:lang w:val="es-ES"/>
        </w:rPr>
        <w:fldChar w:fldCharType="end"/>
      </w:r>
    </w:p>
    <w:p w14:paraId="25EC0AC2" w14:textId="42056CB2" w:rsidR="000762B5" w:rsidRDefault="000762B5" w:rsidP="000762B5">
      <w:pPr>
        <w:spacing w:after="0" w:line="276" w:lineRule="auto"/>
        <w:jc w:val="both"/>
        <w:rPr>
          <w:rFonts w:ascii="Verdana" w:hAnsi="Verdana" w:cs="Arial"/>
          <w:color w:val="806000" w:themeColor="accent4" w:themeShade="80"/>
          <w:sz w:val="40"/>
          <w:szCs w:val="40"/>
          <w:lang w:val="es-ES"/>
        </w:rPr>
      </w:pPr>
      <w:r>
        <w:rPr>
          <w:rFonts w:ascii="Verdana" w:hAnsi="Verdana" w:cs="Arial"/>
          <w:color w:val="806000" w:themeColor="accent4" w:themeShade="80"/>
          <w:sz w:val="40"/>
          <w:szCs w:val="40"/>
          <w:lang w:val="es-ES"/>
        </w:rPr>
        <w:t>Listado de imágenes</w:t>
      </w:r>
    </w:p>
    <w:p w14:paraId="0EB83CE9" w14:textId="162F7FEB" w:rsidR="00037A8D" w:rsidRDefault="000762B5">
      <w:pPr>
        <w:pStyle w:val="Tabladeilustraciones"/>
        <w:tabs>
          <w:tab w:val="right" w:leader="dot" w:pos="8828"/>
        </w:tabs>
        <w:rPr>
          <w:rFonts w:eastAsiaTheme="minorEastAsia"/>
          <w:noProof/>
          <w:sz w:val="24"/>
          <w:szCs w:val="24"/>
          <w:lang w:eastAsia="es-CO"/>
        </w:rPr>
      </w:pPr>
      <w:r>
        <w:rPr>
          <w:rFonts w:ascii="Verdana" w:hAnsi="Verdana" w:cs="Arial"/>
          <w:color w:val="806000" w:themeColor="accent4" w:themeShade="80"/>
          <w:sz w:val="40"/>
          <w:szCs w:val="40"/>
          <w:lang w:val="es-ES"/>
        </w:rPr>
        <w:fldChar w:fldCharType="begin"/>
      </w:r>
      <w:r>
        <w:rPr>
          <w:rFonts w:ascii="Verdana" w:hAnsi="Verdana" w:cs="Arial"/>
          <w:color w:val="806000" w:themeColor="accent4" w:themeShade="80"/>
          <w:sz w:val="40"/>
          <w:szCs w:val="40"/>
          <w:lang w:val="es-ES"/>
        </w:rPr>
        <w:instrText xml:space="preserve"> TOC \h \z \c "Ilustración" </w:instrText>
      </w:r>
      <w:r>
        <w:rPr>
          <w:rFonts w:ascii="Verdana" w:hAnsi="Verdana" w:cs="Arial"/>
          <w:color w:val="806000" w:themeColor="accent4" w:themeShade="80"/>
          <w:sz w:val="40"/>
          <w:szCs w:val="40"/>
          <w:lang w:val="es-ES"/>
        </w:rPr>
        <w:fldChar w:fldCharType="separate"/>
      </w:r>
      <w:hyperlink w:anchor="_Toc225265049" w:history="1">
        <w:r w:rsidR="00037A8D" w:rsidRPr="008E43C2">
          <w:rPr>
            <w:rStyle w:val="Hipervnculo"/>
            <w:rFonts w:ascii="Verdana" w:eastAsia="Verdana" w:hAnsi="Verdana" w:cs="Arial"/>
            <w:noProof/>
          </w:rPr>
          <w:t>Ilustración 1. Desagregado de proyectos productivos desembolsados en el 2025 por departamento</w:t>
        </w:r>
        <w:r w:rsidR="00037A8D">
          <w:rPr>
            <w:noProof/>
            <w:webHidden/>
          </w:rPr>
          <w:tab/>
        </w:r>
        <w:r w:rsidR="00037A8D">
          <w:rPr>
            <w:noProof/>
            <w:webHidden/>
          </w:rPr>
          <w:fldChar w:fldCharType="begin"/>
        </w:r>
        <w:r w:rsidR="00037A8D">
          <w:rPr>
            <w:noProof/>
            <w:webHidden/>
          </w:rPr>
          <w:instrText xml:space="preserve"> PAGEREF _Toc225265049 \h </w:instrText>
        </w:r>
        <w:r w:rsidR="00037A8D">
          <w:rPr>
            <w:noProof/>
            <w:webHidden/>
          </w:rPr>
        </w:r>
        <w:r w:rsidR="00037A8D">
          <w:rPr>
            <w:noProof/>
            <w:webHidden/>
          </w:rPr>
          <w:fldChar w:fldCharType="separate"/>
        </w:r>
        <w:r w:rsidR="0078027F">
          <w:rPr>
            <w:noProof/>
            <w:webHidden/>
          </w:rPr>
          <w:t>34</w:t>
        </w:r>
        <w:r w:rsidR="00037A8D">
          <w:rPr>
            <w:noProof/>
            <w:webHidden/>
          </w:rPr>
          <w:fldChar w:fldCharType="end"/>
        </w:r>
      </w:hyperlink>
    </w:p>
    <w:p w14:paraId="4D056A6B" w14:textId="569E2126" w:rsidR="00037A8D" w:rsidRDefault="00037A8D">
      <w:pPr>
        <w:pStyle w:val="Tabladeilustraciones"/>
        <w:tabs>
          <w:tab w:val="right" w:leader="dot" w:pos="8828"/>
        </w:tabs>
        <w:rPr>
          <w:rFonts w:eastAsiaTheme="minorEastAsia"/>
          <w:noProof/>
          <w:sz w:val="24"/>
          <w:szCs w:val="24"/>
          <w:lang w:eastAsia="es-CO"/>
        </w:rPr>
      </w:pPr>
      <w:hyperlink w:anchor="_Toc225265050" w:history="1">
        <w:r w:rsidRPr="008E43C2">
          <w:rPr>
            <w:rStyle w:val="Hipervnculo"/>
            <w:rFonts w:ascii="Verdana" w:eastAsia="Verdana" w:hAnsi="Verdana" w:cs="Arial"/>
            <w:noProof/>
          </w:rPr>
          <w:t>Ilustración 2. Desagregado del total acumulado de proyectos productivos desembolsados por departamento</w:t>
        </w:r>
        <w:r>
          <w:rPr>
            <w:noProof/>
            <w:webHidden/>
          </w:rPr>
          <w:tab/>
        </w:r>
        <w:r>
          <w:rPr>
            <w:noProof/>
            <w:webHidden/>
          </w:rPr>
          <w:fldChar w:fldCharType="begin"/>
        </w:r>
        <w:r>
          <w:rPr>
            <w:noProof/>
            <w:webHidden/>
          </w:rPr>
          <w:instrText xml:space="preserve"> PAGEREF _Toc225265050 \h </w:instrText>
        </w:r>
        <w:r>
          <w:rPr>
            <w:noProof/>
            <w:webHidden/>
          </w:rPr>
        </w:r>
        <w:r>
          <w:rPr>
            <w:noProof/>
            <w:webHidden/>
          </w:rPr>
          <w:fldChar w:fldCharType="separate"/>
        </w:r>
        <w:r w:rsidR="0078027F">
          <w:rPr>
            <w:noProof/>
            <w:webHidden/>
          </w:rPr>
          <w:t>35</w:t>
        </w:r>
        <w:r>
          <w:rPr>
            <w:noProof/>
            <w:webHidden/>
          </w:rPr>
          <w:fldChar w:fldCharType="end"/>
        </w:r>
      </w:hyperlink>
    </w:p>
    <w:p w14:paraId="63D0786A" w14:textId="1167CF59" w:rsidR="00037A8D" w:rsidRDefault="00037A8D">
      <w:pPr>
        <w:pStyle w:val="Tabladeilustraciones"/>
        <w:tabs>
          <w:tab w:val="right" w:leader="dot" w:pos="8828"/>
        </w:tabs>
        <w:rPr>
          <w:rFonts w:eastAsiaTheme="minorEastAsia"/>
          <w:noProof/>
          <w:sz w:val="24"/>
          <w:szCs w:val="24"/>
          <w:lang w:eastAsia="es-CO"/>
        </w:rPr>
      </w:pPr>
      <w:hyperlink w:anchor="_Toc225265051" w:history="1">
        <w:r w:rsidRPr="008E43C2">
          <w:rPr>
            <w:rStyle w:val="Hipervnculo"/>
            <w:rFonts w:ascii="Verdana" w:hAnsi="Verdana"/>
            <w:noProof/>
          </w:rPr>
          <w:t>Ilustración 3. Calendario de eventos ARN</w:t>
        </w:r>
        <w:r>
          <w:rPr>
            <w:noProof/>
            <w:webHidden/>
          </w:rPr>
          <w:tab/>
        </w:r>
        <w:r>
          <w:rPr>
            <w:noProof/>
            <w:webHidden/>
          </w:rPr>
          <w:fldChar w:fldCharType="begin"/>
        </w:r>
        <w:r>
          <w:rPr>
            <w:noProof/>
            <w:webHidden/>
          </w:rPr>
          <w:instrText xml:space="preserve"> PAGEREF _Toc225265051 \h </w:instrText>
        </w:r>
        <w:r>
          <w:rPr>
            <w:noProof/>
            <w:webHidden/>
          </w:rPr>
        </w:r>
        <w:r>
          <w:rPr>
            <w:noProof/>
            <w:webHidden/>
          </w:rPr>
          <w:fldChar w:fldCharType="separate"/>
        </w:r>
        <w:r w:rsidR="0078027F">
          <w:rPr>
            <w:noProof/>
            <w:webHidden/>
          </w:rPr>
          <w:t>100</w:t>
        </w:r>
        <w:r>
          <w:rPr>
            <w:noProof/>
            <w:webHidden/>
          </w:rPr>
          <w:fldChar w:fldCharType="end"/>
        </w:r>
      </w:hyperlink>
    </w:p>
    <w:p w14:paraId="759955F3" w14:textId="4FA869C7" w:rsidR="000762B5" w:rsidRDefault="000762B5" w:rsidP="000762B5">
      <w:pPr>
        <w:spacing w:after="0" w:line="276" w:lineRule="auto"/>
        <w:jc w:val="both"/>
        <w:rPr>
          <w:rFonts w:ascii="Verdana" w:hAnsi="Verdana" w:cs="Arial"/>
          <w:color w:val="806000" w:themeColor="accent4" w:themeShade="80"/>
          <w:sz w:val="40"/>
          <w:szCs w:val="40"/>
          <w:lang w:val="es-ES"/>
        </w:rPr>
      </w:pPr>
      <w:r>
        <w:rPr>
          <w:rFonts w:ascii="Verdana" w:hAnsi="Verdana" w:cs="Arial"/>
          <w:color w:val="806000" w:themeColor="accent4" w:themeShade="80"/>
          <w:sz w:val="40"/>
          <w:szCs w:val="40"/>
          <w:lang w:val="es-ES"/>
        </w:rPr>
        <w:fldChar w:fldCharType="end"/>
      </w:r>
    </w:p>
    <w:p w14:paraId="77E45EE7" w14:textId="39930AFA" w:rsidR="009F6E4E" w:rsidRPr="00AB06F3" w:rsidRDefault="009F6E4E" w:rsidP="00C25586">
      <w:pPr>
        <w:spacing w:after="0" w:line="276" w:lineRule="auto"/>
        <w:jc w:val="both"/>
        <w:rPr>
          <w:rFonts w:ascii="Verdana" w:hAnsi="Verdana" w:cs="Arial"/>
          <w:sz w:val="52"/>
          <w:szCs w:val="52"/>
        </w:rPr>
      </w:pPr>
    </w:p>
    <w:p w14:paraId="038677D0" w14:textId="77777777" w:rsidR="00621B40" w:rsidRPr="00AB06F3" w:rsidRDefault="00621B40" w:rsidP="00C25586">
      <w:pPr>
        <w:spacing w:after="0" w:line="276" w:lineRule="auto"/>
        <w:jc w:val="center"/>
        <w:rPr>
          <w:rFonts w:ascii="Verdana" w:hAnsi="Verdana" w:cs="Arial"/>
          <w:bCs/>
          <w:color w:val="1F3864" w:themeColor="accent1" w:themeShade="80"/>
          <w:lang w:val="es-ES"/>
        </w:rPr>
      </w:pPr>
    </w:p>
    <w:p w14:paraId="2B8FA12C" w14:textId="77777777" w:rsidR="00C25586" w:rsidRDefault="00C25586" w:rsidP="00C25586">
      <w:pPr>
        <w:spacing w:line="276" w:lineRule="auto"/>
        <w:rPr>
          <w:rFonts w:ascii="Verdana" w:hAnsi="Verdana" w:cs="Arial"/>
          <w:bCs/>
          <w:color w:val="1F3864" w:themeColor="accent1" w:themeShade="80"/>
          <w:lang w:val="es-ES"/>
        </w:rPr>
      </w:pPr>
      <w:r>
        <w:rPr>
          <w:rFonts w:ascii="Verdana" w:hAnsi="Verdana" w:cs="Arial"/>
          <w:bCs/>
          <w:color w:val="1F3864" w:themeColor="accent1" w:themeShade="80"/>
          <w:lang w:val="es-ES"/>
        </w:rPr>
        <w:br w:type="page"/>
      </w:r>
    </w:p>
    <w:p w14:paraId="23B716CF" w14:textId="77777777" w:rsidR="003115B6" w:rsidRDefault="003115B6" w:rsidP="00C25586">
      <w:pPr>
        <w:spacing w:after="0" w:line="276" w:lineRule="auto"/>
        <w:jc w:val="center"/>
        <w:rPr>
          <w:rFonts w:ascii="Verdana" w:hAnsi="Verdana" w:cs="Arial"/>
          <w:bCs/>
          <w:color w:val="1F3864" w:themeColor="accent1" w:themeShade="80"/>
          <w:lang w:val="es-ES"/>
        </w:rPr>
      </w:pPr>
    </w:p>
    <w:p w14:paraId="0B840788" w14:textId="68A88304" w:rsidR="00C94552" w:rsidRPr="009E3D67" w:rsidRDefault="00621B40" w:rsidP="00C25586">
      <w:pPr>
        <w:spacing w:after="0" w:line="276" w:lineRule="auto"/>
        <w:jc w:val="center"/>
        <w:rPr>
          <w:rFonts w:ascii="Verdana" w:hAnsi="Verdana" w:cs="Arial"/>
          <w:b/>
          <w:lang w:val="es-ES"/>
        </w:rPr>
      </w:pPr>
      <w:r w:rsidRPr="009E3D67">
        <w:rPr>
          <w:rFonts w:ascii="Verdana" w:hAnsi="Verdana" w:cs="Arial"/>
          <w:b/>
          <w:lang w:val="es-ES"/>
        </w:rPr>
        <w:t>PRESENTACIÓN DEL INFORME DE RENDICIÓN DE CUENTAS SOBRE CONSTRUCCIÓN DE PAZ</w:t>
      </w:r>
    </w:p>
    <w:p w14:paraId="48F140E6" w14:textId="77777777" w:rsidR="00C94552" w:rsidRPr="003115B6" w:rsidRDefault="00C94552" w:rsidP="00C25586">
      <w:pPr>
        <w:spacing w:after="0" w:line="276" w:lineRule="auto"/>
        <w:jc w:val="both"/>
        <w:rPr>
          <w:rFonts w:ascii="Verdana" w:hAnsi="Verdana" w:cs="Arial"/>
          <w:b/>
          <w:sz w:val="24"/>
          <w:szCs w:val="24"/>
        </w:rPr>
      </w:pPr>
    </w:p>
    <w:p w14:paraId="6BFA6252" w14:textId="0622D4FF" w:rsidR="003F43B3" w:rsidRPr="00AB06F3" w:rsidRDefault="350A657C" w:rsidP="00C25586">
      <w:pPr>
        <w:spacing w:after="0" w:line="276" w:lineRule="auto"/>
        <w:jc w:val="both"/>
        <w:rPr>
          <w:rFonts w:ascii="Verdana" w:hAnsi="Verdana" w:cs="Arial"/>
          <w:sz w:val="24"/>
          <w:szCs w:val="24"/>
        </w:rPr>
      </w:pPr>
      <w:r w:rsidRPr="00AB06F3">
        <w:rPr>
          <w:rFonts w:ascii="Verdana" w:hAnsi="Verdana" w:cs="Arial"/>
          <w:sz w:val="24"/>
          <w:szCs w:val="24"/>
        </w:rPr>
        <w:t>L</w:t>
      </w:r>
      <w:r w:rsidR="008466FC" w:rsidRPr="00AB06F3">
        <w:rPr>
          <w:rFonts w:ascii="Verdana" w:hAnsi="Verdana" w:cs="Arial"/>
          <w:sz w:val="24"/>
          <w:szCs w:val="24"/>
        </w:rPr>
        <w:t>a</w:t>
      </w:r>
      <w:r w:rsidR="1F9CD1CF" w:rsidRPr="00AB06F3">
        <w:rPr>
          <w:rFonts w:ascii="Verdana" w:hAnsi="Verdana" w:cs="Arial"/>
          <w:sz w:val="24"/>
          <w:szCs w:val="24"/>
        </w:rPr>
        <w:t xml:space="preserve"> </w:t>
      </w:r>
      <w:r w:rsidR="00FF5173">
        <w:rPr>
          <w:rFonts w:ascii="Verdana" w:hAnsi="Verdana" w:cs="Arial"/>
          <w:sz w:val="24"/>
          <w:szCs w:val="24"/>
        </w:rPr>
        <w:t xml:space="preserve">Agencia para la Reincorporación y la Normalización (ARN) </w:t>
      </w:r>
      <w:r w:rsidR="00444DC1" w:rsidRPr="00AB06F3">
        <w:rPr>
          <w:rFonts w:ascii="Verdana" w:hAnsi="Verdana" w:cs="Arial"/>
          <w:sz w:val="24"/>
          <w:szCs w:val="24"/>
        </w:rPr>
        <w:t>ha venido</w:t>
      </w:r>
      <w:r w:rsidR="3C448BB5" w:rsidRPr="00AB06F3">
        <w:rPr>
          <w:rFonts w:ascii="Verdana" w:hAnsi="Verdana" w:cs="Arial"/>
          <w:sz w:val="24"/>
          <w:szCs w:val="24"/>
        </w:rPr>
        <w:t xml:space="preserve"> </w:t>
      </w:r>
      <w:r w:rsidR="00444DC1" w:rsidRPr="00AB06F3">
        <w:rPr>
          <w:rFonts w:ascii="Verdana" w:hAnsi="Verdana" w:cs="Arial"/>
          <w:sz w:val="24"/>
          <w:szCs w:val="24"/>
        </w:rPr>
        <w:t xml:space="preserve">desarrollando </w:t>
      </w:r>
      <w:r w:rsidR="005E6A70">
        <w:rPr>
          <w:rFonts w:ascii="Verdana" w:hAnsi="Verdana" w:cs="Arial"/>
          <w:sz w:val="24"/>
          <w:szCs w:val="24"/>
        </w:rPr>
        <w:t xml:space="preserve">diversas </w:t>
      </w:r>
      <w:r w:rsidR="00444DC1" w:rsidRPr="00AB06F3">
        <w:rPr>
          <w:rFonts w:ascii="Verdana" w:hAnsi="Verdana" w:cs="Arial"/>
          <w:sz w:val="24"/>
          <w:szCs w:val="24"/>
        </w:rPr>
        <w:t xml:space="preserve">acciones </w:t>
      </w:r>
      <w:r w:rsidR="004C0676">
        <w:rPr>
          <w:rFonts w:ascii="Verdana" w:hAnsi="Verdana" w:cs="Arial"/>
          <w:sz w:val="24"/>
          <w:szCs w:val="24"/>
        </w:rPr>
        <w:t xml:space="preserve">orientadas a contribuir a la </w:t>
      </w:r>
      <w:r w:rsidR="00444DC1" w:rsidRPr="00AB06F3">
        <w:rPr>
          <w:rFonts w:ascii="Verdana" w:hAnsi="Verdana" w:cs="Arial"/>
          <w:sz w:val="24"/>
          <w:szCs w:val="24"/>
        </w:rPr>
        <w:t xml:space="preserve">construcción de Paz en Colombia. </w:t>
      </w:r>
      <w:r w:rsidR="004C0676">
        <w:rPr>
          <w:rFonts w:ascii="Verdana" w:hAnsi="Verdana" w:cs="Arial"/>
          <w:sz w:val="24"/>
          <w:szCs w:val="24"/>
        </w:rPr>
        <w:t xml:space="preserve">EN este contexto, el presente </w:t>
      </w:r>
      <w:r w:rsidR="00444DC1" w:rsidRPr="00AB06F3">
        <w:rPr>
          <w:rFonts w:ascii="Verdana" w:hAnsi="Verdana" w:cs="Arial"/>
          <w:sz w:val="24"/>
          <w:szCs w:val="24"/>
        </w:rPr>
        <w:t>Informe de Rendición de Cuentas present</w:t>
      </w:r>
      <w:r w:rsidR="005867FD" w:rsidRPr="00AB06F3">
        <w:rPr>
          <w:rFonts w:ascii="Verdana" w:hAnsi="Verdana" w:cs="Arial"/>
          <w:sz w:val="24"/>
          <w:szCs w:val="24"/>
        </w:rPr>
        <w:t>a</w:t>
      </w:r>
      <w:r w:rsidR="00444DC1" w:rsidRPr="00AB06F3">
        <w:rPr>
          <w:rFonts w:ascii="Verdana" w:hAnsi="Verdana" w:cs="Arial"/>
          <w:sz w:val="24"/>
          <w:szCs w:val="24"/>
        </w:rPr>
        <w:t xml:space="preserve"> </w:t>
      </w:r>
      <w:r w:rsidR="004C0676">
        <w:rPr>
          <w:rFonts w:ascii="Verdana" w:hAnsi="Verdana" w:cs="Arial"/>
          <w:sz w:val="24"/>
          <w:szCs w:val="24"/>
        </w:rPr>
        <w:t xml:space="preserve">los avances en </w:t>
      </w:r>
      <w:r w:rsidR="00444DC1" w:rsidRPr="00AB06F3">
        <w:rPr>
          <w:rFonts w:ascii="Verdana" w:hAnsi="Verdana" w:cs="Arial"/>
          <w:sz w:val="24"/>
          <w:szCs w:val="24"/>
        </w:rPr>
        <w:t xml:space="preserve">la implementación del Acuerdo de Paz </w:t>
      </w:r>
      <w:r w:rsidR="004C0676">
        <w:rPr>
          <w:rFonts w:ascii="Verdana" w:hAnsi="Verdana" w:cs="Arial"/>
          <w:sz w:val="24"/>
          <w:szCs w:val="24"/>
        </w:rPr>
        <w:t xml:space="preserve">alcanzados </w:t>
      </w:r>
      <w:r w:rsidR="00444DC1" w:rsidRPr="00AB06F3">
        <w:rPr>
          <w:rFonts w:ascii="Verdana" w:hAnsi="Verdana" w:cs="Arial"/>
          <w:sz w:val="24"/>
          <w:szCs w:val="24"/>
        </w:rPr>
        <w:t>entre el 1 de enero</w:t>
      </w:r>
      <w:r w:rsidR="00970B37" w:rsidRPr="00AB06F3">
        <w:rPr>
          <w:rFonts w:ascii="Verdana" w:hAnsi="Verdana" w:cs="Arial"/>
          <w:sz w:val="24"/>
          <w:szCs w:val="24"/>
        </w:rPr>
        <w:t xml:space="preserve"> </w:t>
      </w:r>
      <w:r w:rsidR="003F4303">
        <w:rPr>
          <w:rFonts w:ascii="Verdana" w:hAnsi="Verdana" w:cs="Arial"/>
          <w:sz w:val="24"/>
          <w:szCs w:val="24"/>
        </w:rPr>
        <w:t>y</w:t>
      </w:r>
      <w:r w:rsidR="00444DC1" w:rsidRPr="00AB06F3">
        <w:rPr>
          <w:rFonts w:ascii="Verdana" w:hAnsi="Verdana" w:cs="Arial"/>
          <w:sz w:val="24"/>
          <w:szCs w:val="24"/>
        </w:rPr>
        <w:t xml:space="preserve"> el 31 de diciembre de 20</w:t>
      </w:r>
      <w:r w:rsidR="00B70C44" w:rsidRPr="00AB06F3">
        <w:rPr>
          <w:rFonts w:ascii="Verdana" w:hAnsi="Verdana" w:cs="Arial"/>
          <w:sz w:val="24"/>
          <w:szCs w:val="24"/>
        </w:rPr>
        <w:t>2</w:t>
      </w:r>
      <w:r w:rsidR="005160CD">
        <w:rPr>
          <w:rFonts w:ascii="Verdana" w:hAnsi="Verdana" w:cs="Arial"/>
          <w:sz w:val="24"/>
          <w:szCs w:val="24"/>
        </w:rPr>
        <w:t>5</w:t>
      </w:r>
      <w:r w:rsidR="00444DC1" w:rsidRPr="00AB06F3">
        <w:rPr>
          <w:rFonts w:ascii="Verdana" w:hAnsi="Verdana" w:cs="Arial"/>
          <w:sz w:val="24"/>
          <w:szCs w:val="24"/>
        </w:rPr>
        <w:t>,</w:t>
      </w:r>
      <w:r w:rsidR="00E85CC3">
        <w:rPr>
          <w:rFonts w:ascii="Verdana" w:hAnsi="Verdana" w:cs="Arial"/>
          <w:sz w:val="24"/>
          <w:szCs w:val="24"/>
        </w:rPr>
        <w:t xml:space="preserve"> particularmente en relación con los siguientes </w:t>
      </w:r>
      <w:r w:rsidR="00444DC1" w:rsidRPr="00AB06F3">
        <w:rPr>
          <w:rFonts w:ascii="Verdana" w:hAnsi="Verdana" w:cs="Arial"/>
          <w:sz w:val="24"/>
          <w:szCs w:val="24"/>
        </w:rPr>
        <w:t>puntos del Acuerdo:</w:t>
      </w:r>
    </w:p>
    <w:p w14:paraId="550CD680" w14:textId="77777777" w:rsidR="00A411E9" w:rsidRPr="00AB06F3" w:rsidRDefault="00A411E9" w:rsidP="00C25586">
      <w:pPr>
        <w:spacing w:after="0" w:line="276" w:lineRule="auto"/>
        <w:jc w:val="both"/>
        <w:rPr>
          <w:rFonts w:ascii="Verdana" w:hAnsi="Verdana" w:cs="Arial"/>
          <w:sz w:val="24"/>
          <w:szCs w:val="24"/>
        </w:rPr>
      </w:pPr>
    </w:p>
    <w:p w14:paraId="2AF407B8" w14:textId="7698DBC6" w:rsidR="009A3A32" w:rsidRPr="00AB06F3" w:rsidRDefault="009A3A32" w:rsidP="00C25586">
      <w:pPr>
        <w:spacing w:after="0" w:line="276" w:lineRule="auto"/>
        <w:jc w:val="both"/>
        <w:rPr>
          <w:rFonts w:ascii="Verdana" w:hAnsi="Verdana" w:cs="Arial"/>
          <w:sz w:val="24"/>
          <w:szCs w:val="24"/>
        </w:rPr>
      </w:pPr>
      <w:r w:rsidRPr="00AB06F3">
        <w:rPr>
          <w:rFonts w:ascii="Verdana" w:hAnsi="Verdana" w:cs="Arial"/>
          <w:sz w:val="24"/>
          <w:szCs w:val="24"/>
        </w:rPr>
        <w:t>Punto 3. Fin del conflicto</w:t>
      </w:r>
    </w:p>
    <w:p w14:paraId="7283D1DB" w14:textId="542B2CEE" w:rsidR="009A3A32" w:rsidRPr="00AB06F3" w:rsidRDefault="009A3A32" w:rsidP="00C25586">
      <w:pPr>
        <w:spacing w:after="0" w:line="276" w:lineRule="auto"/>
        <w:jc w:val="both"/>
        <w:rPr>
          <w:rFonts w:ascii="Verdana" w:hAnsi="Verdana" w:cs="Arial"/>
          <w:sz w:val="24"/>
          <w:szCs w:val="24"/>
        </w:rPr>
      </w:pPr>
      <w:r w:rsidRPr="00AB06F3">
        <w:rPr>
          <w:rFonts w:ascii="Verdana" w:hAnsi="Verdana" w:cs="Arial"/>
          <w:sz w:val="24"/>
          <w:szCs w:val="24"/>
        </w:rPr>
        <w:t>Punto 6. Implementación, verificación y refrendación</w:t>
      </w:r>
    </w:p>
    <w:p w14:paraId="0F2E4974" w14:textId="77777777" w:rsidR="0031696C" w:rsidRPr="00AB06F3" w:rsidRDefault="0031696C" w:rsidP="00C25586">
      <w:pPr>
        <w:spacing w:after="0" w:line="276" w:lineRule="auto"/>
        <w:jc w:val="both"/>
        <w:rPr>
          <w:rFonts w:ascii="Verdana" w:hAnsi="Verdana" w:cs="Arial"/>
          <w:sz w:val="24"/>
          <w:szCs w:val="24"/>
        </w:rPr>
      </w:pPr>
    </w:p>
    <w:p w14:paraId="3E9598AB" w14:textId="77777777" w:rsidR="00EA74A8" w:rsidRDefault="00E85CC3" w:rsidP="00C25586">
      <w:pPr>
        <w:spacing w:after="0" w:line="276" w:lineRule="auto"/>
        <w:jc w:val="both"/>
        <w:rPr>
          <w:rFonts w:ascii="Verdana" w:hAnsi="Verdana" w:cs="Arial"/>
          <w:sz w:val="24"/>
          <w:szCs w:val="24"/>
        </w:rPr>
      </w:pPr>
      <w:r>
        <w:rPr>
          <w:rFonts w:ascii="Verdana" w:hAnsi="Verdana" w:cs="Arial"/>
          <w:sz w:val="24"/>
          <w:szCs w:val="24"/>
        </w:rPr>
        <w:t xml:space="preserve">Adicionalmente, el </w:t>
      </w:r>
      <w:r w:rsidR="6774AE7A" w:rsidRPr="00AB06F3">
        <w:rPr>
          <w:rFonts w:ascii="Verdana" w:hAnsi="Verdana" w:cs="Arial"/>
          <w:sz w:val="24"/>
          <w:szCs w:val="24"/>
        </w:rPr>
        <w:t>informe</w:t>
      </w:r>
      <w:r>
        <w:rPr>
          <w:rFonts w:ascii="Verdana" w:hAnsi="Verdana" w:cs="Arial"/>
          <w:sz w:val="24"/>
          <w:szCs w:val="24"/>
        </w:rPr>
        <w:t xml:space="preserve"> incluye </w:t>
      </w:r>
      <w:r w:rsidR="71DAF994" w:rsidRPr="00AB06F3">
        <w:rPr>
          <w:rFonts w:ascii="Verdana" w:hAnsi="Verdana" w:cs="Arial"/>
          <w:sz w:val="24"/>
          <w:szCs w:val="24"/>
        </w:rPr>
        <w:t xml:space="preserve">información </w:t>
      </w:r>
      <w:r>
        <w:rPr>
          <w:rFonts w:ascii="Verdana" w:hAnsi="Verdana" w:cs="Arial"/>
          <w:sz w:val="24"/>
          <w:szCs w:val="24"/>
        </w:rPr>
        <w:t xml:space="preserve">sobre </w:t>
      </w:r>
      <w:r w:rsidR="71DAF994" w:rsidRPr="00AB06F3">
        <w:rPr>
          <w:rFonts w:ascii="Verdana" w:hAnsi="Verdana" w:cs="Arial"/>
          <w:sz w:val="24"/>
          <w:szCs w:val="24"/>
        </w:rPr>
        <w:t xml:space="preserve">avances en </w:t>
      </w:r>
      <w:r w:rsidR="00F34B66">
        <w:rPr>
          <w:rFonts w:ascii="Verdana" w:hAnsi="Verdana" w:cs="Arial"/>
          <w:sz w:val="24"/>
          <w:szCs w:val="24"/>
        </w:rPr>
        <w:t>acciones que,</w:t>
      </w:r>
      <w:r w:rsidR="71DAF994" w:rsidRPr="00AB06F3">
        <w:rPr>
          <w:rFonts w:ascii="Verdana" w:hAnsi="Verdana" w:cs="Arial"/>
          <w:sz w:val="24"/>
          <w:szCs w:val="24"/>
        </w:rPr>
        <w:t xml:space="preserve"> </w:t>
      </w:r>
      <w:r w:rsidR="00F34B66">
        <w:rPr>
          <w:rFonts w:ascii="Verdana" w:hAnsi="Verdana" w:cs="Arial"/>
          <w:sz w:val="24"/>
          <w:szCs w:val="24"/>
        </w:rPr>
        <w:t xml:space="preserve">si bien no constituyen </w:t>
      </w:r>
      <w:r w:rsidR="71DAF994" w:rsidRPr="00AB06F3">
        <w:rPr>
          <w:rFonts w:ascii="Verdana" w:hAnsi="Verdana" w:cs="Arial"/>
          <w:sz w:val="24"/>
          <w:szCs w:val="24"/>
        </w:rPr>
        <w:t xml:space="preserve">obligaciones explícitas </w:t>
      </w:r>
      <w:r w:rsidR="00A22E27">
        <w:rPr>
          <w:rFonts w:ascii="Verdana" w:hAnsi="Verdana" w:cs="Arial"/>
          <w:sz w:val="24"/>
          <w:szCs w:val="24"/>
        </w:rPr>
        <w:t xml:space="preserve">derivadas </w:t>
      </w:r>
      <w:r w:rsidR="71DAF994" w:rsidRPr="00AB06F3">
        <w:rPr>
          <w:rFonts w:ascii="Verdana" w:hAnsi="Verdana" w:cs="Arial"/>
          <w:sz w:val="24"/>
          <w:szCs w:val="24"/>
        </w:rPr>
        <w:t xml:space="preserve">del Acuerdo de Paz ni </w:t>
      </w:r>
      <w:r w:rsidR="00285AFF">
        <w:rPr>
          <w:rFonts w:ascii="Verdana" w:hAnsi="Verdana" w:cs="Arial"/>
          <w:sz w:val="24"/>
          <w:szCs w:val="24"/>
        </w:rPr>
        <w:t>de su desarrollo normativo</w:t>
      </w:r>
      <w:r w:rsidR="71DAF994" w:rsidRPr="00AB06F3">
        <w:rPr>
          <w:rFonts w:ascii="Verdana" w:hAnsi="Verdana" w:cs="Arial"/>
          <w:sz w:val="24"/>
          <w:szCs w:val="24"/>
        </w:rPr>
        <w:t xml:space="preserve">, han </w:t>
      </w:r>
      <w:r w:rsidR="00A22E27">
        <w:rPr>
          <w:rFonts w:ascii="Verdana" w:hAnsi="Verdana" w:cs="Arial"/>
          <w:sz w:val="24"/>
          <w:szCs w:val="24"/>
        </w:rPr>
        <w:t xml:space="preserve">sido desarrolladas </w:t>
      </w:r>
      <w:r w:rsidR="71DAF994" w:rsidRPr="00AB06F3">
        <w:rPr>
          <w:rFonts w:ascii="Verdana" w:hAnsi="Verdana" w:cs="Arial"/>
          <w:sz w:val="24"/>
          <w:szCs w:val="24"/>
        </w:rPr>
        <w:t>en el marco de las competencias legales</w:t>
      </w:r>
      <w:r w:rsidR="002E67F4">
        <w:rPr>
          <w:rFonts w:ascii="Verdana" w:hAnsi="Verdana" w:cs="Arial"/>
          <w:sz w:val="24"/>
          <w:szCs w:val="24"/>
        </w:rPr>
        <w:t xml:space="preserve"> </w:t>
      </w:r>
      <w:r w:rsidR="00A22E27">
        <w:rPr>
          <w:rFonts w:ascii="Verdana" w:hAnsi="Verdana" w:cs="Arial"/>
          <w:sz w:val="24"/>
          <w:szCs w:val="24"/>
        </w:rPr>
        <w:t xml:space="preserve">de la </w:t>
      </w:r>
      <w:r w:rsidR="002E67F4">
        <w:rPr>
          <w:rFonts w:ascii="Verdana" w:hAnsi="Verdana" w:cs="Arial"/>
          <w:sz w:val="24"/>
          <w:szCs w:val="24"/>
        </w:rPr>
        <w:t>Entidad</w:t>
      </w:r>
      <w:r w:rsidR="45B719BB" w:rsidRPr="00AB06F3">
        <w:rPr>
          <w:rFonts w:ascii="Verdana" w:hAnsi="Verdana" w:cs="Arial"/>
          <w:sz w:val="24"/>
          <w:szCs w:val="24"/>
        </w:rPr>
        <w:t>,</w:t>
      </w:r>
      <w:r w:rsidR="71DAF994" w:rsidRPr="00AB06F3">
        <w:rPr>
          <w:rFonts w:ascii="Verdana" w:hAnsi="Verdana" w:cs="Arial"/>
          <w:sz w:val="24"/>
          <w:szCs w:val="24"/>
        </w:rPr>
        <w:t xml:space="preserve"> con el propósito de </w:t>
      </w:r>
      <w:r w:rsidR="00EA74A8">
        <w:rPr>
          <w:rFonts w:ascii="Verdana" w:hAnsi="Verdana" w:cs="Arial"/>
          <w:sz w:val="24"/>
          <w:szCs w:val="24"/>
        </w:rPr>
        <w:t xml:space="preserve">fortalecer los procesos de construcción de paz en el país. </w:t>
      </w:r>
    </w:p>
    <w:p w14:paraId="287AF6D0" w14:textId="77777777" w:rsidR="00EA74A8" w:rsidRDefault="00EA74A8" w:rsidP="00C25586">
      <w:pPr>
        <w:spacing w:after="0" w:line="276" w:lineRule="auto"/>
        <w:jc w:val="both"/>
        <w:rPr>
          <w:rFonts w:ascii="Verdana" w:hAnsi="Verdana" w:cs="Arial"/>
          <w:sz w:val="24"/>
          <w:szCs w:val="24"/>
        </w:rPr>
      </w:pPr>
    </w:p>
    <w:p w14:paraId="015FE3BF" w14:textId="5B557879" w:rsidR="0031696C" w:rsidRPr="00AB06F3" w:rsidRDefault="00E2033E" w:rsidP="00C25586">
      <w:pPr>
        <w:spacing w:after="0" w:line="276" w:lineRule="auto"/>
        <w:jc w:val="both"/>
        <w:rPr>
          <w:rFonts w:ascii="Verdana" w:hAnsi="Verdana" w:cs="Arial"/>
          <w:sz w:val="24"/>
          <w:szCs w:val="24"/>
        </w:rPr>
      </w:pPr>
      <w:r w:rsidRPr="00E2033E">
        <w:rPr>
          <w:rFonts w:ascii="Verdana" w:hAnsi="Verdana" w:cs="Arial"/>
          <w:sz w:val="24"/>
          <w:szCs w:val="24"/>
        </w:rPr>
        <w:t>Estas acciones incorporan los resultados asociados a los compromisos establecidos en los documentos</w:t>
      </w:r>
      <w:r w:rsidRPr="00E2033E">
        <w:rPr>
          <w:rFonts w:ascii="Verdana" w:hAnsi="Verdana" w:cs="Arial"/>
          <w:b/>
          <w:bCs/>
          <w:sz w:val="24"/>
          <w:szCs w:val="24"/>
        </w:rPr>
        <w:t xml:space="preserve"> </w:t>
      </w:r>
      <w:r w:rsidR="00094175" w:rsidRPr="00AB06F3">
        <w:rPr>
          <w:rFonts w:ascii="Verdana" w:hAnsi="Verdana" w:cs="Arial"/>
          <w:sz w:val="24"/>
          <w:szCs w:val="24"/>
        </w:rPr>
        <w:t xml:space="preserve">CONPES </w:t>
      </w:r>
      <w:r w:rsidR="6E6E3142" w:rsidRPr="00AB06F3">
        <w:rPr>
          <w:rFonts w:ascii="Verdana" w:hAnsi="Verdana" w:cs="Arial"/>
          <w:sz w:val="24"/>
          <w:szCs w:val="24"/>
        </w:rPr>
        <w:t>3931, 4040</w:t>
      </w:r>
      <w:r w:rsidR="002B1FA4">
        <w:rPr>
          <w:rFonts w:ascii="Verdana" w:hAnsi="Verdana" w:cs="Arial"/>
          <w:sz w:val="24"/>
          <w:szCs w:val="24"/>
        </w:rPr>
        <w:t>,</w:t>
      </w:r>
      <w:r w:rsidR="6E6E3142" w:rsidRPr="00AB06F3">
        <w:rPr>
          <w:rFonts w:ascii="Verdana" w:hAnsi="Verdana" w:cs="Arial"/>
          <w:sz w:val="24"/>
          <w:szCs w:val="24"/>
        </w:rPr>
        <w:t xml:space="preserve"> 4080</w:t>
      </w:r>
      <w:r w:rsidR="002B1FA4">
        <w:rPr>
          <w:rFonts w:ascii="Verdana" w:hAnsi="Verdana" w:cs="Arial"/>
          <w:sz w:val="24"/>
          <w:szCs w:val="24"/>
        </w:rPr>
        <w:t xml:space="preserve">, </w:t>
      </w:r>
      <w:r w:rsidR="00E42312">
        <w:rPr>
          <w:rFonts w:ascii="Verdana" w:hAnsi="Verdana" w:cs="Arial"/>
          <w:sz w:val="24"/>
          <w:szCs w:val="24"/>
        </w:rPr>
        <w:t>414</w:t>
      </w:r>
      <w:r w:rsidR="00306D9C">
        <w:rPr>
          <w:rFonts w:ascii="Verdana" w:hAnsi="Verdana" w:cs="Arial"/>
          <w:sz w:val="24"/>
          <w:szCs w:val="24"/>
        </w:rPr>
        <w:t>3</w:t>
      </w:r>
      <w:r w:rsidR="00E42312">
        <w:rPr>
          <w:rFonts w:ascii="Verdana" w:hAnsi="Verdana" w:cs="Arial"/>
          <w:sz w:val="24"/>
          <w:szCs w:val="24"/>
        </w:rPr>
        <w:t xml:space="preserve"> y </w:t>
      </w:r>
      <w:r w:rsidR="000B1951">
        <w:rPr>
          <w:rFonts w:ascii="Verdana" w:hAnsi="Verdana" w:cs="Arial"/>
          <w:sz w:val="24"/>
          <w:szCs w:val="24"/>
        </w:rPr>
        <w:t>414</w:t>
      </w:r>
      <w:r w:rsidR="00306D9C">
        <w:rPr>
          <w:rFonts w:ascii="Verdana" w:hAnsi="Verdana" w:cs="Arial"/>
          <w:sz w:val="24"/>
          <w:szCs w:val="24"/>
        </w:rPr>
        <w:t>7</w:t>
      </w:r>
      <w:r w:rsidR="6E6E3142" w:rsidRPr="00AB06F3">
        <w:rPr>
          <w:rFonts w:ascii="Verdana" w:hAnsi="Verdana" w:cs="Arial"/>
          <w:sz w:val="24"/>
          <w:szCs w:val="24"/>
        </w:rPr>
        <w:t xml:space="preserve">, así como </w:t>
      </w:r>
      <w:r>
        <w:rPr>
          <w:rFonts w:ascii="Verdana" w:hAnsi="Verdana" w:cs="Arial"/>
          <w:sz w:val="24"/>
          <w:szCs w:val="24"/>
        </w:rPr>
        <w:t xml:space="preserve">el seguimiento a </w:t>
      </w:r>
      <w:r w:rsidR="127A1F7E" w:rsidRPr="00AB06F3">
        <w:rPr>
          <w:rFonts w:ascii="Verdana" w:hAnsi="Verdana" w:cs="Arial"/>
          <w:sz w:val="24"/>
          <w:szCs w:val="24"/>
        </w:rPr>
        <w:t xml:space="preserve">los indicadores </w:t>
      </w:r>
      <w:r>
        <w:rPr>
          <w:rFonts w:ascii="Verdana" w:hAnsi="Verdana" w:cs="Arial"/>
          <w:sz w:val="24"/>
          <w:szCs w:val="24"/>
        </w:rPr>
        <w:t xml:space="preserve">definidos en </w:t>
      </w:r>
      <w:r w:rsidR="127A1F7E" w:rsidRPr="00AB06F3">
        <w:rPr>
          <w:rFonts w:ascii="Verdana" w:hAnsi="Verdana" w:cs="Arial"/>
          <w:sz w:val="24"/>
          <w:szCs w:val="24"/>
        </w:rPr>
        <w:t>el Plan Nacional de Desarrollo</w:t>
      </w:r>
      <w:r w:rsidR="6E6E3142" w:rsidRPr="00AB06F3">
        <w:rPr>
          <w:rFonts w:ascii="Verdana" w:hAnsi="Verdana" w:cs="Arial"/>
          <w:sz w:val="24"/>
          <w:szCs w:val="24"/>
        </w:rPr>
        <w:t>.</w:t>
      </w:r>
    </w:p>
    <w:p w14:paraId="034A5773" w14:textId="1123EF20" w:rsidR="0031696C" w:rsidRPr="00AB06F3" w:rsidRDefault="0031696C" w:rsidP="00C25586">
      <w:pPr>
        <w:spacing w:after="0" w:line="276" w:lineRule="auto"/>
        <w:jc w:val="both"/>
        <w:rPr>
          <w:rFonts w:ascii="Verdana" w:hAnsi="Verdana" w:cs="Arial"/>
          <w:sz w:val="24"/>
          <w:szCs w:val="24"/>
        </w:rPr>
      </w:pPr>
    </w:p>
    <w:p w14:paraId="3E9F32ED" w14:textId="76A5ADDE" w:rsidR="73939DD2" w:rsidRPr="00AB06F3" w:rsidRDefault="73939DD2" w:rsidP="00C25586">
      <w:pPr>
        <w:spacing w:after="0" w:line="276" w:lineRule="auto"/>
        <w:jc w:val="both"/>
        <w:rPr>
          <w:rFonts w:ascii="Verdana" w:hAnsi="Verdana" w:cs="Arial"/>
          <w:sz w:val="24"/>
          <w:szCs w:val="24"/>
        </w:rPr>
      </w:pPr>
    </w:p>
    <w:p w14:paraId="54661FF5" w14:textId="41C0A9BE" w:rsidR="5E8CDD2A" w:rsidRPr="00AB06F3" w:rsidRDefault="5E8CDD2A" w:rsidP="00C25586">
      <w:pPr>
        <w:spacing w:after="0" w:line="276" w:lineRule="auto"/>
        <w:jc w:val="both"/>
        <w:rPr>
          <w:rFonts w:ascii="Verdana" w:hAnsi="Verdana" w:cs="Arial"/>
          <w:sz w:val="24"/>
          <w:szCs w:val="24"/>
          <w:highlight w:val="darkGray"/>
        </w:rPr>
      </w:pPr>
    </w:p>
    <w:p w14:paraId="2A995BC5" w14:textId="77777777" w:rsidR="006C6CD9" w:rsidRPr="00AB06F3" w:rsidRDefault="006C6CD9" w:rsidP="00C25586">
      <w:pPr>
        <w:spacing w:after="0" w:line="276" w:lineRule="auto"/>
        <w:jc w:val="both"/>
        <w:rPr>
          <w:rFonts w:ascii="Verdana" w:hAnsi="Verdana" w:cs="Arial"/>
        </w:rPr>
      </w:pPr>
    </w:p>
    <w:p w14:paraId="446ECF4B" w14:textId="6A133747" w:rsidR="0031696C" w:rsidRPr="00AB06F3" w:rsidRDefault="0031696C" w:rsidP="00C25586">
      <w:pPr>
        <w:spacing w:after="0" w:line="276" w:lineRule="auto"/>
        <w:jc w:val="both"/>
        <w:rPr>
          <w:rFonts w:ascii="Verdana" w:hAnsi="Verdana" w:cs="Arial"/>
        </w:rPr>
      </w:pPr>
    </w:p>
    <w:p w14:paraId="7E3C801F" w14:textId="114FBD5A" w:rsidR="005322F3" w:rsidRPr="00AB06F3" w:rsidRDefault="005322F3" w:rsidP="00C25586">
      <w:pPr>
        <w:spacing w:after="0" w:line="276" w:lineRule="auto"/>
        <w:jc w:val="both"/>
        <w:rPr>
          <w:rFonts w:ascii="Verdana" w:hAnsi="Verdana" w:cs="Arial"/>
        </w:rPr>
      </w:pPr>
      <w:r w:rsidRPr="00AB06F3">
        <w:rPr>
          <w:rFonts w:ascii="Verdana" w:hAnsi="Verdana" w:cs="Arial"/>
        </w:rPr>
        <w:br w:type="page"/>
      </w:r>
    </w:p>
    <w:p w14:paraId="62B15941" w14:textId="37CD01C6" w:rsidR="00D53637" w:rsidRPr="00AB06F3" w:rsidRDefault="38BAE06E" w:rsidP="00C25586">
      <w:pPr>
        <w:pStyle w:val="Ttulo2"/>
        <w:spacing w:after="0" w:line="276" w:lineRule="auto"/>
        <w:jc w:val="both"/>
        <w:rPr>
          <w:rFonts w:ascii="Verdana" w:hAnsi="Verdana" w:cs="Arial"/>
          <w:color w:val="806000" w:themeColor="accent4" w:themeShade="80"/>
          <w:sz w:val="36"/>
          <w:szCs w:val="36"/>
        </w:rPr>
      </w:pPr>
      <w:bookmarkStart w:id="0" w:name="_Toc225283093"/>
      <w:r w:rsidRPr="00AB06F3">
        <w:rPr>
          <w:rFonts w:ascii="Verdana" w:hAnsi="Verdana" w:cs="Arial"/>
          <w:color w:val="806000" w:themeColor="accent4" w:themeShade="80"/>
          <w:sz w:val="36"/>
          <w:szCs w:val="36"/>
        </w:rPr>
        <w:lastRenderedPageBreak/>
        <w:t>1. ¿Qué hicimos en el 202</w:t>
      </w:r>
      <w:r w:rsidR="00451D72">
        <w:rPr>
          <w:rFonts w:ascii="Verdana" w:hAnsi="Verdana" w:cs="Arial"/>
          <w:color w:val="806000" w:themeColor="accent4" w:themeShade="80"/>
          <w:sz w:val="36"/>
          <w:szCs w:val="36"/>
        </w:rPr>
        <w:t>5</w:t>
      </w:r>
      <w:r w:rsidRPr="00AB06F3">
        <w:rPr>
          <w:rFonts w:ascii="Verdana" w:hAnsi="Verdana" w:cs="Arial"/>
          <w:color w:val="806000" w:themeColor="accent4" w:themeShade="80"/>
          <w:sz w:val="36"/>
          <w:szCs w:val="36"/>
        </w:rPr>
        <w:t>?</w:t>
      </w:r>
      <w:bookmarkEnd w:id="0"/>
    </w:p>
    <w:p w14:paraId="5B086013" w14:textId="60ED8043" w:rsidR="00D53637" w:rsidRPr="00AB06F3" w:rsidRDefault="38BAE06E" w:rsidP="00031DF5">
      <w:pPr>
        <w:pStyle w:val="Ttulo2"/>
        <w:numPr>
          <w:ilvl w:val="1"/>
          <w:numId w:val="2"/>
        </w:numPr>
        <w:spacing w:after="0" w:line="276" w:lineRule="auto"/>
        <w:jc w:val="both"/>
        <w:rPr>
          <w:rFonts w:ascii="Verdana" w:hAnsi="Verdana" w:cs="Arial"/>
          <w:color w:val="806000" w:themeColor="accent4" w:themeShade="80"/>
          <w:sz w:val="36"/>
          <w:szCs w:val="36"/>
        </w:rPr>
      </w:pPr>
      <w:bookmarkStart w:id="1" w:name="_Toc225283094"/>
      <w:r w:rsidRPr="00AB06F3">
        <w:rPr>
          <w:rFonts w:ascii="Verdana" w:hAnsi="Verdana" w:cs="Arial"/>
          <w:color w:val="806000" w:themeColor="accent4" w:themeShade="80"/>
          <w:sz w:val="36"/>
          <w:szCs w:val="36"/>
        </w:rPr>
        <w:t>Avances en los compromisos del Plan Marco de Implementación</w:t>
      </w:r>
      <w:bookmarkEnd w:id="1"/>
    </w:p>
    <w:p w14:paraId="5D49E111" w14:textId="77777777" w:rsidR="0031696C" w:rsidRPr="00AB06F3" w:rsidRDefault="0031696C" w:rsidP="00C25586">
      <w:pPr>
        <w:spacing w:after="0" w:line="276" w:lineRule="auto"/>
        <w:jc w:val="both"/>
        <w:rPr>
          <w:rFonts w:ascii="Verdana" w:hAnsi="Verdana" w:cs="Arial"/>
          <w:sz w:val="24"/>
          <w:szCs w:val="24"/>
        </w:rPr>
      </w:pPr>
    </w:p>
    <w:p w14:paraId="4BFD4AC2" w14:textId="0F6DBC6D" w:rsidR="00890462" w:rsidRPr="00AB06F3" w:rsidRDefault="6BAA74B9" w:rsidP="00C25586">
      <w:pPr>
        <w:spacing w:after="0" w:line="276" w:lineRule="auto"/>
        <w:jc w:val="both"/>
        <w:rPr>
          <w:rFonts w:ascii="Verdana" w:hAnsi="Verdana" w:cs="Arial"/>
          <w:sz w:val="24"/>
          <w:szCs w:val="24"/>
        </w:rPr>
      </w:pPr>
      <w:r w:rsidRPr="00AB06F3">
        <w:rPr>
          <w:rFonts w:ascii="Verdana" w:hAnsi="Verdana" w:cs="Arial"/>
          <w:sz w:val="24"/>
          <w:szCs w:val="24"/>
        </w:rPr>
        <w:t>Tras la firma del Acuerdo Final</w:t>
      </w:r>
      <w:r w:rsidR="001D1BA7">
        <w:rPr>
          <w:rFonts w:ascii="Verdana" w:hAnsi="Verdana" w:cs="Arial"/>
          <w:sz w:val="24"/>
          <w:szCs w:val="24"/>
        </w:rPr>
        <w:t xml:space="preserve"> </w:t>
      </w:r>
      <w:r w:rsidR="001D1BA7" w:rsidRPr="001D1BA7">
        <w:rPr>
          <w:rFonts w:ascii="Verdana" w:hAnsi="Verdana" w:cs="Arial"/>
          <w:sz w:val="24"/>
          <w:szCs w:val="24"/>
        </w:rPr>
        <w:t>para la Terminación del Conflicto y la Construcción de una Paz Estable y Duradera</w:t>
      </w:r>
      <w:r w:rsidRPr="00AB06F3">
        <w:rPr>
          <w:rFonts w:ascii="Verdana" w:hAnsi="Verdana" w:cs="Arial"/>
          <w:sz w:val="24"/>
          <w:szCs w:val="24"/>
        </w:rPr>
        <w:t xml:space="preserve">, y con el </w:t>
      </w:r>
      <w:r w:rsidR="001D1BA7">
        <w:rPr>
          <w:rFonts w:ascii="Verdana" w:hAnsi="Verdana" w:cs="Arial"/>
          <w:sz w:val="24"/>
          <w:szCs w:val="24"/>
        </w:rPr>
        <w:t xml:space="preserve">propósito </w:t>
      </w:r>
      <w:r w:rsidRPr="00AB06F3">
        <w:rPr>
          <w:rFonts w:ascii="Verdana" w:hAnsi="Verdana" w:cs="Arial"/>
          <w:sz w:val="24"/>
          <w:szCs w:val="24"/>
        </w:rPr>
        <w:t xml:space="preserve">de garantizar </w:t>
      </w:r>
      <w:r w:rsidR="001D1BA7">
        <w:rPr>
          <w:rFonts w:ascii="Verdana" w:hAnsi="Verdana" w:cs="Arial"/>
          <w:sz w:val="24"/>
          <w:szCs w:val="24"/>
        </w:rPr>
        <w:t xml:space="preserve">el cumplimiento </w:t>
      </w:r>
      <w:r w:rsidR="003639C8">
        <w:rPr>
          <w:rFonts w:ascii="Verdana" w:hAnsi="Verdana" w:cs="Arial"/>
          <w:sz w:val="24"/>
          <w:szCs w:val="24"/>
        </w:rPr>
        <w:t xml:space="preserve">de los compromisos allí establecidos, </w:t>
      </w:r>
      <w:r w:rsidRPr="00AB06F3">
        <w:rPr>
          <w:rFonts w:ascii="Verdana" w:hAnsi="Verdana" w:cs="Arial"/>
          <w:sz w:val="24"/>
          <w:szCs w:val="24"/>
        </w:rPr>
        <w:t xml:space="preserve">se diseñó el Plan Marco de Implementación </w:t>
      </w:r>
      <w:r w:rsidR="00621B40" w:rsidRPr="00AB06F3">
        <w:rPr>
          <w:rFonts w:ascii="Verdana" w:hAnsi="Verdana" w:cs="Arial"/>
          <w:sz w:val="24"/>
          <w:szCs w:val="24"/>
        </w:rPr>
        <w:t>(PMI)</w:t>
      </w:r>
      <w:r w:rsidR="00EC793C">
        <w:rPr>
          <w:rFonts w:ascii="Verdana" w:hAnsi="Verdana" w:cs="Arial"/>
          <w:sz w:val="24"/>
          <w:szCs w:val="24"/>
        </w:rPr>
        <w:t>. Este i</w:t>
      </w:r>
      <w:r w:rsidR="000B1756">
        <w:rPr>
          <w:rFonts w:ascii="Verdana" w:hAnsi="Verdana" w:cs="Arial"/>
          <w:sz w:val="24"/>
          <w:szCs w:val="24"/>
        </w:rPr>
        <w:t>n</w:t>
      </w:r>
      <w:r w:rsidR="00EC793C">
        <w:rPr>
          <w:rFonts w:ascii="Verdana" w:hAnsi="Verdana" w:cs="Arial"/>
          <w:sz w:val="24"/>
          <w:szCs w:val="24"/>
        </w:rPr>
        <w:t xml:space="preserve">strumento </w:t>
      </w:r>
      <w:r w:rsidRPr="00AB06F3">
        <w:rPr>
          <w:rFonts w:ascii="Verdana" w:hAnsi="Verdana" w:cs="Arial"/>
          <w:sz w:val="24"/>
          <w:szCs w:val="24"/>
        </w:rPr>
        <w:t xml:space="preserve">integra el conjunto de compromisos, objetivos, metas, prioridades e indicadores </w:t>
      </w:r>
      <w:r w:rsidR="000B1756">
        <w:rPr>
          <w:rFonts w:ascii="Verdana" w:hAnsi="Verdana" w:cs="Arial"/>
          <w:sz w:val="24"/>
          <w:szCs w:val="24"/>
        </w:rPr>
        <w:t xml:space="preserve">definidos </w:t>
      </w:r>
      <w:r w:rsidRPr="00AB06F3">
        <w:rPr>
          <w:rFonts w:ascii="Verdana" w:hAnsi="Verdana" w:cs="Arial"/>
          <w:sz w:val="24"/>
          <w:szCs w:val="24"/>
        </w:rPr>
        <w:t xml:space="preserve">para </w:t>
      </w:r>
      <w:r w:rsidR="000B1756">
        <w:rPr>
          <w:rFonts w:ascii="Verdana" w:hAnsi="Verdana" w:cs="Arial"/>
          <w:sz w:val="24"/>
          <w:szCs w:val="24"/>
        </w:rPr>
        <w:t xml:space="preserve">orientar la implementación del </w:t>
      </w:r>
      <w:r w:rsidRPr="00AB06F3">
        <w:rPr>
          <w:rFonts w:ascii="Verdana" w:hAnsi="Verdana" w:cs="Arial"/>
          <w:sz w:val="24"/>
          <w:szCs w:val="24"/>
        </w:rPr>
        <w:t>Acuerdo de Paz</w:t>
      </w:r>
      <w:r w:rsidR="00154C15">
        <w:rPr>
          <w:rFonts w:ascii="Verdana" w:hAnsi="Verdana" w:cs="Arial"/>
          <w:sz w:val="24"/>
          <w:szCs w:val="24"/>
        </w:rPr>
        <w:t xml:space="preserve">, </w:t>
      </w:r>
      <w:r w:rsidRPr="00AB06F3">
        <w:rPr>
          <w:rFonts w:ascii="Verdana" w:hAnsi="Verdana" w:cs="Arial"/>
          <w:sz w:val="24"/>
          <w:szCs w:val="24"/>
        </w:rPr>
        <w:t xml:space="preserve">cuya articulación se </w:t>
      </w:r>
      <w:r w:rsidR="00154C15">
        <w:rPr>
          <w:rFonts w:ascii="Verdana" w:hAnsi="Verdana" w:cs="Arial"/>
          <w:sz w:val="24"/>
          <w:szCs w:val="24"/>
        </w:rPr>
        <w:t xml:space="preserve">realiza </w:t>
      </w:r>
      <w:r w:rsidRPr="00AB06F3">
        <w:rPr>
          <w:rFonts w:ascii="Verdana" w:hAnsi="Verdana" w:cs="Arial"/>
          <w:sz w:val="24"/>
          <w:szCs w:val="24"/>
        </w:rPr>
        <w:t xml:space="preserve">en el marco del documento CONPES 3932 de 2018. </w:t>
      </w:r>
    </w:p>
    <w:p w14:paraId="0A2C99B1" w14:textId="77777777" w:rsidR="00890462" w:rsidRPr="00AB06F3" w:rsidRDefault="00890462" w:rsidP="00C25586">
      <w:pPr>
        <w:spacing w:after="0" w:line="276" w:lineRule="auto"/>
        <w:jc w:val="both"/>
        <w:rPr>
          <w:rFonts w:ascii="Verdana" w:hAnsi="Verdana" w:cs="Arial"/>
          <w:sz w:val="24"/>
          <w:szCs w:val="24"/>
        </w:rPr>
      </w:pPr>
    </w:p>
    <w:p w14:paraId="76D304F7" w14:textId="2E297545" w:rsidR="538F776D" w:rsidRPr="00AB06F3" w:rsidRDefault="538F776D" w:rsidP="00C25586">
      <w:pPr>
        <w:spacing w:after="0" w:line="276" w:lineRule="auto"/>
        <w:jc w:val="both"/>
        <w:rPr>
          <w:rFonts w:ascii="Verdana" w:hAnsi="Verdana" w:cs="Arial"/>
          <w:sz w:val="24"/>
          <w:szCs w:val="24"/>
        </w:rPr>
      </w:pPr>
      <w:r w:rsidRPr="00AB06F3">
        <w:rPr>
          <w:rFonts w:ascii="Verdana" w:hAnsi="Verdana" w:cs="Arial"/>
          <w:sz w:val="24"/>
          <w:szCs w:val="24"/>
        </w:rPr>
        <w:t xml:space="preserve">En esta sección, </w:t>
      </w:r>
      <w:r w:rsidR="00154C15">
        <w:rPr>
          <w:rFonts w:ascii="Verdana" w:hAnsi="Verdana" w:cs="Arial"/>
          <w:sz w:val="24"/>
          <w:szCs w:val="24"/>
        </w:rPr>
        <w:t xml:space="preserve">se presenta </w:t>
      </w:r>
      <w:r w:rsidRPr="00AB06F3">
        <w:rPr>
          <w:rFonts w:ascii="Verdana" w:hAnsi="Verdana" w:cs="Arial"/>
          <w:sz w:val="24"/>
          <w:szCs w:val="24"/>
        </w:rPr>
        <w:t xml:space="preserve">la información </w:t>
      </w:r>
      <w:r w:rsidR="001220C9">
        <w:rPr>
          <w:rFonts w:ascii="Verdana" w:hAnsi="Verdana" w:cs="Arial"/>
          <w:sz w:val="24"/>
          <w:szCs w:val="24"/>
        </w:rPr>
        <w:t xml:space="preserve">relacionada con </w:t>
      </w:r>
      <w:r w:rsidRPr="00AB06F3">
        <w:rPr>
          <w:rFonts w:ascii="Verdana" w:hAnsi="Verdana" w:cs="Arial"/>
          <w:sz w:val="24"/>
          <w:szCs w:val="24"/>
        </w:rPr>
        <w:t xml:space="preserve">las acciones que viene desarrollando </w:t>
      </w:r>
      <w:r w:rsidR="003D06A0" w:rsidRPr="00AB06F3">
        <w:rPr>
          <w:rFonts w:ascii="Verdana" w:hAnsi="Verdana" w:cs="Arial"/>
          <w:sz w:val="24"/>
          <w:szCs w:val="24"/>
        </w:rPr>
        <w:t xml:space="preserve">la </w:t>
      </w:r>
      <w:r w:rsidR="00FF5173">
        <w:rPr>
          <w:rFonts w:ascii="Verdana" w:hAnsi="Verdana" w:cs="Arial"/>
          <w:sz w:val="24"/>
          <w:szCs w:val="24"/>
        </w:rPr>
        <w:t xml:space="preserve">Agencia para la Reincorporación y la Normalización </w:t>
      </w:r>
      <w:r w:rsidRPr="00AB06F3">
        <w:rPr>
          <w:rFonts w:ascii="Verdana" w:hAnsi="Verdana" w:cs="Arial"/>
          <w:sz w:val="24"/>
          <w:szCs w:val="24"/>
        </w:rPr>
        <w:t xml:space="preserve">para </w:t>
      </w:r>
      <w:r w:rsidR="00BF5F86">
        <w:rPr>
          <w:rFonts w:ascii="Verdana" w:hAnsi="Verdana" w:cs="Arial"/>
          <w:sz w:val="24"/>
          <w:szCs w:val="24"/>
        </w:rPr>
        <w:t xml:space="preserve">el </w:t>
      </w:r>
      <w:r w:rsidRPr="00AB06F3">
        <w:rPr>
          <w:rFonts w:ascii="Verdana" w:hAnsi="Verdana" w:cs="Arial"/>
          <w:sz w:val="24"/>
          <w:szCs w:val="24"/>
        </w:rPr>
        <w:t xml:space="preserve">cumplimiento </w:t>
      </w:r>
      <w:r w:rsidR="00BF5F86">
        <w:rPr>
          <w:rFonts w:ascii="Verdana" w:hAnsi="Verdana" w:cs="Arial"/>
          <w:sz w:val="24"/>
          <w:szCs w:val="24"/>
        </w:rPr>
        <w:t>de los com</w:t>
      </w:r>
      <w:r w:rsidR="00D0319E">
        <w:rPr>
          <w:rFonts w:ascii="Verdana" w:hAnsi="Verdana" w:cs="Arial"/>
          <w:sz w:val="24"/>
          <w:szCs w:val="24"/>
        </w:rPr>
        <w:t>pro</w:t>
      </w:r>
      <w:r w:rsidR="00BF5F86">
        <w:rPr>
          <w:rFonts w:ascii="Verdana" w:hAnsi="Verdana" w:cs="Arial"/>
          <w:sz w:val="24"/>
          <w:szCs w:val="24"/>
        </w:rPr>
        <w:t xml:space="preserve">misos </w:t>
      </w:r>
      <w:r w:rsidRPr="00AB06F3">
        <w:rPr>
          <w:rFonts w:ascii="Verdana" w:hAnsi="Verdana" w:cs="Arial"/>
          <w:sz w:val="24"/>
          <w:szCs w:val="24"/>
        </w:rPr>
        <w:t xml:space="preserve">al Plan Marco de Implementación, organizadas </w:t>
      </w:r>
      <w:r w:rsidR="00D0319E">
        <w:rPr>
          <w:rFonts w:ascii="Verdana" w:hAnsi="Verdana" w:cs="Arial"/>
          <w:sz w:val="24"/>
          <w:szCs w:val="24"/>
        </w:rPr>
        <w:t xml:space="preserve">de acuerdo con los puntos </w:t>
      </w:r>
      <w:r w:rsidRPr="00AB06F3">
        <w:rPr>
          <w:rFonts w:ascii="Verdana" w:hAnsi="Verdana" w:cs="Arial"/>
          <w:sz w:val="24"/>
          <w:szCs w:val="24"/>
        </w:rPr>
        <w:t xml:space="preserve">del </w:t>
      </w:r>
      <w:r w:rsidR="00204D89" w:rsidRPr="00AB06F3">
        <w:rPr>
          <w:rFonts w:ascii="Verdana" w:hAnsi="Verdana" w:cs="Arial"/>
          <w:sz w:val="24"/>
          <w:szCs w:val="24"/>
        </w:rPr>
        <w:t xml:space="preserve">Acuerdo de Paz </w:t>
      </w:r>
      <w:r w:rsidR="00D0319E">
        <w:rPr>
          <w:rFonts w:ascii="Verdana" w:hAnsi="Verdana" w:cs="Arial"/>
          <w:sz w:val="24"/>
          <w:szCs w:val="24"/>
        </w:rPr>
        <w:t>los cuales la Entidad aporta</w:t>
      </w:r>
      <w:r w:rsidR="00204D89" w:rsidRPr="00AB06F3">
        <w:rPr>
          <w:rFonts w:ascii="Verdana" w:hAnsi="Verdana" w:cs="Arial"/>
          <w:sz w:val="24"/>
          <w:szCs w:val="24"/>
        </w:rPr>
        <w:t>.</w:t>
      </w:r>
    </w:p>
    <w:p w14:paraId="15A0C63E" w14:textId="77777777" w:rsidR="004D0A69" w:rsidRPr="00AB06F3" w:rsidRDefault="004D0A69" w:rsidP="00C25586">
      <w:pPr>
        <w:spacing w:after="0" w:line="276" w:lineRule="auto"/>
        <w:jc w:val="both"/>
        <w:rPr>
          <w:rFonts w:ascii="Verdana" w:hAnsi="Verdana" w:cs="Arial"/>
          <w:sz w:val="24"/>
          <w:szCs w:val="24"/>
        </w:rPr>
      </w:pPr>
    </w:p>
    <w:p w14:paraId="1B338769" w14:textId="7F59EB30" w:rsidR="004D0A69" w:rsidRPr="00AB06F3" w:rsidRDefault="004D0A69" w:rsidP="00C25586">
      <w:pPr>
        <w:spacing w:after="0" w:line="276" w:lineRule="auto"/>
        <w:jc w:val="both"/>
        <w:rPr>
          <w:rFonts w:ascii="Verdana" w:hAnsi="Verdana"/>
          <w:sz w:val="24"/>
          <w:szCs w:val="24"/>
        </w:rPr>
      </w:pPr>
      <w:r w:rsidRPr="00AB06F3">
        <w:rPr>
          <w:rFonts w:ascii="Verdana" w:hAnsi="Verdana"/>
          <w:sz w:val="24"/>
          <w:szCs w:val="24"/>
        </w:rPr>
        <w:t>E</w:t>
      </w:r>
      <w:r w:rsidR="00D163FF">
        <w:rPr>
          <w:rFonts w:ascii="Verdana" w:hAnsi="Verdana"/>
          <w:sz w:val="24"/>
          <w:szCs w:val="24"/>
        </w:rPr>
        <w:t xml:space="preserve">l presente </w:t>
      </w:r>
      <w:r w:rsidRPr="00AB06F3">
        <w:rPr>
          <w:rFonts w:ascii="Verdana" w:hAnsi="Verdana"/>
          <w:sz w:val="24"/>
          <w:szCs w:val="24"/>
        </w:rPr>
        <w:t xml:space="preserve">Informe de Rendición de Cuentas </w:t>
      </w:r>
      <w:r w:rsidR="00D163FF">
        <w:rPr>
          <w:rFonts w:ascii="Verdana" w:hAnsi="Verdana"/>
          <w:sz w:val="24"/>
          <w:szCs w:val="24"/>
        </w:rPr>
        <w:t xml:space="preserve">reporta </w:t>
      </w:r>
      <w:r w:rsidRPr="00AB06F3">
        <w:rPr>
          <w:rFonts w:ascii="Verdana" w:hAnsi="Verdana"/>
          <w:sz w:val="24"/>
          <w:szCs w:val="24"/>
        </w:rPr>
        <w:t xml:space="preserve">los avances </w:t>
      </w:r>
      <w:r w:rsidR="00D163FF">
        <w:rPr>
          <w:rFonts w:ascii="Verdana" w:hAnsi="Verdana"/>
          <w:sz w:val="24"/>
          <w:szCs w:val="24"/>
        </w:rPr>
        <w:t xml:space="preserve">en </w:t>
      </w:r>
      <w:r w:rsidRPr="00AB06F3">
        <w:rPr>
          <w:rFonts w:ascii="Verdana" w:hAnsi="Verdana"/>
          <w:sz w:val="24"/>
          <w:szCs w:val="24"/>
        </w:rPr>
        <w:t xml:space="preserve">la implementación del Acuerdo de Paz </w:t>
      </w:r>
      <w:r w:rsidR="00D163FF">
        <w:rPr>
          <w:rFonts w:ascii="Verdana" w:hAnsi="Verdana"/>
          <w:sz w:val="24"/>
          <w:szCs w:val="24"/>
        </w:rPr>
        <w:t xml:space="preserve">alcanzados </w:t>
      </w:r>
      <w:r w:rsidRPr="00AB06F3">
        <w:rPr>
          <w:rFonts w:ascii="Verdana" w:hAnsi="Verdana"/>
          <w:sz w:val="24"/>
          <w:szCs w:val="24"/>
        </w:rPr>
        <w:t xml:space="preserve">entre el 1 de enero </w:t>
      </w:r>
      <w:r w:rsidR="00D163FF">
        <w:rPr>
          <w:rFonts w:ascii="Verdana" w:hAnsi="Verdana"/>
          <w:sz w:val="24"/>
          <w:szCs w:val="24"/>
        </w:rPr>
        <w:t xml:space="preserve">y el </w:t>
      </w:r>
      <w:r w:rsidRPr="00AB06F3">
        <w:rPr>
          <w:rFonts w:ascii="Verdana" w:hAnsi="Verdana"/>
          <w:sz w:val="24"/>
          <w:szCs w:val="24"/>
        </w:rPr>
        <w:t>31 de diciembre de 202</w:t>
      </w:r>
      <w:r w:rsidR="004E3423">
        <w:rPr>
          <w:rFonts w:ascii="Verdana" w:hAnsi="Verdana"/>
          <w:sz w:val="24"/>
          <w:szCs w:val="24"/>
        </w:rPr>
        <w:t>5</w:t>
      </w:r>
      <w:r w:rsidRPr="00AB06F3">
        <w:rPr>
          <w:rFonts w:ascii="Verdana" w:hAnsi="Verdana"/>
          <w:sz w:val="24"/>
          <w:szCs w:val="24"/>
        </w:rPr>
        <w:t xml:space="preserve">, </w:t>
      </w:r>
      <w:r w:rsidR="003607A8">
        <w:rPr>
          <w:rFonts w:ascii="Verdana" w:hAnsi="Verdana"/>
          <w:sz w:val="24"/>
          <w:szCs w:val="24"/>
        </w:rPr>
        <w:t xml:space="preserve">particularmente en relación con </w:t>
      </w:r>
      <w:r w:rsidRPr="00AB06F3">
        <w:rPr>
          <w:rFonts w:ascii="Verdana" w:hAnsi="Verdana"/>
          <w:sz w:val="24"/>
          <w:szCs w:val="24"/>
        </w:rPr>
        <w:t>los siguientes puntos:</w:t>
      </w:r>
    </w:p>
    <w:p w14:paraId="22DE81BE" w14:textId="77777777" w:rsidR="004D0A69" w:rsidRPr="00AB06F3" w:rsidRDefault="004D0A69" w:rsidP="00C25586">
      <w:pPr>
        <w:spacing w:after="0" w:line="276" w:lineRule="auto"/>
        <w:jc w:val="both"/>
        <w:rPr>
          <w:rFonts w:ascii="Verdana" w:hAnsi="Verdana"/>
          <w:sz w:val="24"/>
          <w:szCs w:val="24"/>
        </w:rPr>
      </w:pPr>
    </w:p>
    <w:p w14:paraId="4D240B26" w14:textId="77777777" w:rsidR="004D0A69" w:rsidRPr="00AB06F3" w:rsidRDefault="004D0A69" w:rsidP="00C25586">
      <w:pPr>
        <w:spacing w:after="0" w:line="276" w:lineRule="auto"/>
        <w:jc w:val="both"/>
        <w:rPr>
          <w:rFonts w:ascii="Verdana" w:hAnsi="Verdana"/>
          <w:sz w:val="24"/>
          <w:szCs w:val="24"/>
        </w:rPr>
      </w:pPr>
      <w:r w:rsidRPr="00AB06F3">
        <w:rPr>
          <w:rFonts w:ascii="Verdana" w:hAnsi="Verdana"/>
          <w:sz w:val="24"/>
          <w:szCs w:val="24"/>
        </w:rPr>
        <w:t>Punto 3. Fin del conflicto</w:t>
      </w:r>
    </w:p>
    <w:p w14:paraId="7ACC8253" w14:textId="77777777" w:rsidR="004D0A69" w:rsidRPr="00AB06F3" w:rsidRDefault="004D0A69" w:rsidP="00C25586">
      <w:pPr>
        <w:spacing w:after="0" w:line="276" w:lineRule="auto"/>
        <w:jc w:val="both"/>
        <w:rPr>
          <w:rFonts w:ascii="Verdana" w:hAnsi="Verdana"/>
          <w:sz w:val="24"/>
          <w:szCs w:val="24"/>
        </w:rPr>
      </w:pPr>
      <w:r w:rsidRPr="00AB06F3">
        <w:rPr>
          <w:rFonts w:ascii="Verdana" w:hAnsi="Verdana"/>
          <w:sz w:val="24"/>
          <w:szCs w:val="24"/>
        </w:rPr>
        <w:t>Punto 6. Implementación, verificación y refrendación</w:t>
      </w:r>
    </w:p>
    <w:p w14:paraId="12B09BF9" w14:textId="77777777" w:rsidR="004D0A69" w:rsidRPr="00AB06F3" w:rsidRDefault="004D0A69" w:rsidP="00C25586">
      <w:pPr>
        <w:spacing w:after="0" w:line="276" w:lineRule="auto"/>
        <w:jc w:val="both"/>
        <w:rPr>
          <w:rFonts w:ascii="Verdana" w:hAnsi="Verdana"/>
          <w:sz w:val="24"/>
          <w:szCs w:val="24"/>
        </w:rPr>
      </w:pPr>
    </w:p>
    <w:p w14:paraId="1C5C4FA3" w14:textId="29CFAC74" w:rsidR="004D0A69" w:rsidRDefault="003607A8" w:rsidP="00C25586">
      <w:pPr>
        <w:spacing w:after="0" w:line="276" w:lineRule="auto"/>
        <w:jc w:val="both"/>
        <w:rPr>
          <w:rFonts w:ascii="Verdana" w:hAnsi="Verdana"/>
          <w:sz w:val="24"/>
          <w:szCs w:val="24"/>
        </w:rPr>
      </w:pPr>
      <w:r>
        <w:rPr>
          <w:rFonts w:ascii="Verdana" w:hAnsi="Verdana"/>
          <w:sz w:val="24"/>
          <w:szCs w:val="24"/>
        </w:rPr>
        <w:t>Asimismo</w:t>
      </w:r>
      <w:r w:rsidR="004D0A69" w:rsidRPr="00AB06F3">
        <w:rPr>
          <w:rFonts w:ascii="Verdana" w:hAnsi="Verdana"/>
          <w:sz w:val="24"/>
          <w:szCs w:val="24"/>
        </w:rPr>
        <w:t xml:space="preserve">, se </w:t>
      </w:r>
      <w:r>
        <w:rPr>
          <w:rFonts w:ascii="Verdana" w:hAnsi="Verdana"/>
          <w:sz w:val="24"/>
          <w:szCs w:val="24"/>
        </w:rPr>
        <w:t xml:space="preserve">incluye </w:t>
      </w:r>
      <w:r w:rsidR="004D0A69" w:rsidRPr="00AB06F3">
        <w:rPr>
          <w:rFonts w:ascii="Verdana" w:hAnsi="Verdana"/>
          <w:sz w:val="24"/>
          <w:szCs w:val="24"/>
        </w:rPr>
        <w:t xml:space="preserve">información </w:t>
      </w:r>
      <w:r w:rsidR="00A3609D">
        <w:rPr>
          <w:rFonts w:ascii="Verdana" w:hAnsi="Verdana"/>
          <w:sz w:val="24"/>
          <w:szCs w:val="24"/>
        </w:rPr>
        <w:t xml:space="preserve">sobre </w:t>
      </w:r>
      <w:r w:rsidR="004D0A69" w:rsidRPr="00AB06F3">
        <w:rPr>
          <w:rFonts w:ascii="Verdana" w:hAnsi="Verdana"/>
          <w:sz w:val="24"/>
          <w:szCs w:val="24"/>
        </w:rPr>
        <w:t xml:space="preserve">avances en acciones que, aunque no </w:t>
      </w:r>
      <w:r w:rsidR="00A3609D">
        <w:rPr>
          <w:rFonts w:ascii="Verdana" w:hAnsi="Verdana"/>
          <w:sz w:val="24"/>
          <w:szCs w:val="24"/>
        </w:rPr>
        <w:t xml:space="preserve">constituyen </w:t>
      </w:r>
      <w:r w:rsidR="004D0A69" w:rsidRPr="00AB06F3">
        <w:rPr>
          <w:rFonts w:ascii="Verdana" w:hAnsi="Verdana"/>
          <w:sz w:val="24"/>
          <w:szCs w:val="24"/>
        </w:rPr>
        <w:t xml:space="preserve">obligaciones explícitas </w:t>
      </w:r>
      <w:r w:rsidR="00A3609D">
        <w:rPr>
          <w:rFonts w:ascii="Verdana" w:hAnsi="Verdana"/>
          <w:sz w:val="24"/>
          <w:szCs w:val="24"/>
        </w:rPr>
        <w:t xml:space="preserve">derivadas </w:t>
      </w:r>
      <w:r w:rsidR="004D0A69" w:rsidRPr="00AB06F3">
        <w:rPr>
          <w:rFonts w:ascii="Verdana" w:hAnsi="Verdana"/>
          <w:sz w:val="24"/>
          <w:szCs w:val="24"/>
        </w:rPr>
        <w:t xml:space="preserve">del Acuerdo de Paz ni de </w:t>
      </w:r>
      <w:r w:rsidR="00357ADA">
        <w:rPr>
          <w:rFonts w:ascii="Verdana" w:hAnsi="Verdana"/>
          <w:sz w:val="24"/>
          <w:szCs w:val="24"/>
        </w:rPr>
        <w:t>su desarrollo normativo</w:t>
      </w:r>
      <w:r w:rsidR="004D0A69" w:rsidRPr="00AB06F3">
        <w:rPr>
          <w:rFonts w:ascii="Verdana" w:hAnsi="Verdana"/>
          <w:sz w:val="24"/>
          <w:szCs w:val="24"/>
        </w:rPr>
        <w:t xml:space="preserve">, han </w:t>
      </w:r>
      <w:r w:rsidR="00A3609D">
        <w:rPr>
          <w:rFonts w:ascii="Verdana" w:hAnsi="Verdana"/>
          <w:sz w:val="24"/>
          <w:szCs w:val="24"/>
        </w:rPr>
        <w:t xml:space="preserve">sido desarrolladas </w:t>
      </w:r>
      <w:r w:rsidR="004D0A69" w:rsidRPr="00AB06F3">
        <w:rPr>
          <w:rFonts w:ascii="Verdana" w:hAnsi="Verdana"/>
          <w:sz w:val="24"/>
          <w:szCs w:val="24"/>
        </w:rPr>
        <w:t>en el marco de las competencias legales</w:t>
      </w:r>
      <w:r w:rsidR="00A3609D">
        <w:rPr>
          <w:rFonts w:ascii="Verdana" w:hAnsi="Verdana"/>
          <w:sz w:val="24"/>
          <w:szCs w:val="24"/>
        </w:rPr>
        <w:t xml:space="preserve"> de la ARN</w:t>
      </w:r>
      <w:r w:rsidR="004D0A69" w:rsidRPr="00AB06F3">
        <w:rPr>
          <w:rFonts w:ascii="Verdana" w:hAnsi="Verdana"/>
          <w:sz w:val="24"/>
          <w:szCs w:val="24"/>
        </w:rPr>
        <w:t>, con el propósito de contribuir al</w:t>
      </w:r>
      <w:r w:rsidR="0062372E">
        <w:rPr>
          <w:rFonts w:ascii="Verdana" w:hAnsi="Verdana"/>
          <w:sz w:val="24"/>
          <w:szCs w:val="24"/>
        </w:rPr>
        <w:t xml:space="preserve"> fortalecimiento de l</w:t>
      </w:r>
      <w:r w:rsidR="004D0A69" w:rsidRPr="00AB06F3">
        <w:rPr>
          <w:rFonts w:ascii="Verdana" w:hAnsi="Verdana"/>
          <w:sz w:val="24"/>
          <w:szCs w:val="24"/>
        </w:rPr>
        <w:t>a construcción de paz</w:t>
      </w:r>
      <w:r w:rsidR="0062372E">
        <w:rPr>
          <w:rFonts w:ascii="Verdana" w:hAnsi="Verdana"/>
          <w:sz w:val="24"/>
          <w:szCs w:val="24"/>
        </w:rPr>
        <w:t xml:space="preserve"> en el país</w:t>
      </w:r>
      <w:r w:rsidR="004D0A69" w:rsidRPr="00AB06F3">
        <w:rPr>
          <w:rFonts w:ascii="Verdana" w:hAnsi="Verdana"/>
          <w:sz w:val="24"/>
          <w:szCs w:val="24"/>
        </w:rPr>
        <w:t xml:space="preserve">. </w:t>
      </w:r>
    </w:p>
    <w:p w14:paraId="0F594353" w14:textId="77777777" w:rsidR="00F308FF" w:rsidRDefault="00F308FF" w:rsidP="00C25586">
      <w:pPr>
        <w:spacing w:after="0" w:line="276" w:lineRule="auto"/>
        <w:jc w:val="both"/>
        <w:rPr>
          <w:rFonts w:ascii="Verdana" w:hAnsi="Verdana"/>
          <w:sz w:val="24"/>
          <w:szCs w:val="24"/>
        </w:rPr>
      </w:pPr>
    </w:p>
    <w:p w14:paraId="1D61970B" w14:textId="1347DD65" w:rsidR="00F308FF" w:rsidRPr="00AB06F3" w:rsidRDefault="00F308FF" w:rsidP="00C25586">
      <w:pPr>
        <w:spacing w:after="0" w:line="276" w:lineRule="auto"/>
        <w:jc w:val="both"/>
        <w:rPr>
          <w:rFonts w:ascii="Verdana" w:hAnsi="Verdana"/>
          <w:sz w:val="24"/>
          <w:szCs w:val="24"/>
        </w:rPr>
      </w:pPr>
      <w:r w:rsidRPr="00F308FF">
        <w:rPr>
          <w:rFonts w:ascii="Verdana" w:hAnsi="Verdana"/>
          <w:sz w:val="24"/>
          <w:szCs w:val="24"/>
        </w:rPr>
        <w:t>En particular, los avances reportados se enmarcan en:</w:t>
      </w:r>
    </w:p>
    <w:p w14:paraId="1C67F230" w14:textId="77777777" w:rsidR="004D0A69" w:rsidRPr="00AB06F3" w:rsidRDefault="004D0A69" w:rsidP="00C25586">
      <w:pPr>
        <w:spacing w:after="0" w:line="276" w:lineRule="auto"/>
        <w:jc w:val="both"/>
        <w:rPr>
          <w:rFonts w:ascii="Verdana" w:hAnsi="Verdana"/>
          <w:sz w:val="24"/>
          <w:szCs w:val="24"/>
        </w:rPr>
      </w:pPr>
    </w:p>
    <w:p w14:paraId="2F6458EE" w14:textId="6EFE75E1" w:rsidR="003115B6" w:rsidRDefault="655BB144" w:rsidP="002B2B8D">
      <w:pPr>
        <w:pStyle w:val="Ttulo2"/>
        <w:spacing w:after="0" w:line="276" w:lineRule="auto"/>
        <w:jc w:val="both"/>
        <w:rPr>
          <w:rFonts w:ascii="Verdana" w:hAnsi="Verdana" w:cs="Arial"/>
          <w:color w:val="000000" w:themeColor="text1"/>
          <w:sz w:val="24"/>
          <w:szCs w:val="24"/>
        </w:rPr>
      </w:pPr>
      <w:bookmarkStart w:id="2" w:name="_Toc225283095"/>
      <w:r w:rsidRPr="00AB06F3">
        <w:rPr>
          <w:rFonts w:ascii="Verdana" w:hAnsi="Verdana" w:cs="Arial"/>
          <w:color w:val="000000" w:themeColor="text1"/>
          <w:sz w:val="24"/>
          <w:szCs w:val="24"/>
        </w:rPr>
        <w:lastRenderedPageBreak/>
        <w:t xml:space="preserve">Punto </w:t>
      </w:r>
      <w:r w:rsidR="7E2326A7" w:rsidRPr="00AB06F3">
        <w:rPr>
          <w:rFonts w:ascii="Verdana" w:hAnsi="Verdana" w:cs="Arial"/>
          <w:color w:val="000000" w:themeColor="text1"/>
          <w:sz w:val="24"/>
          <w:szCs w:val="24"/>
        </w:rPr>
        <w:t>3</w:t>
      </w:r>
      <w:r w:rsidRPr="00AB06F3">
        <w:rPr>
          <w:rFonts w:ascii="Verdana" w:hAnsi="Verdana" w:cs="Arial"/>
          <w:color w:val="000000" w:themeColor="text1"/>
          <w:sz w:val="24"/>
          <w:szCs w:val="24"/>
        </w:rPr>
        <w:t>.</w:t>
      </w:r>
      <w:r w:rsidR="176AEFFC" w:rsidRPr="00AB06F3">
        <w:rPr>
          <w:rFonts w:ascii="Verdana" w:hAnsi="Verdana" w:cs="Arial"/>
          <w:color w:val="000000" w:themeColor="text1"/>
          <w:sz w:val="24"/>
          <w:szCs w:val="24"/>
        </w:rPr>
        <w:t xml:space="preserve"> </w:t>
      </w:r>
      <w:r w:rsidR="5B4D8C6E" w:rsidRPr="00AB06F3">
        <w:rPr>
          <w:rFonts w:ascii="Verdana" w:hAnsi="Verdana" w:cs="Arial"/>
          <w:color w:val="000000" w:themeColor="text1"/>
          <w:sz w:val="24"/>
          <w:szCs w:val="24"/>
        </w:rPr>
        <w:t xml:space="preserve">Fin del </w:t>
      </w:r>
      <w:r w:rsidR="00F308FF">
        <w:rPr>
          <w:rFonts w:ascii="Verdana" w:hAnsi="Verdana" w:cs="Arial"/>
          <w:color w:val="000000" w:themeColor="text1"/>
          <w:sz w:val="24"/>
          <w:szCs w:val="24"/>
        </w:rPr>
        <w:t>conflicto</w:t>
      </w:r>
      <w:bookmarkEnd w:id="2"/>
    </w:p>
    <w:p w14:paraId="37B4618D" w14:textId="77777777" w:rsidR="003115B6" w:rsidRPr="003115B6" w:rsidRDefault="003115B6" w:rsidP="002B2B8D">
      <w:pPr>
        <w:pStyle w:val="Ttulo2"/>
        <w:spacing w:after="0" w:line="276" w:lineRule="auto"/>
        <w:jc w:val="both"/>
        <w:rPr>
          <w:rFonts w:ascii="Verdana" w:hAnsi="Verdana" w:cs="Arial"/>
          <w:color w:val="000000" w:themeColor="text1"/>
          <w:sz w:val="24"/>
          <w:szCs w:val="24"/>
        </w:rPr>
      </w:pPr>
      <w:bookmarkStart w:id="3" w:name="_Toc225283096"/>
      <w:r w:rsidRPr="003115B6">
        <w:rPr>
          <w:rFonts w:ascii="Verdana" w:hAnsi="Verdana" w:cs="Arial"/>
          <w:color w:val="000000" w:themeColor="text1"/>
          <w:sz w:val="24"/>
          <w:szCs w:val="24"/>
        </w:rPr>
        <w:t>Punto 6. Implementación, verificación y refrendación</w:t>
      </w:r>
      <w:bookmarkEnd w:id="3"/>
    </w:p>
    <w:p w14:paraId="14FA8E2B" w14:textId="1CE12C54" w:rsidR="484A4A0C" w:rsidRPr="00AB06F3" w:rsidRDefault="484A4A0C" w:rsidP="002B2B8D">
      <w:pPr>
        <w:spacing w:before="240" w:after="0" w:line="276" w:lineRule="auto"/>
        <w:jc w:val="both"/>
        <w:rPr>
          <w:rFonts w:ascii="Verdana" w:hAnsi="Verdana" w:cs="Arial"/>
          <w:color w:val="000000" w:themeColor="text1"/>
          <w:sz w:val="24"/>
          <w:szCs w:val="24"/>
        </w:rPr>
      </w:pPr>
      <w:r w:rsidRPr="00AB06F3">
        <w:rPr>
          <w:rFonts w:ascii="Verdana" w:eastAsiaTheme="majorEastAsia" w:hAnsi="Verdana" w:cs="Arial"/>
          <w:color w:val="000000" w:themeColor="text1"/>
          <w:sz w:val="24"/>
          <w:szCs w:val="24"/>
        </w:rPr>
        <w:t>Pilar: 3.2. Reincorporación de las FARC</w:t>
      </w:r>
      <w:r w:rsidR="00797722" w:rsidRPr="00AB06F3">
        <w:rPr>
          <w:rFonts w:ascii="Verdana" w:eastAsiaTheme="majorEastAsia" w:hAnsi="Verdana" w:cs="Arial"/>
          <w:color w:val="000000" w:themeColor="text1"/>
          <w:sz w:val="24"/>
          <w:szCs w:val="24"/>
        </w:rPr>
        <w:t>-</w:t>
      </w:r>
      <w:r w:rsidRPr="00AB06F3">
        <w:rPr>
          <w:rFonts w:ascii="Verdana" w:eastAsiaTheme="majorEastAsia" w:hAnsi="Verdana" w:cs="Arial"/>
          <w:color w:val="000000" w:themeColor="text1"/>
          <w:sz w:val="24"/>
          <w:szCs w:val="24"/>
        </w:rPr>
        <w:t>EP a la vida civil</w:t>
      </w:r>
    </w:p>
    <w:p w14:paraId="714A6710" w14:textId="77777777" w:rsidR="00F308FF" w:rsidRDefault="00F308FF" w:rsidP="002B2B8D">
      <w:pPr>
        <w:jc w:val="both"/>
        <w:rPr>
          <w:rFonts w:ascii="Verdana" w:hAnsi="Verdana"/>
          <w:sz w:val="24"/>
          <w:szCs w:val="24"/>
        </w:rPr>
      </w:pPr>
    </w:p>
    <w:p w14:paraId="16B7AA0A" w14:textId="079E4090" w:rsidR="00F308FF" w:rsidRPr="00233900" w:rsidRDefault="00F308FF" w:rsidP="002B2B8D">
      <w:pPr>
        <w:jc w:val="both"/>
        <w:rPr>
          <w:rFonts w:ascii="Verdana" w:hAnsi="Verdana"/>
          <w:sz w:val="24"/>
          <w:szCs w:val="24"/>
        </w:rPr>
      </w:pPr>
      <w:r w:rsidRPr="00F308FF">
        <w:rPr>
          <w:rFonts w:ascii="Verdana" w:hAnsi="Verdana"/>
          <w:sz w:val="24"/>
          <w:szCs w:val="24"/>
        </w:rPr>
        <w:t>En la siguiente tabla se presenta el detalle de los indicadores del Plan Marco de Implementación a cargo de la ARN, con su meta para la vigencia 2025 y el nivel de avance alcanzado.</w:t>
      </w:r>
    </w:p>
    <w:p w14:paraId="6215C72B" w14:textId="45AA41AC" w:rsidR="00D45457" w:rsidRPr="00D45457" w:rsidRDefault="00D45457" w:rsidP="00D45457">
      <w:pPr>
        <w:pStyle w:val="Descripcin"/>
        <w:keepNext/>
        <w:jc w:val="center"/>
        <w:rPr>
          <w:rFonts w:ascii="Verdana" w:eastAsia="Verdana" w:hAnsi="Verdana" w:cs="Arial"/>
          <w:i w:val="0"/>
          <w:iCs w:val="0"/>
          <w:color w:val="000000" w:themeColor="text1"/>
        </w:rPr>
      </w:pPr>
      <w:bookmarkStart w:id="4" w:name="_Toc225283113"/>
      <w:r w:rsidRPr="00D45457">
        <w:rPr>
          <w:rFonts w:ascii="Verdana" w:eastAsia="Verdana" w:hAnsi="Verdana" w:cs="Arial"/>
          <w:i w:val="0"/>
          <w:iCs w:val="0"/>
          <w:color w:val="000000" w:themeColor="text1"/>
        </w:rPr>
        <w:t xml:space="preserve">Tabla </w:t>
      </w:r>
      <w:r w:rsidRPr="00D45457">
        <w:rPr>
          <w:rFonts w:ascii="Verdana" w:eastAsia="Verdana" w:hAnsi="Verdana" w:cs="Arial"/>
          <w:i w:val="0"/>
          <w:iCs w:val="0"/>
          <w:color w:val="000000" w:themeColor="text1"/>
        </w:rPr>
        <w:fldChar w:fldCharType="begin"/>
      </w:r>
      <w:r w:rsidRPr="00D45457">
        <w:rPr>
          <w:rFonts w:ascii="Verdana" w:eastAsia="Verdana" w:hAnsi="Verdana" w:cs="Arial"/>
          <w:i w:val="0"/>
          <w:iCs w:val="0"/>
          <w:color w:val="000000" w:themeColor="text1"/>
        </w:rPr>
        <w:instrText xml:space="preserve"> SEQ Tabla \* ARABIC </w:instrText>
      </w:r>
      <w:r w:rsidRPr="00D45457">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w:t>
      </w:r>
      <w:r w:rsidRPr="00D45457">
        <w:rPr>
          <w:rFonts w:ascii="Verdana" w:eastAsia="Verdana" w:hAnsi="Verdana" w:cs="Arial"/>
          <w:i w:val="0"/>
          <w:iCs w:val="0"/>
          <w:color w:val="000000" w:themeColor="text1"/>
        </w:rPr>
        <w:fldChar w:fldCharType="end"/>
      </w:r>
      <w:r w:rsidRPr="00D45457">
        <w:rPr>
          <w:rFonts w:ascii="Verdana" w:eastAsia="Verdana" w:hAnsi="Verdana" w:cs="Arial"/>
          <w:i w:val="0"/>
          <w:iCs w:val="0"/>
          <w:color w:val="000000" w:themeColor="text1"/>
        </w:rPr>
        <w:t>. Detalle de indicadores del PMI a cargo de ARN</w:t>
      </w:r>
      <w:bookmarkEnd w:id="4"/>
    </w:p>
    <w:tbl>
      <w:tblPr>
        <w:tblStyle w:val="Tablaconcuadrcula1clara-nfasis4"/>
        <w:tblW w:w="8835" w:type="dxa"/>
        <w:tblLayout w:type="fixed"/>
        <w:tblLook w:val="04A0" w:firstRow="1" w:lastRow="0" w:firstColumn="1" w:lastColumn="0" w:noHBand="0" w:noVBand="1"/>
        <w:tblCaption w:val="Detalle de indicadores del PMI a cargo de ARN"/>
        <w:tblDescription w:val="Tabla con los indicadores PMI, el tipo, la fecha de inicio, fecha fin, la meta para 2025 y el avance al 2025"/>
      </w:tblPr>
      <w:tblGrid>
        <w:gridCol w:w="3392"/>
        <w:gridCol w:w="1174"/>
        <w:gridCol w:w="1080"/>
        <w:gridCol w:w="1063"/>
        <w:gridCol w:w="1063"/>
        <w:gridCol w:w="1063"/>
      </w:tblGrid>
      <w:tr w:rsidR="48836A97" w:rsidRPr="00D23BCC" w14:paraId="636CC2C3" w14:textId="77777777" w:rsidTr="0097155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5716F70C" w14:textId="740FF25E" w:rsidR="48836A97" w:rsidRPr="00D23BCC" w:rsidRDefault="48836A97" w:rsidP="00C25586">
            <w:pPr>
              <w:spacing w:line="276" w:lineRule="auto"/>
              <w:jc w:val="center"/>
              <w:rPr>
                <w:rFonts w:ascii="Verdana" w:hAnsi="Verdana" w:cs="Arial"/>
                <w:sz w:val="18"/>
                <w:szCs w:val="18"/>
              </w:rPr>
            </w:pPr>
            <w:r w:rsidRPr="00D23BCC">
              <w:rPr>
                <w:rFonts w:ascii="Verdana" w:eastAsia="Verdana" w:hAnsi="Verdana" w:cs="Arial"/>
                <w:sz w:val="18"/>
                <w:szCs w:val="18"/>
              </w:rPr>
              <w:t>Indicador</w:t>
            </w:r>
          </w:p>
        </w:tc>
        <w:tc>
          <w:tcPr>
            <w:tcW w:w="1174"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55FE3352" w14:textId="4F95A3AE"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Tipo</w:t>
            </w:r>
          </w:p>
        </w:tc>
        <w:tc>
          <w:tcPr>
            <w:tcW w:w="1080"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3C3E0441" w14:textId="5BB2C361"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Inicio</w:t>
            </w:r>
          </w:p>
        </w:tc>
        <w:tc>
          <w:tcPr>
            <w:tcW w:w="1063"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4022AC4C" w14:textId="1D7BE9B2"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Fin</w:t>
            </w:r>
          </w:p>
        </w:tc>
        <w:tc>
          <w:tcPr>
            <w:tcW w:w="1063"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307F39EA" w14:textId="0D00CBF0" w:rsidR="341CA849" w:rsidRPr="00D23BCC" w:rsidRDefault="341CA849"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 w:val="0"/>
                <w:bCs w:val="0"/>
                <w:sz w:val="18"/>
                <w:szCs w:val="18"/>
              </w:rPr>
            </w:pPr>
            <w:r w:rsidRPr="00D23BCC">
              <w:rPr>
                <w:rFonts w:ascii="Verdana" w:eastAsia="Verdana" w:hAnsi="Verdana" w:cs="Arial"/>
                <w:sz w:val="18"/>
                <w:szCs w:val="18"/>
              </w:rPr>
              <w:t>Meta 202</w:t>
            </w:r>
            <w:r w:rsidR="00FF3A3A">
              <w:rPr>
                <w:rFonts w:ascii="Verdana" w:eastAsia="Verdana" w:hAnsi="Verdana" w:cs="Arial"/>
                <w:sz w:val="18"/>
                <w:szCs w:val="18"/>
              </w:rPr>
              <w:t>5</w:t>
            </w:r>
          </w:p>
        </w:tc>
        <w:tc>
          <w:tcPr>
            <w:tcW w:w="1063" w:type="dxa"/>
            <w:tcBorders>
              <w:top w:val="single" w:sz="8" w:space="0" w:color="FFE599" w:themeColor="accent4" w:themeTint="66"/>
              <w:left w:val="single" w:sz="8" w:space="0" w:color="FFE599" w:themeColor="accent4" w:themeTint="66"/>
              <w:right w:val="single" w:sz="8" w:space="0" w:color="FFE599" w:themeColor="accent4" w:themeTint="66"/>
            </w:tcBorders>
            <w:tcMar>
              <w:left w:w="108" w:type="dxa"/>
              <w:right w:w="108" w:type="dxa"/>
            </w:tcMar>
            <w:vAlign w:val="center"/>
          </w:tcPr>
          <w:p w14:paraId="4A5F8AAD" w14:textId="7762FB59" w:rsidR="1D5D7D1D" w:rsidRPr="00D23BCC" w:rsidRDefault="1D5D7D1D"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 w:val="0"/>
                <w:bCs w:val="0"/>
                <w:sz w:val="18"/>
                <w:szCs w:val="18"/>
              </w:rPr>
            </w:pPr>
            <w:r w:rsidRPr="00D23BCC">
              <w:rPr>
                <w:rFonts w:ascii="Verdana" w:eastAsia="Verdana" w:hAnsi="Verdana" w:cs="Arial"/>
                <w:sz w:val="18"/>
                <w:szCs w:val="18"/>
              </w:rPr>
              <w:t>Avance al 202</w:t>
            </w:r>
            <w:r w:rsidR="00FF3A3A">
              <w:rPr>
                <w:rFonts w:ascii="Verdana" w:eastAsia="Verdana" w:hAnsi="Verdana" w:cs="Arial"/>
                <w:sz w:val="18"/>
                <w:szCs w:val="18"/>
              </w:rPr>
              <w:t>5</w:t>
            </w:r>
          </w:p>
        </w:tc>
      </w:tr>
      <w:tr w:rsidR="48836A97" w:rsidRPr="00D23BCC" w14:paraId="37E71835" w14:textId="77777777" w:rsidTr="00971553">
        <w:trPr>
          <w:trHeight w:val="720"/>
        </w:trPr>
        <w:tc>
          <w:tcPr>
            <w:cnfStyle w:val="001000000000" w:firstRow="0" w:lastRow="0" w:firstColumn="1" w:lastColumn="0" w:oddVBand="0" w:evenVBand="0" w:oddHBand="0" w:evenHBand="0" w:firstRowFirstColumn="0" w:firstRowLastColumn="0" w:lastRowFirstColumn="0" w:lastRowLastColumn="0"/>
            <w:tcW w:w="3392"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611F18A" w14:textId="1EB97967" w:rsidR="48836A97" w:rsidRPr="00D23BCC" w:rsidRDefault="0069669F" w:rsidP="00C25586">
            <w:pPr>
              <w:spacing w:line="276" w:lineRule="auto"/>
              <w:jc w:val="both"/>
              <w:rPr>
                <w:rFonts w:ascii="Verdana" w:eastAsia="Verdana" w:hAnsi="Verdana" w:cs="Arial"/>
                <w:b w:val="0"/>
                <w:bCs w:val="0"/>
                <w:sz w:val="18"/>
                <w:szCs w:val="18"/>
              </w:rPr>
            </w:pPr>
            <w:r w:rsidRPr="0069669F">
              <w:rPr>
                <w:rFonts w:ascii="Verdana" w:eastAsia="Verdana" w:hAnsi="Verdana" w:cs="Arial"/>
                <w:b w:val="0"/>
                <w:bCs w:val="0"/>
                <w:sz w:val="18"/>
                <w:szCs w:val="18"/>
              </w:rPr>
              <w:t>C.205.N</w:t>
            </w:r>
            <w:r w:rsidR="00EE0DC6">
              <w:rPr>
                <w:rFonts w:ascii="Verdana" w:eastAsia="Verdana" w:hAnsi="Verdana" w:cs="Arial"/>
                <w:b w:val="0"/>
                <w:bCs w:val="0"/>
                <w:sz w:val="18"/>
                <w:szCs w:val="18"/>
              </w:rPr>
              <w:t xml:space="preserve"> </w:t>
            </w:r>
            <w:r w:rsidRPr="0069669F">
              <w:rPr>
                <w:rFonts w:ascii="Verdana" w:eastAsia="Verdana" w:hAnsi="Verdana" w:cs="Arial"/>
                <w:b w:val="0"/>
                <w:bCs w:val="0"/>
                <w:sz w:val="18"/>
                <w:szCs w:val="18"/>
              </w:rPr>
              <w:t>Formas asociativas que fortalecen sus capacidades y condiciones asociativas y organizativas</w:t>
            </w:r>
          </w:p>
        </w:tc>
        <w:tc>
          <w:tcPr>
            <w:tcW w:w="1174"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326BA71" w14:textId="1D1FFDC2" w:rsidR="48836A97" w:rsidRPr="00D23BCC" w:rsidRDefault="00753DDD"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E7B514F" w14:textId="1902070E" w:rsidR="48836A97" w:rsidRPr="00D23BCC" w:rsidRDefault="00170F1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8831B4D" w14:textId="4798425A" w:rsidR="48836A97" w:rsidRPr="00D23BCC" w:rsidRDefault="00170F1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68ED47E" w14:textId="67074EE4" w:rsidR="49FD0DC4" w:rsidRPr="00D23BCC" w:rsidRDefault="00B907A8"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70%</w:t>
            </w:r>
          </w:p>
        </w:tc>
        <w:tc>
          <w:tcPr>
            <w:tcW w:w="1063" w:type="dxa"/>
            <w:tcBorders>
              <w:top w:val="single" w:sz="12" w:space="0" w:color="FFD966" w:themeColor="accent4" w:themeTint="99"/>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C013B14" w14:textId="737E3070" w:rsidR="71EBB2F5" w:rsidRPr="00D23BCC" w:rsidRDefault="00B907A8"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75%</w:t>
            </w:r>
          </w:p>
        </w:tc>
      </w:tr>
      <w:tr w:rsidR="00BD4E1B" w:rsidRPr="00D23BCC" w14:paraId="0506D9A4"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68C61F4" w14:textId="40E484D7" w:rsidR="00BD4E1B" w:rsidRPr="00D23BCC" w:rsidRDefault="00BD4E1B" w:rsidP="00BD4E1B">
            <w:pPr>
              <w:spacing w:line="276" w:lineRule="auto"/>
              <w:jc w:val="both"/>
              <w:rPr>
                <w:rFonts w:ascii="Verdana" w:eastAsia="Verdana" w:hAnsi="Verdana" w:cs="Arial"/>
                <w:b w:val="0"/>
                <w:bCs w:val="0"/>
                <w:sz w:val="18"/>
                <w:szCs w:val="18"/>
              </w:rPr>
            </w:pPr>
            <w:r w:rsidRPr="00875B3B">
              <w:rPr>
                <w:rFonts w:ascii="Verdana" w:eastAsia="Verdana" w:hAnsi="Verdana" w:cs="Arial"/>
                <w:b w:val="0"/>
                <w:bCs w:val="0"/>
                <w:sz w:val="18"/>
                <w:szCs w:val="18"/>
              </w:rPr>
              <w:t>C.207.N Sujetos y colectivos que han recibido en su totalidad el Plan de Acompañamiento y Asistencia Técnica Integral (PAATI)</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4991EDD" w14:textId="19C90798" w:rsidR="00BD4E1B" w:rsidRPr="00D23BCC" w:rsidRDefault="00BD4E1B"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28792AD" w14:textId="3529ECDF" w:rsidR="00BD4E1B" w:rsidRPr="00D23BCC" w:rsidRDefault="002A2D3D"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8314290" w14:textId="3A196639" w:rsidR="00BD4E1B" w:rsidRPr="00D23BCC" w:rsidRDefault="00E21F47"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0F3F8F1" w14:textId="64AC9876" w:rsidR="00BD4E1B" w:rsidRPr="00D23BCC" w:rsidRDefault="00E21F47"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84%</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A1ED1FA" w14:textId="7E578FAC" w:rsidR="00BD4E1B" w:rsidRPr="00D23BCC" w:rsidRDefault="00E21F47" w:rsidP="00BD4E1B">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84%</w:t>
            </w:r>
          </w:p>
        </w:tc>
      </w:tr>
      <w:tr w:rsidR="002A2D3D" w:rsidRPr="00D23BCC" w14:paraId="6198F0B4"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C82C85A" w14:textId="09A8843E" w:rsidR="002A2D3D" w:rsidRPr="00D23BCC" w:rsidRDefault="002A2D3D" w:rsidP="002A2D3D">
            <w:pPr>
              <w:spacing w:line="276" w:lineRule="auto"/>
              <w:jc w:val="both"/>
              <w:rPr>
                <w:rFonts w:ascii="Verdana" w:eastAsia="Verdana" w:hAnsi="Verdana" w:cs="Arial"/>
                <w:b w:val="0"/>
                <w:bCs w:val="0"/>
                <w:sz w:val="18"/>
                <w:szCs w:val="18"/>
              </w:rPr>
            </w:pPr>
            <w:r w:rsidRPr="00BD4E1B">
              <w:rPr>
                <w:rFonts w:ascii="Verdana" w:eastAsia="Verdana" w:hAnsi="Verdana" w:cs="Arial"/>
                <w:b w:val="0"/>
                <w:bCs w:val="0"/>
                <w:sz w:val="18"/>
                <w:szCs w:val="18"/>
              </w:rPr>
              <w:t>C.208.N Avance en los planes de reincorporación individuales y colectivos</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04D1F6D" w14:textId="4D1D8822"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9BB86D1" w14:textId="6F027A1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A2FE143" w14:textId="7B736A13" w:rsidR="002A2D3D" w:rsidRPr="00D23BCC" w:rsidRDefault="00E21F47"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9E178F1" w14:textId="62F420D8"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9E998D6" w14:textId="68C1C0EA"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9,46%</w:t>
            </w:r>
          </w:p>
        </w:tc>
      </w:tr>
      <w:tr w:rsidR="002A2D3D" w:rsidRPr="00D23BCC" w14:paraId="56FB3374"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2E1B72B" w14:textId="6088EC0F" w:rsidR="002A2D3D" w:rsidRPr="00D23BCC" w:rsidRDefault="002A2D3D" w:rsidP="002A2D3D">
            <w:pPr>
              <w:spacing w:line="276" w:lineRule="auto"/>
              <w:jc w:val="both"/>
              <w:rPr>
                <w:rFonts w:ascii="Verdana" w:eastAsia="Verdana" w:hAnsi="Verdana" w:cs="Arial"/>
                <w:b w:val="0"/>
                <w:bCs w:val="0"/>
                <w:sz w:val="18"/>
                <w:szCs w:val="18"/>
              </w:rPr>
            </w:pPr>
            <w:r w:rsidRPr="00BD4E1B">
              <w:rPr>
                <w:rFonts w:ascii="Verdana" w:eastAsia="Verdana" w:hAnsi="Verdana" w:cs="Arial"/>
                <w:b w:val="0"/>
                <w:bCs w:val="0"/>
                <w:sz w:val="18"/>
                <w:szCs w:val="18"/>
              </w:rPr>
              <w:t>C.210.N Programa de Reunificación Familiar, implementado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83CA977" w14:textId="607065D2"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A3E0096" w14:textId="52FF25A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7A969D5" w14:textId="15B96526" w:rsidR="002A2D3D" w:rsidRPr="00D23BCC" w:rsidRDefault="00E21F47"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94E0D6F" w14:textId="326EE577"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80%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2663B3B" w14:textId="0AC1C6AA"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100%</w:t>
            </w:r>
          </w:p>
        </w:tc>
      </w:tr>
      <w:tr w:rsidR="002A2D3D" w:rsidRPr="00D23BCC" w14:paraId="2243F459"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618C16B" w14:textId="32854D51" w:rsidR="002A2D3D" w:rsidRPr="00D23BCC" w:rsidRDefault="002A2D3D" w:rsidP="002A2D3D">
            <w:pPr>
              <w:spacing w:line="276" w:lineRule="auto"/>
              <w:jc w:val="both"/>
              <w:rPr>
                <w:rFonts w:ascii="Verdana" w:eastAsia="Verdana" w:hAnsi="Verdana" w:cs="Arial"/>
                <w:b w:val="0"/>
                <w:bCs w:val="0"/>
                <w:sz w:val="18"/>
                <w:szCs w:val="18"/>
              </w:rPr>
            </w:pPr>
            <w:r w:rsidRPr="00F64E87">
              <w:rPr>
                <w:rFonts w:ascii="Verdana" w:eastAsia="Verdana" w:hAnsi="Verdana" w:cs="Arial"/>
                <w:b w:val="0"/>
                <w:bCs w:val="0"/>
                <w:sz w:val="18"/>
                <w:szCs w:val="18"/>
              </w:rPr>
              <w:t>C.212.N Sistema Nacional de Reincorporación en funcionamiento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EC0D094" w14:textId="3126B4C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60EAC22" w14:textId="34F184C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BEE838C" w14:textId="046A1B3B" w:rsidR="002A2D3D" w:rsidRPr="00D23BCC" w:rsidRDefault="00E21F47"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8395A9D" w14:textId="5F842C7E"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B562130" w14:textId="13032FF6" w:rsidR="002A2D3D" w:rsidRPr="00D23BCC" w:rsidRDefault="00937292"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51</w:t>
            </w:r>
          </w:p>
        </w:tc>
      </w:tr>
      <w:tr w:rsidR="002A2D3D" w:rsidRPr="00D23BCC" w14:paraId="6004E73E"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2B24BA1" w14:textId="2DC65C86"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C.221 Consejo Nacional de Reincorporación creado y en funcionamiento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D0C4DEE" w14:textId="2DD8434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C1699A0" w14:textId="5C9A5A1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A1053D5" w14:textId="67F3C785"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w:t>
            </w:r>
            <w:r>
              <w:rPr>
                <w:rFonts w:ascii="Verdana" w:eastAsia="Verdana" w:hAnsi="Verdana" w:cs="Arial"/>
                <w:sz w:val="18"/>
                <w:szCs w:val="18"/>
              </w:rPr>
              <w:t>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F6D01DF" w14:textId="1B54C958"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3EDACA4" w14:textId="1EBCEBE5"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w:t>
            </w:r>
          </w:p>
        </w:tc>
      </w:tr>
      <w:tr w:rsidR="002A2D3D" w:rsidRPr="00D23BCC" w14:paraId="0CD70EB7"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046A83F" w14:textId="598AB28C" w:rsidR="002A2D3D" w:rsidRPr="00D23BCC" w:rsidRDefault="002A2D3D" w:rsidP="002A2D3D">
            <w:pPr>
              <w:spacing w:line="276" w:lineRule="auto"/>
              <w:jc w:val="both"/>
              <w:rPr>
                <w:rFonts w:ascii="Verdana" w:eastAsia="Verdana" w:hAnsi="Verdana" w:cs="Arial"/>
                <w:sz w:val="18"/>
                <w:szCs w:val="18"/>
              </w:rPr>
            </w:pPr>
            <w:r w:rsidRPr="00D23BCC">
              <w:rPr>
                <w:rFonts w:ascii="Verdana" w:eastAsia="Verdana" w:hAnsi="Verdana" w:cs="Arial"/>
                <w:b w:val="0"/>
                <w:bCs w:val="0"/>
                <w:sz w:val="18"/>
                <w:szCs w:val="18"/>
              </w:rPr>
              <w:t>C.238 Porcentaje de integrantes de FARC- EP acreditados con proyecto productivo individual o colectivo viabilizado con apoyo económico entregado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1B15A72" w14:textId="38F08418"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BE78DEC" w14:textId="7E086162"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D3C6DA6" w14:textId="228CF68C"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2018</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2476E1D" w14:textId="14DB1BC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90%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958558F" w14:textId="31808E6B" w:rsidR="002A2D3D" w:rsidRPr="00D23BCC" w:rsidRDefault="007B4F4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65,</w:t>
            </w:r>
            <w:r w:rsidR="00D45C72">
              <w:rPr>
                <w:rFonts w:ascii="Verdana" w:eastAsia="Verdana" w:hAnsi="Verdana" w:cs="Arial"/>
                <w:sz w:val="18"/>
                <w:szCs w:val="18"/>
              </w:rPr>
              <w:t>56</w:t>
            </w:r>
            <w:r w:rsidR="002A2D3D" w:rsidRPr="00D23BCC">
              <w:rPr>
                <w:rFonts w:ascii="Verdana" w:eastAsia="Verdana" w:hAnsi="Verdana" w:cs="Arial"/>
                <w:sz w:val="18"/>
                <w:szCs w:val="18"/>
              </w:rPr>
              <w:t>%</w:t>
            </w:r>
          </w:p>
        </w:tc>
      </w:tr>
      <w:tr w:rsidR="002A2D3D" w:rsidRPr="00D23BCC" w14:paraId="7ECB8698"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768CDF7" w14:textId="25FC309C"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C.239 Porcentaje de asignaciones únicas de normalización entregadas a los integrantes de las FARC-EP acreditados</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F2DF812" w14:textId="0968C2F3"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11CE7DC" w14:textId="6086F789"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E1B285F" w14:textId="692B8F58"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F767CA4" w14:textId="4959B7A5"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90F50F7" w14:textId="6289EBFD"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tc>
      </w:tr>
      <w:tr w:rsidR="002A2D3D" w:rsidRPr="00D23BCC" w14:paraId="0BFA15E1"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5CAFFA6" w14:textId="2320612F"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C.240 Porcentaje de miembros de las FARC-EP acreditados que no tengan vínculo contractual que les genere ingresos, con renta básica mensual</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9B87AA2" w14:textId="2EA9DBEF"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C3F0E53" w14:textId="3EC40F5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D1DED6E" w14:textId="28B6719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2019</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EB58D3B"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69AF2F9F" w14:textId="39EE1C0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697ED8FE" w14:textId="6682D2C3"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8B44E2F"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5DBBBA7A" w14:textId="15F8111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2E0259A9" w14:textId="6791E97D"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r>
      <w:tr w:rsidR="002A2D3D" w:rsidRPr="00D23BCC" w14:paraId="36163A86"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FC9A8F4" w14:textId="4A064607"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 xml:space="preserve">C.241 Porcentaje de miembros de las FARC-EP acreditados que no tengan vínculo contractual, que </w:t>
            </w:r>
            <w:r w:rsidRPr="00D23BCC">
              <w:rPr>
                <w:rFonts w:ascii="Verdana" w:eastAsia="Verdana" w:hAnsi="Verdana" w:cs="Arial"/>
                <w:b w:val="0"/>
                <w:bCs w:val="0"/>
                <w:sz w:val="18"/>
                <w:szCs w:val="18"/>
              </w:rPr>
              <w:lastRenderedPageBreak/>
              <w:t>reciben pago por concepto de seguridad social</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30B1B34" w14:textId="68936C0A"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lastRenderedPageBreak/>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105C600" w14:textId="04653E31"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F2B3D32" w14:textId="0E98D7B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2020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D6E31E3"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21CB2081" w14:textId="68284F11"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2459098C" w14:textId="55D76C3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B0B78DD"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1AE60FAD" w14:textId="377CD531"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2DA4819D" w14:textId="7444B2A0"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r>
      <w:tr w:rsidR="002A2D3D" w:rsidRPr="00D23BCC" w14:paraId="4FF9D5E4"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7CE5EA2" w14:textId="7549E605"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C.427 Consejos territoriales de Reincorporación creados y en funcionamiento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6FD9D70" w14:textId="6B206C11"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CA99A7D" w14:textId="449D50E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C7EF888" w14:textId="40289E1C"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AEB7941"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37C08929" w14:textId="12289BBE"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08454540" w14:textId="15025538"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5D65B75" w14:textId="34EF1F23" w:rsidR="002A2D3D" w:rsidRPr="00D23BCC" w:rsidRDefault="009D260F"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67</w:t>
            </w:r>
            <w:r w:rsidR="002A2D3D" w:rsidRPr="00D23BCC">
              <w:rPr>
                <w:rFonts w:ascii="Verdana" w:eastAsia="Verdana" w:hAnsi="Verdana" w:cs="Arial"/>
                <w:sz w:val="18"/>
                <w:szCs w:val="18"/>
              </w:rPr>
              <w:t>%</w:t>
            </w:r>
          </w:p>
        </w:tc>
      </w:tr>
      <w:tr w:rsidR="002A2D3D" w:rsidRPr="00D23BCC" w14:paraId="18E861E6"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9BF4A50" w14:textId="40078C63"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C.458 Porcentaje de miembros de las FARC-EP acreditados que no tengan vínculo contractual que les genere ingresos y que continúen con su ruta educativa de acuerdo a sus intereses en el proceso de reincorporación, con asignación básica mensual</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6F8BD70" w14:textId="58D02CA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DBD88C2" w14:textId="2F80821F"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2019</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7C891F9" w14:textId="21F8A23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2026</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B259BA8"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6A5D301B" w14:textId="7697730C"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2A6F9E5E" w14:textId="1DD9DB8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26E44FF"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3E2CC309" w14:textId="5CD13F1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3F00F278" w14:textId="6634073E"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r>
      <w:tr w:rsidR="002A2D3D" w:rsidRPr="00D23BCC" w14:paraId="4D6696E3"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B9FF2E7" w14:textId="58AF2580"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C.459 Espacios Transitorios de Capacitación y Reincorporación, dispuestos y en funcionamiento según lo establecido en el decreto 1274 de 2017</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6D75E487" w14:textId="322C7EA3"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170EA5BA" w14:textId="4D90C516"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4F2FC08" w14:textId="486011AA"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w:t>
            </w:r>
            <w:r w:rsidR="007F35ED">
              <w:rPr>
                <w:rFonts w:ascii="Verdana" w:eastAsia="Verdana" w:hAnsi="Verdana" w:cs="Arial"/>
                <w:sz w:val="18"/>
                <w:szCs w:val="18"/>
              </w:rPr>
              <w:t>26</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187E352"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112BBF59" w14:textId="3B59DD3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7BE5F88F" w14:textId="4805E17B"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95AC4E7" w14:textId="77777777"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2CB11744" w14:textId="55286295"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100%</w:t>
            </w:r>
          </w:p>
          <w:p w14:paraId="028EEA58" w14:textId="71E60C5C"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tc>
      </w:tr>
      <w:tr w:rsidR="002A2D3D" w:rsidRPr="00D23BCC" w14:paraId="327253D0"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A80C56A" w14:textId="56C08B71" w:rsidR="002A2D3D" w:rsidRPr="00D23BCC" w:rsidRDefault="002A2D3D" w:rsidP="002A2D3D">
            <w:pPr>
              <w:spacing w:line="276" w:lineRule="auto"/>
              <w:jc w:val="both"/>
              <w:rPr>
                <w:rFonts w:ascii="Verdana" w:eastAsia="Verdana" w:hAnsi="Verdana" w:cs="Arial"/>
                <w:b w:val="0"/>
                <w:bCs w:val="0"/>
                <w:sz w:val="18"/>
                <w:szCs w:val="18"/>
              </w:rPr>
            </w:pPr>
            <w:r w:rsidRPr="00D23BCC">
              <w:rPr>
                <w:rFonts w:ascii="Verdana" w:eastAsia="Verdana" w:hAnsi="Verdana" w:cs="Arial"/>
                <w:b w:val="0"/>
                <w:bCs w:val="0"/>
                <w:sz w:val="18"/>
                <w:szCs w:val="18"/>
              </w:rPr>
              <w:t>C.460 Recursos de cooperación internacional no reembolsable y de instituciones no gubernamentales para el programa de atención especial para lisiados del conflicto con incapacidad permanente y adultos mayores, gestionados en especial en los primeros 36 meses</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B2C4870" w14:textId="24C4F952" w:rsidR="002A2D3D" w:rsidRPr="00D23BCC" w:rsidRDefault="003B59F5"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Temático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19670E8" w14:textId="3F871099"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2017</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B463A8B" w14:textId="5FE96024"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eastAsia="Verdana" w:hAnsi="Verdana" w:cs="Arial"/>
                <w:sz w:val="18"/>
                <w:szCs w:val="18"/>
              </w:rPr>
              <w:t>2026</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995605F" w14:textId="704E6063"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02B38E4" w14:textId="0B04B432" w:rsidR="002A2D3D" w:rsidRPr="00D23BCC" w:rsidRDefault="002A2D3D"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1</w:t>
            </w:r>
          </w:p>
        </w:tc>
      </w:tr>
      <w:tr w:rsidR="002A2D3D" w:rsidRPr="00D23BCC" w14:paraId="1916A861"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5DD6CD3" w14:textId="14544E03" w:rsidR="002A2D3D" w:rsidRPr="00F64E87" w:rsidRDefault="002A2D3D" w:rsidP="002A2D3D">
            <w:pPr>
              <w:spacing w:line="276" w:lineRule="auto"/>
              <w:jc w:val="both"/>
              <w:rPr>
                <w:rFonts w:ascii="Verdana" w:eastAsia="Verdana" w:hAnsi="Verdana" w:cs="Arial"/>
                <w:b w:val="0"/>
                <w:bCs w:val="0"/>
                <w:sz w:val="18"/>
                <w:szCs w:val="18"/>
              </w:rPr>
            </w:pPr>
            <w:r w:rsidRPr="00F64E87">
              <w:rPr>
                <w:rFonts w:ascii="Verdana" w:eastAsia="Verdana" w:hAnsi="Verdana" w:cs="Arial"/>
                <w:b w:val="0"/>
                <w:bCs w:val="0"/>
                <w:sz w:val="18"/>
                <w:szCs w:val="18"/>
              </w:rPr>
              <w:t>C.E.11.N Planes Comunitarios de Armonización ejecutados en la vigencia</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AA490AD" w14:textId="6FA752E4"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Étnico</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64F1543" w14:textId="0D14AD54"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2EF9211" w14:textId="126CD5A1"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BC37124" w14:textId="62AFFA24" w:rsidR="002A2D3D" w:rsidRPr="00D23BCC" w:rsidRDefault="003B59F5"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3D83930" w14:textId="141C1BA3" w:rsidR="002A2D3D" w:rsidRPr="00D23BCC" w:rsidRDefault="003B59F5"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w:t>
            </w:r>
          </w:p>
        </w:tc>
      </w:tr>
      <w:tr w:rsidR="002A2D3D" w:rsidRPr="00D23BCC" w14:paraId="5588810B"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EB0DE5F" w14:textId="29EBC190" w:rsidR="002A2D3D" w:rsidRPr="00F64E87" w:rsidRDefault="002A2D3D" w:rsidP="002A2D3D">
            <w:pPr>
              <w:spacing w:line="276" w:lineRule="auto"/>
              <w:jc w:val="both"/>
              <w:rPr>
                <w:rFonts w:ascii="Verdana" w:eastAsia="Verdana" w:hAnsi="Verdana" w:cs="Arial"/>
                <w:b w:val="0"/>
                <w:bCs w:val="0"/>
                <w:sz w:val="18"/>
                <w:szCs w:val="18"/>
              </w:rPr>
            </w:pPr>
            <w:r w:rsidRPr="00902675">
              <w:rPr>
                <w:rFonts w:ascii="Verdana" w:eastAsia="Verdana" w:hAnsi="Verdana" w:cs="Arial"/>
                <w:b w:val="0"/>
                <w:bCs w:val="0"/>
                <w:sz w:val="18"/>
                <w:szCs w:val="18"/>
              </w:rPr>
              <w:t>C.MT.6.N ETCR consolidados como áreas de reincorporación colectiva</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24FAFD6" w14:textId="79BAEC72"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Metas trazadoras</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76198FF6" w14:textId="44A6D9A9"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DB4CDDF" w14:textId="7F86BD71" w:rsidR="002A2D3D" w:rsidRPr="00D23BCC" w:rsidRDefault="000A5D5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C4AC771" w14:textId="202B2C83"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3</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4BD21550" w14:textId="33575FC1"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w:t>
            </w:r>
          </w:p>
        </w:tc>
      </w:tr>
      <w:tr w:rsidR="002A2D3D" w:rsidRPr="00D23BCC" w14:paraId="10FEC40C" w14:textId="77777777" w:rsidTr="00971553">
        <w:trPr>
          <w:trHeight w:val="420"/>
        </w:trPr>
        <w:tc>
          <w:tcPr>
            <w:cnfStyle w:val="001000000000" w:firstRow="0" w:lastRow="0" w:firstColumn="1" w:lastColumn="0" w:oddVBand="0" w:evenVBand="0" w:oddHBand="0" w:evenHBand="0" w:firstRowFirstColumn="0" w:firstRowLastColumn="0" w:lastRowFirstColumn="0" w:lastRowLastColumn="0"/>
            <w:tcW w:w="3392"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2A1B9FCE" w14:textId="025E4989" w:rsidR="002A2D3D" w:rsidRPr="00F64E87" w:rsidRDefault="002A2D3D" w:rsidP="002A2D3D">
            <w:pPr>
              <w:spacing w:line="276" w:lineRule="auto"/>
              <w:jc w:val="both"/>
              <w:rPr>
                <w:rFonts w:ascii="Verdana" w:eastAsia="Verdana" w:hAnsi="Verdana" w:cs="Arial"/>
                <w:b w:val="0"/>
                <w:bCs w:val="0"/>
                <w:sz w:val="18"/>
                <w:szCs w:val="18"/>
              </w:rPr>
            </w:pPr>
            <w:r w:rsidRPr="00902675">
              <w:rPr>
                <w:rFonts w:ascii="Verdana" w:eastAsia="Verdana" w:hAnsi="Verdana" w:cs="Arial"/>
                <w:b w:val="0"/>
                <w:bCs w:val="0"/>
                <w:sz w:val="18"/>
                <w:szCs w:val="18"/>
              </w:rPr>
              <w:t>C.MT.8.N Avance de planes de reincorporación individual de las personas con discapacidad, personas mayores y personas con enfermedades de alto costo</w:t>
            </w:r>
          </w:p>
        </w:tc>
        <w:tc>
          <w:tcPr>
            <w:tcW w:w="1174"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0CE58C3" w14:textId="11A5C960"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D23BCC">
              <w:rPr>
                <w:rFonts w:ascii="Verdana" w:eastAsia="Verdana" w:hAnsi="Verdana" w:cs="Arial"/>
                <w:sz w:val="18"/>
                <w:szCs w:val="18"/>
              </w:rPr>
              <w:t>Metas trazadoras</w:t>
            </w:r>
          </w:p>
        </w:tc>
        <w:tc>
          <w:tcPr>
            <w:tcW w:w="1080"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072FE9CA" w14:textId="020038E7"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2025</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4289FA8" w14:textId="4CD680C9" w:rsidR="002A2D3D" w:rsidRPr="00D23BCC" w:rsidRDefault="00174D3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2031</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3581DAFE" w14:textId="2A852F4A" w:rsidR="002A2D3D" w:rsidRPr="00D23BCC" w:rsidRDefault="001561F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w:t>
            </w:r>
          </w:p>
        </w:tc>
        <w:tc>
          <w:tcPr>
            <w:tcW w:w="1063" w:type="dxa"/>
            <w:tc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cBorders>
            <w:tcMar>
              <w:left w:w="108" w:type="dxa"/>
              <w:right w:w="108" w:type="dxa"/>
            </w:tcMar>
            <w:vAlign w:val="center"/>
          </w:tcPr>
          <w:p w14:paraId="51BB1418" w14:textId="69751E11" w:rsidR="002A2D3D" w:rsidRPr="00D23BCC" w:rsidRDefault="001561F8" w:rsidP="002A2D3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10,62%</w:t>
            </w:r>
          </w:p>
        </w:tc>
      </w:tr>
    </w:tbl>
    <w:p w14:paraId="5AC1D375" w14:textId="5B5E3AD5" w:rsidR="6E55B988" w:rsidRDefault="6E55B988" w:rsidP="00C25586">
      <w:pPr>
        <w:spacing w:after="0" w:line="276" w:lineRule="auto"/>
        <w:jc w:val="center"/>
        <w:rPr>
          <w:rFonts w:ascii="Verdana" w:eastAsia="Verdana" w:hAnsi="Verdana" w:cs="Arial"/>
          <w:sz w:val="18"/>
          <w:szCs w:val="18"/>
        </w:rPr>
      </w:pPr>
      <w:r w:rsidRPr="00AB06F3">
        <w:rPr>
          <w:rFonts w:ascii="Verdana" w:eastAsia="Verdana" w:hAnsi="Verdana" w:cs="Arial"/>
          <w:sz w:val="18"/>
          <w:szCs w:val="18"/>
        </w:rPr>
        <w:t>Fuente: SIIPO</w:t>
      </w:r>
      <w:r w:rsidR="001E1F0A">
        <w:rPr>
          <w:rFonts w:ascii="Verdana" w:eastAsia="Verdana" w:hAnsi="Verdana" w:cs="Arial"/>
          <w:sz w:val="18"/>
          <w:szCs w:val="18"/>
        </w:rPr>
        <w:t xml:space="preserve">, con corte al </w:t>
      </w:r>
      <w:r w:rsidRPr="00AB06F3">
        <w:rPr>
          <w:rFonts w:ascii="Verdana" w:eastAsia="Verdana" w:hAnsi="Verdana" w:cs="Arial"/>
          <w:sz w:val="18"/>
          <w:szCs w:val="18"/>
        </w:rPr>
        <w:t>31 de diciembre del 202</w:t>
      </w:r>
      <w:r w:rsidR="00A735BF">
        <w:rPr>
          <w:rFonts w:ascii="Verdana" w:eastAsia="Verdana" w:hAnsi="Verdana" w:cs="Arial"/>
          <w:sz w:val="18"/>
          <w:szCs w:val="18"/>
        </w:rPr>
        <w:t>5</w:t>
      </w:r>
    </w:p>
    <w:p w14:paraId="5AB30D35" w14:textId="77777777" w:rsidR="00D11721" w:rsidRDefault="00D11721" w:rsidP="00D11721">
      <w:pPr>
        <w:spacing w:after="0" w:line="276" w:lineRule="auto"/>
        <w:rPr>
          <w:rFonts w:ascii="Verdana" w:eastAsia="Verdana" w:hAnsi="Verdana" w:cs="Arial"/>
          <w:sz w:val="18"/>
          <w:szCs w:val="18"/>
        </w:rPr>
      </w:pPr>
    </w:p>
    <w:p w14:paraId="68FD9AAE" w14:textId="37A2E022" w:rsidR="000C6CFD" w:rsidRDefault="00D11721" w:rsidP="00DA62EC">
      <w:pPr>
        <w:spacing w:line="276" w:lineRule="auto"/>
        <w:rPr>
          <w:rFonts w:ascii="Verdana" w:eastAsia="Verdana" w:hAnsi="Verdana" w:cs="Arial"/>
          <w:b/>
          <w:bCs/>
        </w:rPr>
      </w:pPr>
      <w:r w:rsidRPr="00D215E9">
        <w:rPr>
          <w:rFonts w:ascii="Verdana" w:eastAsia="Verdana" w:hAnsi="Verdana" w:cs="Arial"/>
          <w:b/>
          <w:bCs/>
        </w:rPr>
        <w:t>Nota</w:t>
      </w:r>
      <w:r w:rsidR="000C6CFD">
        <w:rPr>
          <w:rFonts w:ascii="Verdana" w:eastAsia="Verdana" w:hAnsi="Verdana" w:cs="Arial"/>
          <w:b/>
          <w:bCs/>
        </w:rPr>
        <w:t xml:space="preserve"> metodológica sobre cambios en in</w:t>
      </w:r>
      <w:r w:rsidR="001E1F0A">
        <w:rPr>
          <w:rFonts w:ascii="Verdana" w:eastAsia="Verdana" w:hAnsi="Verdana" w:cs="Arial"/>
          <w:b/>
          <w:bCs/>
        </w:rPr>
        <w:t>d</w:t>
      </w:r>
      <w:r w:rsidR="000C6CFD">
        <w:rPr>
          <w:rFonts w:ascii="Verdana" w:eastAsia="Verdana" w:hAnsi="Verdana" w:cs="Arial"/>
          <w:b/>
          <w:bCs/>
        </w:rPr>
        <w:t>icadores</w:t>
      </w:r>
    </w:p>
    <w:p w14:paraId="55625A07" w14:textId="60196F7C" w:rsidR="00DA62EC" w:rsidRPr="00D215E9" w:rsidRDefault="000C6CFD" w:rsidP="002B2B8D">
      <w:pPr>
        <w:spacing w:line="276" w:lineRule="auto"/>
        <w:jc w:val="both"/>
        <w:rPr>
          <w:rFonts w:ascii="Verdana" w:eastAsia="Verdana" w:hAnsi="Verdana" w:cs="Arial"/>
        </w:rPr>
      </w:pPr>
      <w:r w:rsidRPr="000C6CFD">
        <w:rPr>
          <w:rFonts w:ascii="Verdana" w:eastAsia="Verdana" w:hAnsi="Verdana" w:cs="Arial"/>
        </w:rPr>
        <w:t xml:space="preserve">Los siguientes </w:t>
      </w:r>
      <w:r w:rsidR="00DA62EC" w:rsidRPr="00D215E9">
        <w:rPr>
          <w:rFonts w:ascii="Verdana" w:eastAsia="Verdana" w:hAnsi="Verdana" w:cs="Arial"/>
        </w:rPr>
        <w:t>indicadores a cargo de la ARN presentan novedades</w:t>
      </w:r>
      <w:r w:rsidR="0025791F">
        <w:rPr>
          <w:rFonts w:ascii="Verdana" w:eastAsia="Verdana" w:hAnsi="Verdana" w:cs="Arial"/>
        </w:rPr>
        <w:t xml:space="preserve"> en su medición dentro del PMI</w:t>
      </w:r>
      <w:r w:rsidR="00DA62EC" w:rsidRPr="00D215E9">
        <w:rPr>
          <w:rFonts w:ascii="Verdana" w:eastAsia="Verdana" w:hAnsi="Verdana" w:cs="Arial"/>
        </w:rPr>
        <w:t>.</w:t>
      </w:r>
    </w:p>
    <w:p w14:paraId="603CE48B" w14:textId="0C4EFF0F" w:rsidR="00EE0DC6" w:rsidRPr="00D215E9" w:rsidRDefault="00DA62EC" w:rsidP="002B2B8D">
      <w:pPr>
        <w:pStyle w:val="Prrafodelista"/>
        <w:numPr>
          <w:ilvl w:val="0"/>
          <w:numId w:val="14"/>
        </w:numPr>
        <w:spacing w:line="276" w:lineRule="auto"/>
        <w:jc w:val="both"/>
        <w:rPr>
          <w:rFonts w:ascii="Verdana" w:eastAsia="Verdana" w:hAnsi="Verdana" w:cs="Arial"/>
        </w:rPr>
      </w:pPr>
      <w:r w:rsidRPr="00D215E9">
        <w:rPr>
          <w:rFonts w:ascii="Verdana" w:eastAsia="Verdana" w:hAnsi="Verdana" w:cs="Arial"/>
        </w:rPr>
        <w:t>E</w:t>
      </w:r>
      <w:r w:rsidR="00D11721" w:rsidRPr="00D215E9">
        <w:rPr>
          <w:rFonts w:ascii="Verdana" w:eastAsia="Verdana" w:hAnsi="Verdana" w:cs="Arial"/>
        </w:rPr>
        <w:t>l indicador C.457 Planes y programas de reincorporación social y económica implementados</w:t>
      </w:r>
      <w:r w:rsidR="0062605B" w:rsidRPr="00D215E9">
        <w:rPr>
          <w:rFonts w:ascii="Verdana" w:eastAsia="Verdana" w:hAnsi="Verdana" w:cs="Arial"/>
        </w:rPr>
        <w:t>,</w:t>
      </w:r>
      <w:r w:rsidR="00AC7F79" w:rsidRPr="00D215E9">
        <w:rPr>
          <w:rFonts w:ascii="Verdana" w:eastAsia="Verdana" w:hAnsi="Verdana" w:cs="Arial"/>
        </w:rPr>
        <w:t xml:space="preserve"> </w:t>
      </w:r>
      <w:r w:rsidR="0062605B" w:rsidRPr="00D215E9">
        <w:rPr>
          <w:rFonts w:ascii="Verdana" w:eastAsia="Verdana" w:hAnsi="Verdana" w:cs="Arial"/>
        </w:rPr>
        <w:t xml:space="preserve">se </w:t>
      </w:r>
      <w:r w:rsidR="0025791F">
        <w:rPr>
          <w:rFonts w:ascii="Verdana" w:eastAsia="Verdana" w:hAnsi="Verdana" w:cs="Arial"/>
        </w:rPr>
        <w:t xml:space="preserve">cerró </w:t>
      </w:r>
      <w:r w:rsidR="0062605B" w:rsidRPr="00D215E9">
        <w:rPr>
          <w:rFonts w:ascii="Verdana" w:eastAsia="Verdana" w:hAnsi="Verdana" w:cs="Arial"/>
        </w:rPr>
        <w:t xml:space="preserve">en la vigencia 2024 y </w:t>
      </w:r>
      <w:r w:rsidR="0025791F">
        <w:rPr>
          <w:rFonts w:ascii="Verdana" w:eastAsia="Verdana" w:hAnsi="Verdana" w:cs="Arial"/>
        </w:rPr>
        <w:t xml:space="preserve">fue </w:t>
      </w:r>
      <w:r w:rsidR="0062605B" w:rsidRPr="00D215E9">
        <w:rPr>
          <w:rFonts w:ascii="Verdana" w:eastAsia="Verdana" w:hAnsi="Verdana" w:cs="Arial"/>
        </w:rPr>
        <w:t xml:space="preserve">reemplazado por el indicador </w:t>
      </w:r>
      <w:r w:rsidRPr="00D215E9">
        <w:rPr>
          <w:rFonts w:ascii="Verdana" w:eastAsia="Verdana" w:hAnsi="Verdana" w:cs="Arial"/>
          <w:lang w:val="es-ES"/>
        </w:rPr>
        <w:t xml:space="preserve">C.208.N Avance en los planes de reincorporación individuales y colectivos. </w:t>
      </w:r>
    </w:p>
    <w:p w14:paraId="0DEE7320" w14:textId="0A402C7B" w:rsidR="000E7AC6" w:rsidRPr="00D215E9" w:rsidRDefault="00EE0DC6" w:rsidP="002B2B8D">
      <w:pPr>
        <w:pStyle w:val="Prrafodelista"/>
        <w:numPr>
          <w:ilvl w:val="0"/>
          <w:numId w:val="14"/>
        </w:numPr>
        <w:spacing w:line="276" w:lineRule="auto"/>
        <w:jc w:val="both"/>
        <w:rPr>
          <w:rFonts w:ascii="Verdana" w:eastAsia="Verdana" w:hAnsi="Verdana" w:cs="Arial"/>
        </w:rPr>
      </w:pPr>
      <w:r w:rsidRPr="00D215E9">
        <w:rPr>
          <w:rFonts w:ascii="Verdana" w:eastAsia="Verdana" w:hAnsi="Verdana" w:cs="Arial"/>
          <w:lang w:val="es-ES"/>
        </w:rPr>
        <w:lastRenderedPageBreak/>
        <w:t xml:space="preserve">El indicador </w:t>
      </w:r>
      <w:r w:rsidRPr="00D215E9">
        <w:rPr>
          <w:rFonts w:ascii="Verdana" w:eastAsia="Verdana" w:hAnsi="Verdana" w:cs="Arial"/>
        </w:rPr>
        <w:t>C.MT.1 Porcentaje de miembros de las FARC-EP acreditados y que voluntariamente acceden a la ruta de reincorporación con todas las medidas de la reincorporación económica y social sostenible</w:t>
      </w:r>
      <w:r w:rsidR="0062605B" w:rsidRPr="00D215E9">
        <w:rPr>
          <w:rFonts w:ascii="Verdana" w:eastAsia="Verdana" w:hAnsi="Verdana" w:cs="Arial"/>
        </w:rPr>
        <w:t>, se c</w:t>
      </w:r>
      <w:r w:rsidR="00D00079">
        <w:rPr>
          <w:rFonts w:ascii="Verdana" w:eastAsia="Verdana" w:hAnsi="Verdana" w:cs="Arial"/>
        </w:rPr>
        <w:t xml:space="preserve">erró </w:t>
      </w:r>
      <w:r w:rsidR="0062605B" w:rsidRPr="00D215E9">
        <w:rPr>
          <w:rFonts w:ascii="Verdana" w:eastAsia="Verdana" w:hAnsi="Verdana" w:cs="Arial"/>
        </w:rPr>
        <w:t xml:space="preserve">en la vigencia 2024 y </w:t>
      </w:r>
      <w:r w:rsidR="00D00079">
        <w:rPr>
          <w:rFonts w:ascii="Verdana" w:eastAsia="Verdana" w:hAnsi="Verdana" w:cs="Arial"/>
        </w:rPr>
        <w:t>fue</w:t>
      </w:r>
      <w:r w:rsidR="006A7F33">
        <w:rPr>
          <w:rFonts w:ascii="Verdana" w:eastAsia="Verdana" w:hAnsi="Verdana" w:cs="Arial"/>
        </w:rPr>
        <w:t xml:space="preserve"> </w:t>
      </w:r>
      <w:r w:rsidR="0062605B" w:rsidRPr="00D215E9">
        <w:rPr>
          <w:rFonts w:ascii="Verdana" w:eastAsia="Verdana" w:hAnsi="Verdana" w:cs="Arial"/>
        </w:rPr>
        <w:t>reemplazado por el indicador</w:t>
      </w:r>
      <w:r w:rsidR="000E7AC6" w:rsidRPr="00D215E9">
        <w:rPr>
          <w:rFonts w:ascii="Verdana" w:eastAsia="Verdana" w:hAnsi="Verdana" w:cs="Arial"/>
        </w:rPr>
        <w:t xml:space="preserve"> </w:t>
      </w:r>
      <w:r w:rsidR="000E7AC6" w:rsidRPr="00D215E9">
        <w:rPr>
          <w:rFonts w:ascii="Verdana" w:eastAsia="Verdana" w:hAnsi="Verdana" w:cs="Arial"/>
          <w:lang w:val="es-ES"/>
        </w:rPr>
        <w:t xml:space="preserve">C.208.N Avance en los planes de reincorporación individuales y colectivos. </w:t>
      </w:r>
    </w:p>
    <w:p w14:paraId="3D2E3EBF" w14:textId="34E8E5FC" w:rsidR="001F2EB3" w:rsidRPr="00D215E9" w:rsidRDefault="001F2EB3" w:rsidP="002B2B8D">
      <w:pPr>
        <w:pStyle w:val="Prrafodelista"/>
        <w:numPr>
          <w:ilvl w:val="0"/>
          <w:numId w:val="14"/>
        </w:numPr>
        <w:spacing w:after="0" w:line="276" w:lineRule="auto"/>
        <w:jc w:val="both"/>
        <w:rPr>
          <w:rFonts w:ascii="Verdana" w:eastAsia="Verdana" w:hAnsi="Verdana" w:cs="Arial"/>
        </w:rPr>
      </w:pPr>
      <w:r w:rsidRPr="00D215E9">
        <w:rPr>
          <w:rFonts w:ascii="Verdana" w:eastAsia="Verdana" w:hAnsi="Verdana" w:cs="Arial"/>
        </w:rPr>
        <w:t xml:space="preserve">El indicador </w:t>
      </w:r>
      <w:r w:rsidR="00EE0DC6" w:rsidRPr="00D215E9">
        <w:rPr>
          <w:rFonts w:ascii="Verdana" w:eastAsia="Verdana" w:hAnsi="Verdana" w:cs="Arial"/>
        </w:rPr>
        <w:t>C.MT.2 Programa de atención especial para discapacitados del conflicto con incapacidad permanente y adultos mayores, que gestione recursos de cooperación no reembolsable internacional y de instituciones no gubernamentales para su realización, creado</w:t>
      </w:r>
      <w:r w:rsidR="0062605B" w:rsidRPr="00D215E9">
        <w:rPr>
          <w:rFonts w:ascii="Verdana" w:eastAsia="Verdana" w:hAnsi="Verdana" w:cs="Arial"/>
        </w:rPr>
        <w:t>, se c</w:t>
      </w:r>
      <w:r w:rsidR="004D5D18">
        <w:rPr>
          <w:rFonts w:ascii="Verdana" w:eastAsia="Verdana" w:hAnsi="Verdana" w:cs="Arial"/>
        </w:rPr>
        <w:t xml:space="preserve">erró </w:t>
      </w:r>
      <w:r w:rsidR="0062605B" w:rsidRPr="00D215E9">
        <w:rPr>
          <w:rFonts w:ascii="Verdana" w:eastAsia="Verdana" w:hAnsi="Verdana" w:cs="Arial"/>
        </w:rPr>
        <w:t xml:space="preserve">en la vigencia 2024 y </w:t>
      </w:r>
      <w:r w:rsidR="00A94503">
        <w:rPr>
          <w:rFonts w:ascii="Verdana" w:eastAsia="Verdana" w:hAnsi="Verdana" w:cs="Arial"/>
        </w:rPr>
        <w:t xml:space="preserve">fue </w:t>
      </w:r>
      <w:r w:rsidR="0062605B" w:rsidRPr="00D215E9">
        <w:rPr>
          <w:rFonts w:ascii="Verdana" w:eastAsia="Verdana" w:hAnsi="Verdana" w:cs="Arial"/>
        </w:rPr>
        <w:t>reemplazado por el indicador</w:t>
      </w:r>
      <w:r w:rsidR="00F42B77" w:rsidRPr="00D215E9">
        <w:rPr>
          <w:rFonts w:ascii="Verdana" w:eastAsia="Verdana" w:hAnsi="Verdana" w:cs="Arial"/>
        </w:rPr>
        <w:t xml:space="preserve"> C.MT.8.N Avance de planes de reincorporación individual de las personas con discapacidad, personas mayores y personas con enfermedades de alto costo.</w:t>
      </w:r>
    </w:p>
    <w:p w14:paraId="12FDE266" w14:textId="2A031A57" w:rsidR="001F2EB3" w:rsidRPr="00D215E9" w:rsidRDefault="001F2EB3" w:rsidP="002B2B8D">
      <w:pPr>
        <w:pStyle w:val="Prrafodelista"/>
        <w:numPr>
          <w:ilvl w:val="0"/>
          <w:numId w:val="14"/>
        </w:numPr>
        <w:spacing w:after="0" w:line="276" w:lineRule="auto"/>
        <w:jc w:val="both"/>
        <w:rPr>
          <w:rFonts w:ascii="Verdana" w:eastAsia="Verdana" w:hAnsi="Verdana" w:cs="Arial"/>
        </w:rPr>
      </w:pPr>
      <w:r w:rsidRPr="00D215E9">
        <w:rPr>
          <w:rFonts w:ascii="Verdana" w:eastAsia="Verdana" w:hAnsi="Verdana" w:cs="Arial"/>
        </w:rPr>
        <w:t xml:space="preserve">El indicador </w:t>
      </w:r>
      <w:r w:rsidR="00EE0DC6" w:rsidRPr="00D215E9">
        <w:rPr>
          <w:rFonts w:ascii="Verdana" w:eastAsia="Verdana" w:hAnsi="Verdana" w:cs="Arial"/>
        </w:rPr>
        <w:t>C.E.3 Programa especial de armonización para la reintegración y reincorporación social y económica con enfoque diferencial étnico y de género concertado, diseñado e implementado</w:t>
      </w:r>
      <w:r w:rsidR="0062605B" w:rsidRPr="00D215E9">
        <w:rPr>
          <w:rFonts w:ascii="Verdana" w:eastAsia="Verdana" w:hAnsi="Verdana" w:cs="Arial"/>
        </w:rPr>
        <w:t>, se c</w:t>
      </w:r>
      <w:r w:rsidR="00BD63BD">
        <w:rPr>
          <w:rFonts w:ascii="Verdana" w:eastAsia="Verdana" w:hAnsi="Verdana" w:cs="Arial"/>
        </w:rPr>
        <w:t xml:space="preserve">erró </w:t>
      </w:r>
      <w:r w:rsidR="0062605B" w:rsidRPr="00D215E9">
        <w:rPr>
          <w:rFonts w:ascii="Verdana" w:eastAsia="Verdana" w:hAnsi="Verdana" w:cs="Arial"/>
        </w:rPr>
        <w:t xml:space="preserve">en la vigencia 2024 y </w:t>
      </w:r>
      <w:r w:rsidR="00BD63BD">
        <w:rPr>
          <w:rFonts w:ascii="Verdana" w:eastAsia="Verdana" w:hAnsi="Verdana" w:cs="Arial"/>
        </w:rPr>
        <w:t xml:space="preserve">fue </w:t>
      </w:r>
      <w:r w:rsidR="0062605B" w:rsidRPr="00D215E9">
        <w:rPr>
          <w:rFonts w:ascii="Verdana" w:eastAsia="Verdana" w:hAnsi="Verdana" w:cs="Arial"/>
        </w:rPr>
        <w:t>reemplazado por el indicador</w:t>
      </w:r>
      <w:r w:rsidR="00B70432" w:rsidRPr="00D215E9">
        <w:rPr>
          <w:rFonts w:ascii="Verdana" w:eastAsia="Verdana" w:hAnsi="Verdana" w:cs="Arial"/>
        </w:rPr>
        <w:t xml:space="preserve"> </w:t>
      </w:r>
      <w:r w:rsidR="00B70432" w:rsidRPr="00D215E9">
        <w:rPr>
          <w:rFonts w:ascii="Verdana" w:eastAsia="Verdana" w:hAnsi="Verdana" w:cs="Arial"/>
          <w:lang w:val="es-ES"/>
        </w:rPr>
        <w:t>C.E.11.N Planes Comunitarios de Armonización ejecutados en la vigencia.</w:t>
      </w:r>
    </w:p>
    <w:p w14:paraId="718D2E23" w14:textId="1DBE854F" w:rsidR="00765610" w:rsidRPr="001E1F0A" w:rsidRDefault="001F2EB3" w:rsidP="002B2B8D">
      <w:pPr>
        <w:pStyle w:val="Prrafodelista"/>
        <w:numPr>
          <w:ilvl w:val="0"/>
          <w:numId w:val="14"/>
        </w:numPr>
        <w:spacing w:after="0" w:line="276" w:lineRule="auto"/>
        <w:jc w:val="both"/>
        <w:rPr>
          <w:rFonts w:ascii="Verdana" w:eastAsia="Verdana" w:hAnsi="Verdana" w:cs="Arial"/>
        </w:rPr>
      </w:pPr>
      <w:r w:rsidRPr="00D215E9">
        <w:rPr>
          <w:rFonts w:ascii="Verdana" w:eastAsia="Verdana" w:hAnsi="Verdana" w:cs="Arial"/>
        </w:rPr>
        <w:t xml:space="preserve">El indicador </w:t>
      </w:r>
      <w:r w:rsidR="00EE0DC6" w:rsidRPr="00D215E9">
        <w:rPr>
          <w:rFonts w:ascii="Verdana" w:eastAsia="Verdana" w:hAnsi="Verdana" w:cs="Arial"/>
        </w:rPr>
        <w:t>C.E.4 Mujeres excombatientes pertenecientes a pueblos étnicos beneficiarias del programa especial de armonización para la reintegración y la reincorporación</w:t>
      </w:r>
      <w:r w:rsidR="0062605B" w:rsidRPr="00D215E9">
        <w:rPr>
          <w:rFonts w:ascii="Verdana" w:eastAsia="Verdana" w:hAnsi="Verdana" w:cs="Arial"/>
        </w:rPr>
        <w:t xml:space="preserve">, se </w:t>
      </w:r>
      <w:r w:rsidR="007C0CB8">
        <w:rPr>
          <w:rFonts w:ascii="Verdana" w:eastAsia="Verdana" w:hAnsi="Verdana" w:cs="Arial"/>
        </w:rPr>
        <w:t xml:space="preserve">cerró </w:t>
      </w:r>
      <w:r w:rsidR="0062605B" w:rsidRPr="00D215E9">
        <w:rPr>
          <w:rFonts w:ascii="Verdana" w:eastAsia="Verdana" w:hAnsi="Verdana" w:cs="Arial"/>
        </w:rPr>
        <w:t xml:space="preserve">en la vigencia 2024 y </w:t>
      </w:r>
      <w:r w:rsidR="007C0CB8">
        <w:rPr>
          <w:rFonts w:ascii="Verdana" w:eastAsia="Verdana" w:hAnsi="Verdana" w:cs="Arial"/>
        </w:rPr>
        <w:t xml:space="preserve">fue </w:t>
      </w:r>
      <w:r w:rsidR="0062605B" w:rsidRPr="00D215E9">
        <w:rPr>
          <w:rFonts w:ascii="Verdana" w:eastAsia="Verdana" w:hAnsi="Verdana" w:cs="Arial"/>
        </w:rPr>
        <w:t>reemplazado por el indicador</w:t>
      </w:r>
      <w:r w:rsidR="00B70432" w:rsidRPr="00D215E9">
        <w:rPr>
          <w:rFonts w:ascii="Verdana" w:eastAsia="Verdana" w:hAnsi="Verdana" w:cs="Arial"/>
        </w:rPr>
        <w:t xml:space="preserve"> </w:t>
      </w:r>
      <w:r w:rsidR="00B70432" w:rsidRPr="00D215E9">
        <w:rPr>
          <w:rFonts w:ascii="Verdana" w:eastAsia="Verdana" w:hAnsi="Verdana" w:cs="Arial"/>
          <w:lang w:val="es-ES"/>
        </w:rPr>
        <w:t>C.E.11.N Planes Comunitarios de Armonización ejecutados en la vigencia.</w:t>
      </w:r>
    </w:p>
    <w:p w14:paraId="57CAC1CA" w14:textId="77777777" w:rsidR="001E1F0A" w:rsidRPr="001E1F0A" w:rsidRDefault="001E1F0A" w:rsidP="002B2B8D">
      <w:pPr>
        <w:pStyle w:val="Prrafodelista"/>
        <w:spacing w:after="0" w:line="276" w:lineRule="auto"/>
        <w:jc w:val="both"/>
        <w:rPr>
          <w:rFonts w:ascii="Verdana" w:eastAsia="Verdana" w:hAnsi="Verdana" w:cs="Arial"/>
        </w:rPr>
      </w:pPr>
    </w:p>
    <w:p w14:paraId="7B267BFA" w14:textId="0901593C" w:rsidR="002151DE" w:rsidRDefault="002151DE"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Producto:</w:t>
      </w:r>
      <w:r w:rsidR="009E02FB">
        <w:rPr>
          <w:rFonts w:ascii="Verdana" w:eastAsia="Verdana" w:hAnsi="Verdana" w:cs="Arial"/>
          <w:b/>
          <w:bCs/>
          <w:color w:val="000000" w:themeColor="text1"/>
          <w:sz w:val="24"/>
          <w:szCs w:val="24"/>
        </w:rPr>
        <w:t xml:space="preserve"> </w:t>
      </w:r>
      <w:r w:rsidR="009E02FB" w:rsidRPr="009E02FB">
        <w:rPr>
          <w:rFonts w:ascii="Verdana" w:eastAsia="Verdana" w:hAnsi="Verdana" w:cs="Arial"/>
          <w:b/>
          <w:bCs/>
          <w:color w:val="000000" w:themeColor="text1"/>
          <w:sz w:val="24"/>
          <w:szCs w:val="24"/>
        </w:rPr>
        <w:t>Garantías para una reincorporación económica y social sostenible</w:t>
      </w:r>
    </w:p>
    <w:p w14:paraId="7E876AB8" w14:textId="77777777" w:rsidR="00E43009" w:rsidRDefault="00E43009" w:rsidP="00E43009">
      <w:pPr>
        <w:pStyle w:val="Prrafodelista"/>
        <w:spacing w:before="240" w:after="0" w:line="276" w:lineRule="auto"/>
        <w:ind w:left="1080"/>
        <w:rPr>
          <w:rFonts w:ascii="Verdana" w:eastAsia="Verdana" w:hAnsi="Verdana" w:cs="Arial"/>
          <w:b/>
          <w:bCs/>
          <w:color w:val="000000" w:themeColor="text1"/>
          <w:sz w:val="24"/>
          <w:szCs w:val="24"/>
        </w:rPr>
      </w:pPr>
    </w:p>
    <w:p w14:paraId="6D7EF874" w14:textId="1B598EA9" w:rsidR="00B16DD4" w:rsidRDefault="00C63044" w:rsidP="002D5570">
      <w:pPr>
        <w:spacing w:after="0" w:line="240" w:lineRule="auto"/>
        <w:rPr>
          <w:rFonts w:ascii="Verdana" w:eastAsia="Verdana" w:hAnsi="Verdana" w:cs="Arial"/>
          <w:color w:val="000000" w:themeColor="text1"/>
          <w:sz w:val="24"/>
          <w:szCs w:val="24"/>
        </w:rPr>
      </w:pPr>
      <w:r>
        <w:rPr>
          <w:rFonts w:ascii="Verdana" w:eastAsia="Verdana" w:hAnsi="Verdana" w:cs="Arial"/>
          <w:b/>
          <w:bCs/>
          <w:color w:val="000000" w:themeColor="text1"/>
          <w:sz w:val="24"/>
          <w:szCs w:val="24"/>
        </w:rPr>
        <w:t xml:space="preserve">Indicador </w:t>
      </w:r>
      <w:r w:rsidR="009E02FB" w:rsidRPr="009E02FB">
        <w:rPr>
          <w:rFonts w:ascii="Verdana" w:eastAsia="Verdana" w:hAnsi="Verdana" w:cs="Arial"/>
          <w:b/>
          <w:bCs/>
          <w:color w:val="000000" w:themeColor="text1"/>
          <w:sz w:val="24"/>
          <w:szCs w:val="24"/>
        </w:rPr>
        <w:t>C.205.N</w:t>
      </w:r>
      <w:r w:rsidR="009E02FB">
        <w:rPr>
          <w:rFonts w:ascii="Verdana" w:eastAsia="Verdana" w:hAnsi="Verdana" w:cs="Arial"/>
          <w:b/>
          <w:bCs/>
          <w:color w:val="000000" w:themeColor="text1"/>
          <w:sz w:val="24"/>
          <w:szCs w:val="24"/>
        </w:rPr>
        <w:t xml:space="preserve"> </w:t>
      </w:r>
      <w:r w:rsidR="009E02FB" w:rsidRPr="009E02FB">
        <w:rPr>
          <w:rFonts w:ascii="Verdana" w:eastAsia="Verdana" w:hAnsi="Verdana" w:cs="Arial"/>
          <w:color w:val="000000" w:themeColor="text1"/>
          <w:sz w:val="24"/>
          <w:szCs w:val="24"/>
        </w:rPr>
        <w:t>Formas asociativas que fortalecen sus capacidades y condiciones asociativas y organizativas</w:t>
      </w:r>
    </w:p>
    <w:p w14:paraId="78FC08B5" w14:textId="77777777" w:rsidR="002D5570" w:rsidRDefault="002D5570" w:rsidP="002D5570">
      <w:pPr>
        <w:spacing w:after="0" w:line="240" w:lineRule="auto"/>
        <w:rPr>
          <w:rFonts w:ascii="Verdana" w:eastAsia="Verdana" w:hAnsi="Verdana" w:cs="Arial"/>
          <w:color w:val="000000" w:themeColor="text1"/>
          <w:sz w:val="24"/>
          <w:szCs w:val="24"/>
        </w:rPr>
      </w:pPr>
    </w:p>
    <w:p w14:paraId="06DE303B" w14:textId="0D5DB04A" w:rsidR="00FD4488" w:rsidRPr="00FD4488" w:rsidRDefault="00FD4488" w:rsidP="002D5570">
      <w:pPr>
        <w:pStyle w:val="Descripcin"/>
        <w:keepNext/>
        <w:spacing w:after="0"/>
        <w:jc w:val="center"/>
        <w:rPr>
          <w:rFonts w:ascii="Verdana" w:eastAsia="Verdana" w:hAnsi="Verdana" w:cs="Arial"/>
          <w:i w:val="0"/>
          <w:iCs w:val="0"/>
          <w:color w:val="000000" w:themeColor="text1"/>
        </w:rPr>
      </w:pPr>
      <w:bookmarkStart w:id="5" w:name="_Toc225283114"/>
      <w:r w:rsidRPr="00FD4488">
        <w:rPr>
          <w:rFonts w:ascii="Verdana" w:eastAsia="Verdana" w:hAnsi="Verdana" w:cs="Arial"/>
          <w:i w:val="0"/>
          <w:iCs w:val="0"/>
          <w:color w:val="000000" w:themeColor="text1"/>
        </w:rPr>
        <w:t xml:space="preserve">Tabla </w:t>
      </w:r>
      <w:r w:rsidRPr="00FD4488">
        <w:rPr>
          <w:rFonts w:ascii="Verdana" w:eastAsia="Verdana" w:hAnsi="Verdana" w:cs="Arial"/>
          <w:i w:val="0"/>
          <w:iCs w:val="0"/>
          <w:color w:val="000000" w:themeColor="text1"/>
        </w:rPr>
        <w:fldChar w:fldCharType="begin"/>
      </w:r>
      <w:r w:rsidRPr="00FD4488">
        <w:rPr>
          <w:rFonts w:ascii="Verdana" w:eastAsia="Verdana" w:hAnsi="Verdana" w:cs="Arial"/>
          <w:i w:val="0"/>
          <w:iCs w:val="0"/>
          <w:color w:val="000000" w:themeColor="text1"/>
        </w:rPr>
        <w:instrText xml:space="preserve"> SEQ Tabla \* ARABIC </w:instrText>
      </w:r>
      <w:r w:rsidRPr="00FD4488">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w:t>
      </w:r>
      <w:r w:rsidRPr="00FD4488">
        <w:rPr>
          <w:rFonts w:ascii="Verdana" w:eastAsia="Verdana" w:hAnsi="Verdana" w:cs="Arial"/>
          <w:i w:val="0"/>
          <w:iCs w:val="0"/>
          <w:color w:val="000000" w:themeColor="text1"/>
        </w:rPr>
        <w:fldChar w:fldCharType="end"/>
      </w:r>
      <w:r w:rsidRPr="00FD4488">
        <w:rPr>
          <w:rFonts w:ascii="Verdana" w:eastAsia="Verdana" w:hAnsi="Verdana" w:cs="Arial"/>
          <w:i w:val="0"/>
          <w:iCs w:val="0"/>
          <w:color w:val="000000" w:themeColor="text1"/>
        </w:rPr>
        <w:t>. Detalle de avance en el indicador C.205.N</w:t>
      </w:r>
      <w:bookmarkEnd w:id="5"/>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4101"/>
        <w:gridCol w:w="1062"/>
        <w:gridCol w:w="1217"/>
        <w:gridCol w:w="1211"/>
        <w:gridCol w:w="1244"/>
      </w:tblGrid>
      <w:tr w:rsidR="00AE0ADE" w:rsidRPr="00AB06F3" w14:paraId="05EC4681" w14:textId="77777777" w:rsidTr="00C63044">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101" w:type="dxa"/>
            <w:tcMar>
              <w:left w:w="108" w:type="dxa"/>
              <w:right w:w="108" w:type="dxa"/>
            </w:tcMar>
            <w:vAlign w:val="center"/>
          </w:tcPr>
          <w:p w14:paraId="4EDE3D96" w14:textId="77777777" w:rsidR="00AE0ADE" w:rsidRPr="00AB06F3" w:rsidRDefault="00AE0ADE"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062" w:type="dxa"/>
            <w:tcMar>
              <w:left w:w="108" w:type="dxa"/>
              <w:right w:w="108" w:type="dxa"/>
            </w:tcMar>
            <w:vAlign w:val="center"/>
          </w:tcPr>
          <w:p w14:paraId="3EED8965" w14:textId="77777777" w:rsidR="00AE0ADE" w:rsidRPr="00AB06F3" w:rsidRDefault="00AE0ADE"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39BCC2BB" w14:textId="77777777" w:rsidR="00AE0ADE" w:rsidRPr="00AB06F3" w:rsidRDefault="00AE0ADE"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19874E03" w14:textId="77777777" w:rsidR="00AE0ADE" w:rsidRPr="00AB06F3" w:rsidRDefault="00AE0ADE"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76C886E7" w14:textId="507959A2" w:rsidR="00AE0ADE" w:rsidRPr="00AB06F3" w:rsidRDefault="00AE0ADE"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B27722">
              <w:rPr>
                <w:rFonts w:ascii="Verdana" w:eastAsia="Verdana" w:hAnsi="Verdana" w:cs="Arial"/>
                <w:color w:val="000000" w:themeColor="text1"/>
                <w:sz w:val="18"/>
                <w:szCs w:val="18"/>
              </w:rPr>
              <w:t>5</w:t>
            </w:r>
          </w:p>
        </w:tc>
      </w:tr>
      <w:tr w:rsidR="00AE0ADE" w:rsidRPr="00AB06F3" w14:paraId="4AB853B7" w14:textId="77777777" w:rsidTr="00C63044">
        <w:trPr>
          <w:trHeight w:val="675"/>
        </w:trPr>
        <w:tc>
          <w:tcPr>
            <w:tcW w:w="4101" w:type="dxa"/>
            <w:tcMar>
              <w:left w:w="108" w:type="dxa"/>
              <w:right w:w="108" w:type="dxa"/>
            </w:tcMar>
            <w:vAlign w:val="center"/>
          </w:tcPr>
          <w:p w14:paraId="54597CA2" w14:textId="59CE9DBB" w:rsidR="00AE0ADE" w:rsidRPr="00AB06F3" w:rsidRDefault="00B16DD4" w:rsidP="00B16DD4">
            <w:pPr>
              <w:spacing w:before="240" w:line="276" w:lineRule="auto"/>
              <w:cnfStyle w:val="001000000000" w:firstRow="0" w:lastRow="0" w:firstColumn="1" w:lastColumn="0" w:oddVBand="0" w:evenVBand="0" w:oddHBand="0" w:evenHBand="0" w:firstRowFirstColumn="0" w:firstRowLastColumn="0" w:lastRowFirstColumn="0" w:lastRowLastColumn="0"/>
              <w:rPr>
                <w:rFonts w:ascii="Verdana" w:hAnsi="Verdana" w:cs="Arial"/>
                <w:b w:val="0"/>
                <w:bCs w:val="0"/>
              </w:rPr>
            </w:pPr>
            <w:r w:rsidRPr="00B16DD4">
              <w:rPr>
                <w:rFonts w:ascii="Verdana" w:eastAsia="Verdana" w:hAnsi="Verdana" w:cs="Arial"/>
                <w:b w:val="0"/>
                <w:bCs w:val="0"/>
                <w:sz w:val="18"/>
                <w:szCs w:val="18"/>
              </w:rPr>
              <w:t>C.205.N Formas asociativas que fortalecen sus capacidades y condiciones asociativas y organizativas</w:t>
            </w:r>
          </w:p>
        </w:tc>
        <w:tc>
          <w:tcPr>
            <w:tcW w:w="1062" w:type="dxa"/>
            <w:tcMar>
              <w:left w:w="108" w:type="dxa"/>
              <w:right w:w="108" w:type="dxa"/>
            </w:tcMar>
            <w:vAlign w:val="center"/>
          </w:tcPr>
          <w:p w14:paraId="080F2E6B" w14:textId="77777777" w:rsidR="00AE0ADE" w:rsidRPr="00AB06F3" w:rsidRDefault="00AE0ADE" w:rsidP="005F457D">
            <w:pPr>
              <w:spacing w:line="276" w:lineRule="auto"/>
              <w:jc w:val="center"/>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497470FF" w14:textId="313D0B6F" w:rsidR="00AE0ADE" w:rsidRPr="00AB06F3" w:rsidRDefault="00AE0ADE" w:rsidP="005F457D">
            <w:pPr>
              <w:spacing w:line="276" w:lineRule="auto"/>
              <w:jc w:val="center"/>
              <w:rPr>
                <w:rFonts w:ascii="Verdana" w:hAnsi="Verdana" w:cs="Arial"/>
              </w:rPr>
            </w:pPr>
            <w:r w:rsidRPr="00AB06F3">
              <w:rPr>
                <w:rFonts w:ascii="Verdana" w:eastAsia="Verdana" w:hAnsi="Verdana" w:cs="Arial"/>
                <w:sz w:val="18"/>
                <w:szCs w:val="18"/>
              </w:rPr>
              <w:t>20</w:t>
            </w:r>
            <w:r w:rsidR="00B27722">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131FD456" w14:textId="554CCC74" w:rsidR="00AE0ADE" w:rsidRPr="00AB06F3" w:rsidRDefault="00AE0ADE" w:rsidP="005F457D">
            <w:pPr>
              <w:spacing w:line="276" w:lineRule="auto"/>
              <w:jc w:val="center"/>
              <w:rPr>
                <w:rFonts w:ascii="Verdana" w:hAnsi="Verdana" w:cs="Arial"/>
              </w:rPr>
            </w:pPr>
            <w:r w:rsidRPr="00AB06F3">
              <w:rPr>
                <w:rFonts w:ascii="Verdana" w:eastAsia="Verdana" w:hAnsi="Verdana" w:cs="Arial"/>
                <w:sz w:val="18"/>
                <w:szCs w:val="18"/>
              </w:rPr>
              <w:t>20</w:t>
            </w:r>
            <w:r w:rsidR="00B27722">
              <w:rPr>
                <w:rFonts w:ascii="Verdana" w:eastAsia="Verdana" w:hAnsi="Verdana" w:cs="Arial"/>
                <w:sz w:val="18"/>
                <w:szCs w:val="18"/>
              </w:rPr>
              <w:t>31</w:t>
            </w:r>
          </w:p>
        </w:tc>
        <w:tc>
          <w:tcPr>
            <w:tcW w:w="1244" w:type="dxa"/>
            <w:tcMar>
              <w:left w:w="108" w:type="dxa"/>
              <w:right w:w="108" w:type="dxa"/>
            </w:tcMar>
          </w:tcPr>
          <w:p w14:paraId="40846001" w14:textId="77777777" w:rsidR="00C527B5" w:rsidRDefault="00C527B5" w:rsidP="005F457D">
            <w:pPr>
              <w:spacing w:line="276" w:lineRule="auto"/>
              <w:jc w:val="center"/>
              <w:rPr>
                <w:rFonts w:ascii="Verdana" w:eastAsia="Verdana" w:hAnsi="Verdana" w:cs="Arial"/>
                <w:color w:val="000000" w:themeColor="text1"/>
                <w:sz w:val="18"/>
                <w:szCs w:val="18"/>
              </w:rPr>
            </w:pPr>
          </w:p>
          <w:p w14:paraId="0C4B27AC" w14:textId="77777777" w:rsidR="0065179D" w:rsidRDefault="0065179D" w:rsidP="005F457D">
            <w:pPr>
              <w:spacing w:line="276" w:lineRule="auto"/>
              <w:jc w:val="center"/>
              <w:rPr>
                <w:rFonts w:ascii="Verdana" w:eastAsia="Verdana" w:hAnsi="Verdana" w:cs="Arial"/>
                <w:color w:val="000000" w:themeColor="text1"/>
                <w:sz w:val="18"/>
                <w:szCs w:val="18"/>
              </w:rPr>
            </w:pPr>
          </w:p>
          <w:p w14:paraId="6EC65BB0" w14:textId="441DA65F" w:rsidR="00AE0ADE" w:rsidRPr="00AB06F3" w:rsidRDefault="00C527B5" w:rsidP="005F457D">
            <w:pPr>
              <w:spacing w:line="276" w:lineRule="auto"/>
              <w:jc w:val="center"/>
              <w:rPr>
                <w:rFonts w:ascii="Verdana" w:hAnsi="Verdana" w:cs="Arial"/>
              </w:rPr>
            </w:pPr>
            <w:r>
              <w:rPr>
                <w:rFonts w:ascii="Verdana" w:eastAsia="Verdana" w:hAnsi="Verdana" w:cs="Arial"/>
                <w:color w:val="000000" w:themeColor="text1"/>
                <w:sz w:val="18"/>
                <w:szCs w:val="18"/>
              </w:rPr>
              <w:t>75</w:t>
            </w:r>
            <w:r w:rsidR="00AE0ADE" w:rsidRPr="00AB06F3">
              <w:rPr>
                <w:rFonts w:ascii="Verdana" w:eastAsia="Verdana" w:hAnsi="Verdana" w:cs="Arial"/>
                <w:color w:val="000000" w:themeColor="text1"/>
                <w:sz w:val="18"/>
                <w:szCs w:val="18"/>
              </w:rPr>
              <w:t xml:space="preserve">% </w:t>
            </w:r>
          </w:p>
        </w:tc>
      </w:tr>
    </w:tbl>
    <w:p w14:paraId="2BDAEBF9" w14:textId="31C5C357" w:rsidR="00AE0ADE" w:rsidRDefault="00AE0ADE" w:rsidP="0001356F">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sidR="00FF5173">
        <w:rPr>
          <w:rFonts w:ascii="Verdana" w:eastAsia="Verdana" w:hAnsi="Verdana" w:cs="Arial"/>
          <w:sz w:val="18"/>
          <w:szCs w:val="18"/>
        </w:rPr>
        <w:t>Agencia para la Reincorporación y la Normalización</w:t>
      </w:r>
      <w:r w:rsidR="001E1F0A">
        <w:rPr>
          <w:rFonts w:ascii="Verdana" w:eastAsia="Verdana" w:hAnsi="Verdana" w:cs="Arial"/>
          <w:sz w:val="18"/>
          <w:szCs w:val="18"/>
        </w:rPr>
        <w:t xml:space="preserve">. Al </w:t>
      </w:r>
      <w:r w:rsidRPr="00AB06F3">
        <w:rPr>
          <w:rFonts w:ascii="Verdana" w:eastAsia="Verdana" w:hAnsi="Verdana" w:cs="Arial"/>
          <w:sz w:val="18"/>
          <w:szCs w:val="18"/>
        </w:rPr>
        <w:t>31 de diciembre del 202</w:t>
      </w:r>
      <w:r w:rsidR="006958DE">
        <w:rPr>
          <w:rFonts w:ascii="Verdana" w:eastAsia="Verdana" w:hAnsi="Verdana" w:cs="Arial"/>
          <w:sz w:val="18"/>
          <w:szCs w:val="18"/>
        </w:rPr>
        <w:t>5</w:t>
      </w:r>
    </w:p>
    <w:p w14:paraId="7F9D311B" w14:textId="77777777" w:rsidR="00301414" w:rsidRDefault="00301414" w:rsidP="009E02FB">
      <w:pPr>
        <w:spacing w:before="240" w:after="0" w:line="276" w:lineRule="auto"/>
        <w:rPr>
          <w:rFonts w:ascii="Verdana" w:eastAsia="Verdana" w:hAnsi="Verdana" w:cs="Arial"/>
          <w:sz w:val="18"/>
          <w:szCs w:val="18"/>
        </w:rPr>
      </w:pPr>
    </w:p>
    <w:p w14:paraId="7C0E63B3" w14:textId="77777777" w:rsidR="00A12308" w:rsidRPr="00A12308" w:rsidRDefault="006958DE" w:rsidP="00031DF5">
      <w:pPr>
        <w:pStyle w:val="Prrafodelista"/>
        <w:numPr>
          <w:ilvl w:val="0"/>
          <w:numId w:val="7"/>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03B850C6" w14:textId="50FF758D" w:rsidR="00B80D47" w:rsidRDefault="00B80D47" w:rsidP="00B80D47">
      <w:pPr>
        <w:spacing w:after="0" w:line="276" w:lineRule="auto"/>
        <w:jc w:val="both"/>
        <w:rPr>
          <w:rFonts w:ascii="Verdana" w:eastAsia="Calibri" w:hAnsi="Verdana" w:cs="Arial"/>
        </w:rPr>
      </w:pPr>
    </w:p>
    <w:p w14:paraId="0A9A2EEE" w14:textId="77777777" w:rsidR="0063679A" w:rsidRDefault="00987ECF" w:rsidP="002B2B8D">
      <w:pPr>
        <w:spacing w:after="0" w:line="276" w:lineRule="auto"/>
        <w:jc w:val="both"/>
        <w:rPr>
          <w:rFonts w:ascii="Verdana" w:eastAsia="Calibri" w:hAnsi="Verdana" w:cs="Arial"/>
        </w:rPr>
      </w:pPr>
      <w:r w:rsidRPr="00987ECF">
        <w:rPr>
          <w:rFonts w:ascii="Verdana" w:eastAsia="Calibri" w:hAnsi="Verdana" w:cs="Arial"/>
        </w:rPr>
        <w:t xml:space="preserve">Al cierre de la vigencia 2025, la medición del factor asociativo y organizativo se </w:t>
      </w:r>
      <w:r w:rsidR="003F114D">
        <w:rPr>
          <w:rFonts w:ascii="Verdana" w:eastAsia="Calibri" w:hAnsi="Verdana" w:cs="Arial"/>
        </w:rPr>
        <w:t xml:space="preserve">aplicó </w:t>
      </w:r>
      <w:r w:rsidRPr="00987ECF">
        <w:rPr>
          <w:rFonts w:ascii="Verdana" w:eastAsia="Calibri" w:hAnsi="Verdana" w:cs="Arial"/>
        </w:rPr>
        <w:t>a un total de 85 formas asociativas</w:t>
      </w:r>
      <w:r w:rsidR="00A71283">
        <w:rPr>
          <w:rFonts w:ascii="Verdana" w:eastAsia="Calibri" w:hAnsi="Verdana" w:cs="Arial"/>
        </w:rPr>
        <w:t>,</w:t>
      </w:r>
      <w:r w:rsidRPr="00987ECF">
        <w:rPr>
          <w:rFonts w:ascii="Verdana" w:eastAsia="Calibri" w:hAnsi="Verdana" w:cs="Arial"/>
        </w:rPr>
        <w:t xml:space="preserve"> </w:t>
      </w:r>
      <w:r w:rsidR="003F114D">
        <w:rPr>
          <w:rFonts w:ascii="Verdana" w:eastAsia="Calibri" w:hAnsi="Verdana" w:cs="Arial"/>
        </w:rPr>
        <w:t xml:space="preserve">de las cuales </w:t>
      </w:r>
      <w:r w:rsidRPr="00987ECF">
        <w:rPr>
          <w:rFonts w:ascii="Verdana" w:eastAsia="Calibri" w:hAnsi="Verdana" w:cs="Arial"/>
        </w:rPr>
        <w:t xml:space="preserve">64 </w:t>
      </w:r>
      <w:r w:rsidR="003F114D">
        <w:rPr>
          <w:rFonts w:ascii="Verdana" w:eastAsia="Calibri" w:hAnsi="Verdana" w:cs="Arial"/>
        </w:rPr>
        <w:t xml:space="preserve">alcanzaron el índice </w:t>
      </w:r>
      <w:r w:rsidR="003F114D">
        <w:rPr>
          <w:rFonts w:ascii="Verdana" w:eastAsia="Calibri" w:hAnsi="Verdana" w:cs="Arial"/>
        </w:rPr>
        <w:lastRenderedPageBreak/>
        <w:t>de fortalecimiento establecido</w:t>
      </w:r>
      <w:r w:rsidR="0063679A">
        <w:rPr>
          <w:rFonts w:ascii="Verdana" w:eastAsia="Calibri" w:hAnsi="Verdana" w:cs="Arial"/>
        </w:rPr>
        <w:t xml:space="preserve">, equivalente </w:t>
      </w:r>
      <w:r w:rsidRPr="00987ECF">
        <w:rPr>
          <w:rFonts w:ascii="Verdana" w:eastAsia="Calibri" w:hAnsi="Verdana" w:cs="Arial"/>
        </w:rPr>
        <w:t xml:space="preserve">al 75% de las formas asociativas activas beneficiarias de la Estrategia de Fortalecimiento Asociativo. </w:t>
      </w:r>
    </w:p>
    <w:p w14:paraId="257A4E7F" w14:textId="77777777" w:rsidR="0063679A" w:rsidRDefault="0063679A" w:rsidP="002B2B8D">
      <w:pPr>
        <w:spacing w:after="0" w:line="276" w:lineRule="auto"/>
        <w:jc w:val="both"/>
        <w:rPr>
          <w:rFonts w:ascii="Verdana" w:eastAsia="Calibri" w:hAnsi="Verdana" w:cs="Arial"/>
        </w:rPr>
      </w:pPr>
    </w:p>
    <w:p w14:paraId="11887DF5" w14:textId="45017F97" w:rsidR="00987ECF" w:rsidRDefault="0063679A" w:rsidP="002B2B8D">
      <w:pPr>
        <w:spacing w:after="0" w:line="276" w:lineRule="auto"/>
        <w:jc w:val="both"/>
        <w:rPr>
          <w:rFonts w:ascii="Verdana" w:eastAsia="Calibri" w:hAnsi="Verdana" w:cs="Arial"/>
        </w:rPr>
      </w:pPr>
      <w:r>
        <w:rPr>
          <w:rFonts w:ascii="Verdana" w:eastAsia="Calibri" w:hAnsi="Verdana" w:cs="Arial"/>
        </w:rPr>
        <w:t>Este resultado se logró mediante la</w:t>
      </w:r>
      <w:r w:rsidR="005C6CD2">
        <w:rPr>
          <w:rFonts w:ascii="Verdana" w:eastAsia="Calibri" w:hAnsi="Verdana" w:cs="Arial"/>
        </w:rPr>
        <w:t xml:space="preserve"> i</w:t>
      </w:r>
      <w:r w:rsidR="005C6CD2" w:rsidRPr="005C6CD2">
        <w:rPr>
          <w:rFonts w:ascii="Verdana" w:eastAsia="Calibri" w:hAnsi="Verdana" w:cs="Arial"/>
        </w:rPr>
        <w:t>mplementación de diferentes acciones orientadas al fortalecimiento organizativo y productivo de las formas asociativas conformadas por personas en proceso de reincorporación.</w:t>
      </w:r>
      <w:r>
        <w:rPr>
          <w:rFonts w:ascii="Verdana" w:eastAsia="Calibri" w:hAnsi="Verdana" w:cs="Arial"/>
        </w:rPr>
        <w:t xml:space="preserve"> </w:t>
      </w:r>
      <w:r w:rsidR="005C6CD2">
        <w:rPr>
          <w:rFonts w:ascii="Verdana" w:eastAsia="Calibri" w:hAnsi="Verdana" w:cs="Arial"/>
        </w:rPr>
        <w:t xml:space="preserve"> </w:t>
      </w:r>
    </w:p>
    <w:p w14:paraId="4FE8805F" w14:textId="77777777" w:rsidR="00987ECF" w:rsidRDefault="00987ECF" w:rsidP="002B2B8D">
      <w:pPr>
        <w:spacing w:after="0" w:line="276" w:lineRule="auto"/>
        <w:jc w:val="both"/>
        <w:rPr>
          <w:rFonts w:ascii="Verdana" w:eastAsia="Calibri" w:hAnsi="Verdana" w:cs="Arial"/>
        </w:rPr>
      </w:pPr>
    </w:p>
    <w:p w14:paraId="7A51E679" w14:textId="77777777" w:rsidR="0093543A" w:rsidRDefault="003F5349" w:rsidP="002B2B8D">
      <w:pPr>
        <w:spacing w:after="0" w:line="276" w:lineRule="auto"/>
        <w:jc w:val="both"/>
        <w:rPr>
          <w:rFonts w:ascii="Verdana" w:eastAsia="Calibri" w:hAnsi="Verdana" w:cs="Arial"/>
        </w:rPr>
      </w:pPr>
      <w:r w:rsidRPr="003F5349">
        <w:rPr>
          <w:rFonts w:ascii="Verdana" w:eastAsia="Calibri" w:hAnsi="Verdana" w:cs="Arial"/>
        </w:rPr>
        <w:t xml:space="preserve">En este marco, a través del </w:t>
      </w:r>
      <w:r w:rsidR="0014373A" w:rsidRPr="0014373A">
        <w:rPr>
          <w:rFonts w:ascii="Verdana" w:eastAsia="Calibri" w:hAnsi="Verdana" w:cs="Arial"/>
        </w:rPr>
        <w:t xml:space="preserve">Contrato 908 de </w:t>
      </w:r>
      <w:r w:rsidR="0014373A" w:rsidRPr="008F2E14">
        <w:rPr>
          <w:rFonts w:ascii="Verdana" w:eastAsia="Calibri" w:hAnsi="Verdana" w:cs="Arial"/>
        </w:rPr>
        <w:t>202</w:t>
      </w:r>
      <w:r w:rsidR="008F2E14">
        <w:rPr>
          <w:rFonts w:ascii="Verdana" w:eastAsia="Calibri" w:hAnsi="Verdana" w:cs="Arial"/>
        </w:rPr>
        <w:t xml:space="preserve">4, </w:t>
      </w:r>
      <w:r w:rsidR="008F2E14" w:rsidRPr="008F2E14">
        <w:rPr>
          <w:rFonts w:ascii="Verdana" w:eastAsia="Calibri" w:hAnsi="Verdana" w:cs="Arial"/>
        </w:rPr>
        <w:t>suscrito </w:t>
      </w:r>
      <w:r>
        <w:rPr>
          <w:rFonts w:ascii="Verdana" w:eastAsia="Calibri" w:hAnsi="Verdana" w:cs="Arial"/>
        </w:rPr>
        <w:t xml:space="preserve">entre el Fondo Colombia en Paz </w:t>
      </w:r>
      <w:r w:rsidR="00842200">
        <w:rPr>
          <w:rFonts w:ascii="Verdana" w:eastAsia="Calibri" w:hAnsi="Verdana" w:cs="Arial"/>
        </w:rPr>
        <w:t xml:space="preserve">y </w:t>
      </w:r>
      <w:r w:rsidR="008F2E14" w:rsidRPr="008F2E14">
        <w:rPr>
          <w:rFonts w:ascii="Verdana" w:eastAsia="Calibri" w:hAnsi="Verdana" w:cs="Arial"/>
        </w:rPr>
        <w:t xml:space="preserve">la Federación </w:t>
      </w:r>
      <w:r w:rsidR="00842200">
        <w:rPr>
          <w:rFonts w:ascii="Verdana" w:eastAsia="Calibri" w:hAnsi="Verdana" w:cs="Arial"/>
        </w:rPr>
        <w:t>N</w:t>
      </w:r>
      <w:r w:rsidR="008F2E14" w:rsidRPr="008F2E14">
        <w:rPr>
          <w:rFonts w:ascii="Verdana" w:eastAsia="Calibri" w:hAnsi="Verdana" w:cs="Arial"/>
        </w:rPr>
        <w:t xml:space="preserve">acional de </w:t>
      </w:r>
      <w:r w:rsidR="00842200">
        <w:rPr>
          <w:rFonts w:ascii="Verdana" w:eastAsia="Calibri" w:hAnsi="Verdana" w:cs="Arial"/>
        </w:rPr>
        <w:t>F</w:t>
      </w:r>
      <w:r w:rsidR="008F2E14" w:rsidRPr="008F2E14">
        <w:rPr>
          <w:rFonts w:ascii="Verdana" w:eastAsia="Calibri" w:hAnsi="Verdana" w:cs="Arial"/>
        </w:rPr>
        <w:t xml:space="preserve">ormas </w:t>
      </w:r>
      <w:r w:rsidR="00842200">
        <w:rPr>
          <w:rFonts w:ascii="Verdana" w:eastAsia="Calibri" w:hAnsi="Verdana" w:cs="Arial"/>
        </w:rPr>
        <w:t>A</w:t>
      </w:r>
      <w:r w:rsidR="008F2E14" w:rsidRPr="008F2E14">
        <w:rPr>
          <w:rFonts w:ascii="Verdana" w:eastAsia="Calibri" w:hAnsi="Verdana" w:cs="Arial"/>
        </w:rPr>
        <w:t xml:space="preserve">sociativas para las </w:t>
      </w:r>
      <w:r w:rsidR="00842200">
        <w:rPr>
          <w:rFonts w:ascii="Verdana" w:eastAsia="Calibri" w:hAnsi="Verdana" w:cs="Arial"/>
        </w:rPr>
        <w:t>E</w:t>
      </w:r>
      <w:r w:rsidR="008F2E14" w:rsidRPr="008F2E14">
        <w:rPr>
          <w:rFonts w:ascii="Verdana" w:eastAsia="Calibri" w:hAnsi="Verdana" w:cs="Arial"/>
        </w:rPr>
        <w:t xml:space="preserve">conomías </w:t>
      </w:r>
      <w:r w:rsidR="00842200">
        <w:rPr>
          <w:rFonts w:ascii="Verdana" w:eastAsia="Calibri" w:hAnsi="Verdana" w:cs="Arial"/>
        </w:rPr>
        <w:t>S</w:t>
      </w:r>
      <w:r w:rsidR="008F2E14" w:rsidRPr="008F2E14">
        <w:rPr>
          <w:rFonts w:ascii="Verdana" w:eastAsia="Calibri" w:hAnsi="Verdana" w:cs="Arial"/>
        </w:rPr>
        <w:t xml:space="preserve">ociales del </w:t>
      </w:r>
      <w:r w:rsidR="00842200">
        <w:rPr>
          <w:rFonts w:ascii="Verdana" w:eastAsia="Calibri" w:hAnsi="Verdana" w:cs="Arial"/>
        </w:rPr>
        <w:t>C</w:t>
      </w:r>
      <w:r w:rsidR="008F2E14" w:rsidRPr="008F2E14">
        <w:rPr>
          <w:rFonts w:ascii="Verdana" w:eastAsia="Calibri" w:hAnsi="Verdana" w:cs="Arial"/>
        </w:rPr>
        <w:t xml:space="preserve">omún </w:t>
      </w:r>
      <w:r w:rsidR="00842200">
        <w:rPr>
          <w:rFonts w:ascii="Verdana" w:eastAsia="Calibri" w:hAnsi="Verdana" w:cs="Arial"/>
        </w:rPr>
        <w:t>(</w:t>
      </w:r>
      <w:r w:rsidR="008F2E14" w:rsidRPr="008F2E14">
        <w:rPr>
          <w:rFonts w:ascii="Verdana" w:eastAsia="Calibri" w:hAnsi="Verdana" w:cs="Arial"/>
        </w:rPr>
        <w:t>ECOMUN</w:t>
      </w:r>
      <w:r w:rsidR="00842200">
        <w:rPr>
          <w:rFonts w:ascii="Verdana" w:eastAsia="Calibri" w:hAnsi="Verdana" w:cs="Arial"/>
        </w:rPr>
        <w:t>)</w:t>
      </w:r>
      <w:r w:rsidR="001C4D1A">
        <w:rPr>
          <w:rFonts w:ascii="Verdana" w:eastAsia="Calibri" w:hAnsi="Verdana" w:cs="Arial"/>
        </w:rPr>
        <w:t xml:space="preserve">, con la ARN como </w:t>
      </w:r>
      <w:r w:rsidR="008F2E14" w:rsidRPr="008F2E14">
        <w:rPr>
          <w:rFonts w:ascii="Verdana" w:eastAsia="Calibri" w:hAnsi="Verdana" w:cs="Arial"/>
        </w:rPr>
        <w:t>entidad ejecutora,</w:t>
      </w:r>
      <w:r w:rsidR="00C0552D">
        <w:rPr>
          <w:rFonts w:ascii="Verdana" w:eastAsia="Calibri" w:hAnsi="Verdana" w:cs="Arial"/>
        </w:rPr>
        <w:t xml:space="preserve"> </w:t>
      </w:r>
      <w:r w:rsidR="001C4D1A">
        <w:rPr>
          <w:rFonts w:ascii="Verdana" w:eastAsia="Calibri" w:hAnsi="Verdana" w:cs="Arial"/>
        </w:rPr>
        <w:t xml:space="preserve">se </w:t>
      </w:r>
      <w:r w:rsidR="0014373A" w:rsidRPr="0014373A">
        <w:rPr>
          <w:rFonts w:ascii="Verdana" w:eastAsia="Calibri" w:hAnsi="Verdana" w:cs="Arial"/>
        </w:rPr>
        <w:t xml:space="preserve">estructuró </w:t>
      </w:r>
      <w:r w:rsidR="001C4D1A">
        <w:rPr>
          <w:rFonts w:ascii="Verdana" w:eastAsia="Calibri" w:hAnsi="Verdana" w:cs="Arial"/>
        </w:rPr>
        <w:t xml:space="preserve">un proceso de </w:t>
      </w:r>
      <w:r w:rsidR="0014373A" w:rsidRPr="0014373A">
        <w:rPr>
          <w:rFonts w:ascii="Verdana" w:eastAsia="Calibri" w:hAnsi="Verdana" w:cs="Arial"/>
        </w:rPr>
        <w:t xml:space="preserve">fortalecimiento </w:t>
      </w:r>
      <w:r w:rsidR="001C4D1A">
        <w:rPr>
          <w:rFonts w:ascii="Verdana" w:eastAsia="Calibri" w:hAnsi="Verdana" w:cs="Arial"/>
        </w:rPr>
        <w:t>asociativo desarroll</w:t>
      </w:r>
      <w:r w:rsidR="0093543A">
        <w:rPr>
          <w:rFonts w:ascii="Verdana" w:eastAsia="Calibri" w:hAnsi="Verdana" w:cs="Arial"/>
        </w:rPr>
        <w:t xml:space="preserve">ado en tres </w:t>
      </w:r>
      <w:r w:rsidR="0014373A" w:rsidRPr="0014373A">
        <w:rPr>
          <w:rFonts w:ascii="Verdana" w:eastAsia="Calibri" w:hAnsi="Verdana" w:cs="Arial"/>
        </w:rPr>
        <w:t>fases</w:t>
      </w:r>
      <w:r w:rsidR="0093543A">
        <w:rPr>
          <w:rFonts w:ascii="Verdana" w:eastAsia="Calibri" w:hAnsi="Verdana" w:cs="Arial"/>
        </w:rPr>
        <w:t>:</w:t>
      </w:r>
      <w:r w:rsidR="0014373A" w:rsidRPr="0014373A">
        <w:rPr>
          <w:rFonts w:ascii="Verdana" w:eastAsia="Calibri" w:hAnsi="Verdana" w:cs="Arial"/>
        </w:rPr>
        <w:t xml:space="preserve"> alistamiento, implementación y evaluación. </w:t>
      </w:r>
    </w:p>
    <w:p w14:paraId="2FDA6306" w14:textId="77777777" w:rsidR="0093543A" w:rsidRDefault="0093543A" w:rsidP="002B2B8D">
      <w:pPr>
        <w:spacing w:after="0" w:line="276" w:lineRule="auto"/>
        <w:jc w:val="both"/>
        <w:rPr>
          <w:rFonts w:ascii="Verdana" w:eastAsia="Calibri" w:hAnsi="Verdana" w:cs="Arial"/>
        </w:rPr>
      </w:pPr>
    </w:p>
    <w:p w14:paraId="4AB8DE2B" w14:textId="6A0FA9FE" w:rsidR="00C139CD" w:rsidRDefault="0093543A" w:rsidP="002B2B8D">
      <w:pPr>
        <w:spacing w:after="0" w:line="276" w:lineRule="auto"/>
        <w:jc w:val="both"/>
        <w:rPr>
          <w:rFonts w:ascii="Verdana" w:eastAsia="Calibri" w:hAnsi="Verdana" w:cs="Arial"/>
        </w:rPr>
      </w:pPr>
      <w:r>
        <w:rPr>
          <w:rFonts w:ascii="Verdana" w:eastAsia="Calibri" w:hAnsi="Verdana" w:cs="Arial"/>
        </w:rPr>
        <w:t xml:space="preserve">Durante la fase de alistamiento </w:t>
      </w:r>
      <w:r w:rsidR="0014373A" w:rsidRPr="0014373A">
        <w:rPr>
          <w:rFonts w:ascii="Verdana" w:eastAsia="Calibri" w:hAnsi="Verdana" w:cs="Arial"/>
        </w:rPr>
        <w:t xml:space="preserve">se garantizó la </w:t>
      </w:r>
      <w:r>
        <w:rPr>
          <w:rFonts w:ascii="Verdana" w:eastAsia="Calibri" w:hAnsi="Verdana" w:cs="Arial"/>
        </w:rPr>
        <w:t xml:space="preserve">puesta </w:t>
      </w:r>
      <w:r w:rsidR="0014373A" w:rsidRPr="0014373A">
        <w:rPr>
          <w:rFonts w:ascii="Verdana" w:eastAsia="Calibri" w:hAnsi="Verdana" w:cs="Arial"/>
        </w:rPr>
        <w:t xml:space="preserve">en marcha </w:t>
      </w:r>
      <w:r>
        <w:rPr>
          <w:rFonts w:ascii="Verdana" w:eastAsia="Calibri" w:hAnsi="Verdana" w:cs="Arial"/>
        </w:rPr>
        <w:t xml:space="preserve">del proceso </w:t>
      </w:r>
      <w:r w:rsidR="0014373A" w:rsidRPr="0014373A">
        <w:rPr>
          <w:rFonts w:ascii="Verdana" w:eastAsia="Calibri" w:hAnsi="Verdana" w:cs="Arial"/>
        </w:rPr>
        <w:t xml:space="preserve">mediante la aprobación del equipo de trabajo, la socialización de la metodología con </w:t>
      </w:r>
      <w:r w:rsidR="00DF29DE">
        <w:rPr>
          <w:rFonts w:ascii="Verdana" w:eastAsia="Calibri" w:hAnsi="Verdana" w:cs="Arial"/>
        </w:rPr>
        <w:t xml:space="preserve">las </w:t>
      </w:r>
      <w:r w:rsidR="0014373A" w:rsidRPr="0014373A">
        <w:rPr>
          <w:rFonts w:ascii="Verdana" w:eastAsia="Calibri" w:hAnsi="Verdana" w:cs="Arial"/>
        </w:rPr>
        <w:t xml:space="preserve">federaciones, la definición de compromisos y el levantamiento de la línea base para caracterizar </w:t>
      </w:r>
      <w:r w:rsidR="00DF29DE">
        <w:rPr>
          <w:rFonts w:ascii="Verdana" w:eastAsia="Calibri" w:hAnsi="Verdana" w:cs="Arial"/>
        </w:rPr>
        <w:t xml:space="preserve">el </w:t>
      </w:r>
      <w:r w:rsidR="0014373A" w:rsidRPr="0014373A">
        <w:rPr>
          <w:rFonts w:ascii="Verdana" w:eastAsia="Calibri" w:hAnsi="Verdana" w:cs="Arial"/>
        </w:rPr>
        <w:t>estado organizativo</w:t>
      </w:r>
      <w:r w:rsidR="00DF29DE">
        <w:rPr>
          <w:rFonts w:ascii="Verdana" w:eastAsia="Calibri" w:hAnsi="Verdana" w:cs="Arial"/>
        </w:rPr>
        <w:t xml:space="preserve"> de las asociaciones, así como la </w:t>
      </w:r>
      <w:r w:rsidR="0014373A" w:rsidRPr="0014373A">
        <w:rPr>
          <w:rFonts w:ascii="Verdana" w:eastAsia="Calibri" w:hAnsi="Verdana" w:cs="Arial"/>
        </w:rPr>
        <w:t xml:space="preserve">formulación del plan de trabajo. </w:t>
      </w:r>
    </w:p>
    <w:p w14:paraId="194616E9" w14:textId="77777777" w:rsidR="00C139CD" w:rsidRDefault="00C139CD" w:rsidP="002B2B8D">
      <w:pPr>
        <w:spacing w:after="0" w:line="276" w:lineRule="auto"/>
        <w:jc w:val="both"/>
        <w:rPr>
          <w:rFonts w:ascii="Verdana" w:eastAsia="Calibri" w:hAnsi="Verdana" w:cs="Arial"/>
        </w:rPr>
      </w:pPr>
    </w:p>
    <w:p w14:paraId="71B6900A" w14:textId="77777777" w:rsidR="00C744E4" w:rsidRDefault="0014373A" w:rsidP="002B2B8D">
      <w:pPr>
        <w:spacing w:after="0" w:line="276" w:lineRule="auto"/>
        <w:jc w:val="both"/>
        <w:rPr>
          <w:rFonts w:ascii="Verdana" w:eastAsia="Calibri" w:hAnsi="Verdana" w:cs="Arial"/>
        </w:rPr>
      </w:pPr>
      <w:r w:rsidRPr="0014373A">
        <w:rPr>
          <w:rFonts w:ascii="Verdana" w:eastAsia="Calibri" w:hAnsi="Verdana" w:cs="Arial"/>
        </w:rPr>
        <w:t xml:space="preserve">En la fase de </w:t>
      </w:r>
      <w:r w:rsidR="00DF29DE">
        <w:rPr>
          <w:rFonts w:ascii="Verdana" w:eastAsia="Calibri" w:hAnsi="Verdana" w:cs="Arial"/>
        </w:rPr>
        <w:t>implementación</w:t>
      </w:r>
      <w:r w:rsidR="00C744E4">
        <w:rPr>
          <w:rFonts w:ascii="Verdana" w:eastAsia="Calibri" w:hAnsi="Verdana" w:cs="Arial"/>
        </w:rPr>
        <w:t xml:space="preserve"> </w:t>
      </w:r>
      <w:r w:rsidRPr="0014373A">
        <w:rPr>
          <w:rFonts w:ascii="Verdana" w:eastAsia="Calibri" w:hAnsi="Verdana" w:cs="Arial"/>
        </w:rPr>
        <w:t>se desarrollaron tres líneas de acción orientadas a</w:t>
      </w:r>
      <w:r w:rsidR="00C744E4">
        <w:rPr>
          <w:rFonts w:ascii="Verdana" w:eastAsia="Calibri" w:hAnsi="Verdana" w:cs="Arial"/>
        </w:rPr>
        <w:t>:</w:t>
      </w:r>
    </w:p>
    <w:p w14:paraId="1A9C79F5" w14:textId="77777777" w:rsidR="00C744E4" w:rsidRPr="00673253" w:rsidRDefault="00C744E4" w:rsidP="002B2B8D">
      <w:pPr>
        <w:pStyle w:val="Prrafodelista"/>
        <w:numPr>
          <w:ilvl w:val="0"/>
          <w:numId w:val="29"/>
        </w:numPr>
        <w:spacing w:after="0" w:line="276" w:lineRule="auto"/>
        <w:jc w:val="both"/>
        <w:rPr>
          <w:rFonts w:ascii="Verdana" w:eastAsia="Calibri" w:hAnsi="Verdana" w:cs="Arial"/>
        </w:rPr>
      </w:pPr>
      <w:r w:rsidRPr="00673253">
        <w:rPr>
          <w:rFonts w:ascii="Verdana" w:eastAsia="Calibri" w:hAnsi="Verdana" w:cs="Arial"/>
        </w:rPr>
        <w:t>F</w:t>
      </w:r>
      <w:r w:rsidR="0014373A" w:rsidRPr="00673253">
        <w:rPr>
          <w:rFonts w:ascii="Verdana" w:eastAsia="Calibri" w:hAnsi="Verdana" w:cs="Arial"/>
        </w:rPr>
        <w:t>ortalec</w:t>
      </w:r>
      <w:r w:rsidRPr="00673253">
        <w:rPr>
          <w:rFonts w:ascii="Verdana" w:eastAsia="Calibri" w:hAnsi="Verdana" w:cs="Arial"/>
        </w:rPr>
        <w:t xml:space="preserve">er </w:t>
      </w:r>
      <w:r w:rsidR="004F3ED2" w:rsidRPr="00673253">
        <w:rPr>
          <w:rFonts w:ascii="Verdana" w:eastAsia="Calibri" w:hAnsi="Verdana" w:cs="Arial"/>
        </w:rPr>
        <w:t xml:space="preserve">la capacidad </w:t>
      </w:r>
      <w:r w:rsidR="0014373A" w:rsidRPr="00673253">
        <w:rPr>
          <w:rFonts w:ascii="Verdana" w:eastAsia="Calibri" w:hAnsi="Verdana" w:cs="Arial"/>
        </w:rPr>
        <w:t>técnic</w:t>
      </w:r>
      <w:r w:rsidR="004F3ED2" w:rsidRPr="00673253">
        <w:rPr>
          <w:rFonts w:ascii="Verdana" w:eastAsia="Calibri" w:hAnsi="Verdana" w:cs="Arial"/>
        </w:rPr>
        <w:t>a</w:t>
      </w:r>
      <w:r w:rsidR="0014373A" w:rsidRPr="00673253">
        <w:rPr>
          <w:rFonts w:ascii="Verdana" w:eastAsia="Calibri" w:hAnsi="Verdana" w:cs="Arial"/>
        </w:rPr>
        <w:t xml:space="preserve"> y administrativ</w:t>
      </w:r>
      <w:r w:rsidR="004F3ED2" w:rsidRPr="00673253">
        <w:rPr>
          <w:rFonts w:ascii="Verdana" w:eastAsia="Calibri" w:hAnsi="Verdana" w:cs="Arial"/>
        </w:rPr>
        <w:t>a</w:t>
      </w:r>
      <w:r w:rsidR="0014373A" w:rsidRPr="00673253">
        <w:rPr>
          <w:rFonts w:ascii="Verdana" w:eastAsia="Calibri" w:hAnsi="Verdana" w:cs="Arial"/>
        </w:rPr>
        <w:t xml:space="preserve"> del instrumento financiero</w:t>
      </w:r>
      <w:r w:rsidRPr="00673253">
        <w:rPr>
          <w:rFonts w:ascii="Verdana" w:eastAsia="Calibri" w:hAnsi="Verdana" w:cs="Arial"/>
        </w:rPr>
        <w:t>.</w:t>
      </w:r>
    </w:p>
    <w:p w14:paraId="39CF243D" w14:textId="77777777" w:rsidR="00C744E4" w:rsidRPr="00673253" w:rsidRDefault="00C744E4" w:rsidP="002B2B8D">
      <w:pPr>
        <w:pStyle w:val="Prrafodelista"/>
        <w:numPr>
          <w:ilvl w:val="0"/>
          <w:numId w:val="29"/>
        </w:numPr>
        <w:spacing w:after="0" w:line="276" w:lineRule="auto"/>
        <w:jc w:val="both"/>
        <w:rPr>
          <w:rFonts w:ascii="Verdana" w:eastAsia="Calibri" w:hAnsi="Verdana" w:cs="Arial"/>
        </w:rPr>
      </w:pPr>
      <w:r w:rsidRPr="00673253">
        <w:rPr>
          <w:rFonts w:ascii="Verdana" w:eastAsia="Calibri" w:hAnsi="Verdana" w:cs="Arial"/>
        </w:rPr>
        <w:t>P</w:t>
      </w:r>
      <w:r w:rsidR="0014373A" w:rsidRPr="00673253">
        <w:rPr>
          <w:rFonts w:ascii="Verdana" w:eastAsia="Calibri" w:hAnsi="Verdana" w:cs="Arial"/>
        </w:rPr>
        <w:t>rioriza</w:t>
      </w:r>
      <w:r w:rsidRPr="00673253">
        <w:rPr>
          <w:rFonts w:ascii="Verdana" w:eastAsia="Calibri" w:hAnsi="Verdana" w:cs="Arial"/>
        </w:rPr>
        <w:t xml:space="preserve">r </w:t>
      </w:r>
      <w:r w:rsidR="0014373A" w:rsidRPr="00673253">
        <w:rPr>
          <w:rFonts w:ascii="Verdana" w:eastAsia="Calibri" w:hAnsi="Verdana" w:cs="Arial"/>
        </w:rPr>
        <w:t>y acompaña</w:t>
      </w:r>
      <w:r w:rsidRPr="00673253">
        <w:rPr>
          <w:rFonts w:ascii="Verdana" w:eastAsia="Calibri" w:hAnsi="Verdana" w:cs="Arial"/>
        </w:rPr>
        <w:t xml:space="preserve">r </w:t>
      </w:r>
      <w:r w:rsidR="0014373A" w:rsidRPr="00673253">
        <w:rPr>
          <w:rFonts w:ascii="Verdana" w:eastAsia="Calibri" w:hAnsi="Verdana" w:cs="Arial"/>
        </w:rPr>
        <w:t>22 proyectos productivos en sectores estratégicos</w:t>
      </w:r>
    </w:p>
    <w:p w14:paraId="1A14FF4E" w14:textId="77777777" w:rsidR="00673253" w:rsidRPr="00673253" w:rsidRDefault="00C744E4" w:rsidP="002B2B8D">
      <w:pPr>
        <w:pStyle w:val="Prrafodelista"/>
        <w:numPr>
          <w:ilvl w:val="0"/>
          <w:numId w:val="29"/>
        </w:numPr>
        <w:spacing w:after="0" w:line="276" w:lineRule="auto"/>
        <w:jc w:val="both"/>
        <w:rPr>
          <w:rFonts w:ascii="Verdana" w:eastAsia="Calibri" w:hAnsi="Verdana" w:cs="Arial"/>
        </w:rPr>
      </w:pPr>
      <w:r w:rsidRPr="00673253">
        <w:rPr>
          <w:rFonts w:ascii="Verdana" w:eastAsia="Calibri" w:hAnsi="Verdana" w:cs="Arial"/>
        </w:rPr>
        <w:t>C</w:t>
      </w:r>
      <w:r w:rsidR="0014373A" w:rsidRPr="00673253">
        <w:rPr>
          <w:rFonts w:ascii="Verdana" w:eastAsia="Calibri" w:hAnsi="Verdana" w:cs="Arial"/>
        </w:rPr>
        <w:t>onsolida</w:t>
      </w:r>
      <w:r w:rsidRPr="00673253">
        <w:rPr>
          <w:rFonts w:ascii="Verdana" w:eastAsia="Calibri" w:hAnsi="Verdana" w:cs="Arial"/>
        </w:rPr>
        <w:t xml:space="preserve">r el </w:t>
      </w:r>
      <w:r w:rsidR="0014373A" w:rsidRPr="00673253">
        <w:rPr>
          <w:rFonts w:ascii="Verdana" w:eastAsia="Calibri" w:hAnsi="Verdana" w:cs="Arial"/>
        </w:rPr>
        <w:t xml:space="preserve">modelo cooperativo y </w:t>
      </w:r>
      <w:r w:rsidR="00673253" w:rsidRPr="00673253">
        <w:rPr>
          <w:rFonts w:ascii="Verdana" w:eastAsia="Calibri" w:hAnsi="Verdana" w:cs="Arial"/>
        </w:rPr>
        <w:t xml:space="preserve">promover la </w:t>
      </w:r>
      <w:r w:rsidR="0014373A" w:rsidRPr="00673253">
        <w:rPr>
          <w:rFonts w:ascii="Verdana" w:eastAsia="Calibri" w:hAnsi="Verdana" w:cs="Arial"/>
        </w:rPr>
        <w:t xml:space="preserve">creación de los Centros de Gestión y Servicios (CEGES) como estrategia de acompañamiento integral. </w:t>
      </w:r>
    </w:p>
    <w:p w14:paraId="4EEEDA6C" w14:textId="77777777" w:rsidR="00673253" w:rsidRDefault="00673253" w:rsidP="002B2B8D">
      <w:pPr>
        <w:spacing w:after="0" w:line="276" w:lineRule="auto"/>
        <w:jc w:val="both"/>
        <w:rPr>
          <w:rFonts w:ascii="Verdana" w:eastAsia="Calibri" w:hAnsi="Verdana" w:cs="Arial"/>
        </w:rPr>
      </w:pPr>
    </w:p>
    <w:p w14:paraId="169C1394" w14:textId="52BF563C" w:rsidR="0014373A" w:rsidRDefault="0014373A" w:rsidP="002B2B8D">
      <w:pPr>
        <w:spacing w:after="0" w:line="276" w:lineRule="auto"/>
        <w:jc w:val="both"/>
        <w:rPr>
          <w:rFonts w:ascii="Verdana" w:eastAsia="Calibri" w:hAnsi="Verdana" w:cs="Arial"/>
        </w:rPr>
      </w:pPr>
      <w:r w:rsidRPr="0014373A">
        <w:rPr>
          <w:rFonts w:ascii="Verdana" w:eastAsia="Calibri" w:hAnsi="Verdana" w:cs="Arial"/>
        </w:rPr>
        <w:t>El proceso culminó con la aplicación de la herramienta de medición del factor organizativo y asociativo, evidenciando avances e</w:t>
      </w:r>
      <w:r w:rsidR="009953FE" w:rsidRPr="009953FE">
        <w:t xml:space="preserve"> </w:t>
      </w:r>
      <w:r w:rsidR="009953FE" w:rsidRPr="009953FE">
        <w:rPr>
          <w:rFonts w:ascii="Verdana" w:eastAsia="Calibri" w:hAnsi="Verdana" w:cs="Arial"/>
        </w:rPr>
        <w:t>significativos en las federaciones participantes.</w:t>
      </w:r>
    </w:p>
    <w:p w14:paraId="56D1DA24" w14:textId="77777777" w:rsidR="0014373A" w:rsidRPr="00987ECF" w:rsidRDefault="0014373A" w:rsidP="002B2B8D">
      <w:pPr>
        <w:spacing w:after="0" w:line="276" w:lineRule="auto"/>
        <w:jc w:val="both"/>
        <w:rPr>
          <w:rFonts w:ascii="Verdana" w:eastAsia="Calibri" w:hAnsi="Verdana" w:cs="Arial"/>
        </w:rPr>
      </w:pPr>
    </w:p>
    <w:p w14:paraId="0E2DF664" w14:textId="4E9A6BE7" w:rsidR="00C139CD" w:rsidRDefault="00AF34C0" w:rsidP="002B2B8D">
      <w:pPr>
        <w:spacing w:after="0" w:line="276" w:lineRule="auto"/>
        <w:jc w:val="both"/>
        <w:rPr>
          <w:rFonts w:ascii="Verdana" w:eastAsia="Calibri" w:hAnsi="Verdana" w:cs="Arial"/>
        </w:rPr>
      </w:pPr>
      <w:r>
        <w:rPr>
          <w:rFonts w:ascii="Verdana" w:eastAsia="Calibri" w:hAnsi="Verdana" w:cs="Arial"/>
        </w:rPr>
        <w:t>De igual manera</w:t>
      </w:r>
      <w:r w:rsidR="00037213" w:rsidRPr="00037213">
        <w:rPr>
          <w:rFonts w:ascii="Verdana" w:eastAsia="Calibri" w:hAnsi="Verdana" w:cs="Arial"/>
        </w:rPr>
        <w:t>,</w:t>
      </w:r>
      <w:r>
        <w:rPr>
          <w:rFonts w:ascii="Verdana" w:eastAsia="Calibri" w:hAnsi="Verdana" w:cs="Arial"/>
        </w:rPr>
        <w:t xml:space="preserve"> mediante </w:t>
      </w:r>
      <w:r w:rsidR="00037213" w:rsidRPr="00037213">
        <w:rPr>
          <w:rFonts w:ascii="Verdana" w:eastAsia="Calibri" w:hAnsi="Verdana" w:cs="Arial"/>
        </w:rPr>
        <w:t xml:space="preserve">el Contrato 999 de </w:t>
      </w:r>
      <w:r w:rsidR="00037213" w:rsidRPr="00C0552D">
        <w:rPr>
          <w:rFonts w:ascii="Verdana" w:eastAsia="Calibri" w:hAnsi="Verdana" w:cs="Arial"/>
        </w:rPr>
        <w:t>2024</w:t>
      </w:r>
      <w:r w:rsidR="00C0552D">
        <w:rPr>
          <w:rFonts w:ascii="Verdana" w:eastAsia="Calibri" w:hAnsi="Verdana" w:cs="Arial"/>
        </w:rPr>
        <w:t xml:space="preserve">, </w:t>
      </w:r>
      <w:r w:rsidR="00C0552D" w:rsidRPr="00C0552D">
        <w:rPr>
          <w:rFonts w:ascii="Verdana" w:eastAsia="Calibri" w:hAnsi="Verdana" w:cs="Arial"/>
        </w:rPr>
        <w:t xml:space="preserve">suscrito </w:t>
      </w:r>
      <w:r w:rsidR="000B0BFA">
        <w:rPr>
          <w:rFonts w:ascii="Verdana" w:eastAsia="Calibri" w:hAnsi="Verdana" w:cs="Arial"/>
        </w:rPr>
        <w:t xml:space="preserve">entre el Fondo Colombia en Paz y </w:t>
      </w:r>
      <w:r w:rsidR="00C0552D" w:rsidRPr="00C0552D">
        <w:rPr>
          <w:rFonts w:ascii="Verdana" w:eastAsia="Calibri" w:hAnsi="Verdana" w:cs="Arial"/>
        </w:rPr>
        <w:t>la Asociación Federación Efraín Guzmán</w:t>
      </w:r>
      <w:r w:rsidR="000B0BFA">
        <w:rPr>
          <w:rFonts w:ascii="Verdana" w:eastAsia="Calibri" w:hAnsi="Verdana" w:cs="Arial"/>
        </w:rPr>
        <w:t xml:space="preserve">, con la </w:t>
      </w:r>
      <w:r w:rsidR="00C0552D" w:rsidRPr="00C0552D">
        <w:rPr>
          <w:rFonts w:ascii="Verdana" w:eastAsia="Calibri" w:hAnsi="Verdana" w:cs="Arial"/>
        </w:rPr>
        <w:t xml:space="preserve">ARN </w:t>
      </w:r>
      <w:r w:rsidR="000B0BFA">
        <w:rPr>
          <w:rFonts w:ascii="Verdana" w:eastAsia="Calibri" w:hAnsi="Verdana" w:cs="Arial"/>
        </w:rPr>
        <w:t>como E</w:t>
      </w:r>
      <w:r w:rsidR="00C0552D" w:rsidRPr="00C0552D">
        <w:rPr>
          <w:rFonts w:ascii="Verdana" w:eastAsia="Calibri" w:hAnsi="Verdana" w:cs="Arial"/>
        </w:rPr>
        <w:t xml:space="preserve">ntidad ejecutora, </w:t>
      </w:r>
      <w:r w:rsidR="000B0BFA">
        <w:rPr>
          <w:rFonts w:ascii="Verdana" w:eastAsia="Calibri" w:hAnsi="Verdana" w:cs="Arial"/>
        </w:rPr>
        <w:t xml:space="preserve">se desarrolló </w:t>
      </w:r>
      <w:r w:rsidR="00037213" w:rsidRPr="00C0552D">
        <w:rPr>
          <w:rFonts w:ascii="Verdana" w:eastAsia="Calibri" w:hAnsi="Verdana" w:cs="Arial"/>
        </w:rPr>
        <w:t xml:space="preserve">una fase </w:t>
      </w:r>
      <w:r w:rsidR="000B0BFA">
        <w:rPr>
          <w:rFonts w:ascii="Verdana" w:eastAsia="Calibri" w:hAnsi="Verdana" w:cs="Arial"/>
        </w:rPr>
        <w:t xml:space="preserve">inicial de </w:t>
      </w:r>
      <w:r w:rsidR="00037213" w:rsidRPr="00C0552D">
        <w:rPr>
          <w:rFonts w:ascii="Verdana" w:eastAsia="Calibri" w:hAnsi="Verdana" w:cs="Arial"/>
        </w:rPr>
        <w:t>alistamiento que incluyó</w:t>
      </w:r>
      <w:r w:rsidR="00037213" w:rsidRPr="00037213">
        <w:rPr>
          <w:rFonts w:ascii="Verdana" w:eastAsia="Calibri" w:hAnsi="Verdana" w:cs="Arial"/>
        </w:rPr>
        <w:t xml:space="preserve"> la formulación del plan de trabajo, la socialización con federaciones, la definición de la ruta de fortalecimiento y la conformación del equipo técnico. </w:t>
      </w:r>
    </w:p>
    <w:p w14:paraId="2E2CE3E0" w14:textId="77777777" w:rsidR="00C139CD" w:rsidRDefault="00C139CD" w:rsidP="002B2B8D">
      <w:pPr>
        <w:spacing w:after="0" w:line="276" w:lineRule="auto"/>
        <w:jc w:val="both"/>
        <w:rPr>
          <w:rFonts w:ascii="Verdana" w:eastAsia="Calibri" w:hAnsi="Verdana" w:cs="Arial"/>
        </w:rPr>
      </w:pPr>
    </w:p>
    <w:p w14:paraId="08ADE0AB" w14:textId="5E6E8DD5" w:rsidR="00037213" w:rsidRDefault="002A12B6" w:rsidP="002B2B8D">
      <w:pPr>
        <w:spacing w:after="0" w:line="276" w:lineRule="auto"/>
        <w:jc w:val="both"/>
        <w:rPr>
          <w:rFonts w:ascii="Verdana" w:eastAsia="Calibri" w:hAnsi="Verdana" w:cs="Arial"/>
        </w:rPr>
      </w:pPr>
      <w:r>
        <w:rPr>
          <w:rFonts w:ascii="Verdana" w:eastAsia="Calibri" w:hAnsi="Verdana" w:cs="Arial"/>
        </w:rPr>
        <w:t xml:space="preserve">Posteriormente, durante la fase de </w:t>
      </w:r>
      <w:r w:rsidR="00037213" w:rsidRPr="00037213">
        <w:rPr>
          <w:rFonts w:ascii="Verdana" w:eastAsia="Calibri" w:hAnsi="Verdana" w:cs="Arial"/>
        </w:rPr>
        <w:t xml:space="preserve">implementación se desarrollaron cuatro líneas de acción </w:t>
      </w:r>
      <w:r w:rsidR="002E13D3">
        <w:rPr>
          <w:rFonts w:ascii="Verdana" w:eastAsia="Calibri" w:hAnsi="Verdana" w:cs="Arial"/>
        </w:rPr>
        <w:t xml:space="preserve">orientadas a </w:t>
      </w:r>
      <w:r w:rsidR="00037213" w:rsidRPr="00037213">
        <w:rPr>
          <w:rFonts w:ascii="Verdana" w:eastAsia="Calibri" w:hAnsi="Verdana" w:cs="Arial"/>
        </w:rPr>
        <w:t xml:space="preserve">fortalecer </w:t>
      </w:r>
      <w:r w:rsidR="002E13D3" w:rsidRPr="005C5530">
        <w:rPr>
          <w:rFonts w:ascii="Verdana" w:eastAsia="Calibri" w:hAnsi="Verdana" w:cs="Arial"/>
        </w:rPr>
        <w:t>las capacidades organizativas y productivas, enf</w:t>
      </w:r>
      <w:r w:rsidR="002E13D3" w:rsidRPr="002E13D3">
        <w:rPr>
          <w:rFonts w:ascii="Verdana" w:eastAsia="Calibri" w:hAnsi="Verdana" w:cs="Arial"/>
        </w:rPr>
        <w:t>ocadas en:</w:t>
      </w:r>
    </w:p>
    <w:p w14:paraId="7B9B578D" w14:textId="77777777" w:rsidR="002E13D3" w:rsidRDefault="002E13D3" w:rsidP="00987ECF">
      <w:pPr>
        <w:spacing w:after="0" w:line="276" w:lineRule="auto"/>
        <w:jc w:val="both"/>
        <w:rPr>
          <w:rFonts w:ascii="Verdana" w:eastAsia="Calibri" w:hAnsi="Verdana" w:cs="Arial"/>
        </w:rPr>
      </w:pPr>
    </w:p>
    <w:p w14:paraId="7B4CD55D" w14:textId="77777777" w:rsidR="005C5530" w:rsidRPr="005C5530" w:rsidRDefault="005C5530" w:rsidP="00164ED5">
      <w:pPr>
        <w:numPr>
          <w:ilvl w:val="0"/>
          <w:numId w:val="30"/>
        </w:numPr>
        <w:spacing w:after="0" w:line="276" w:lineRule="auto"/>
        <w:jc w:val="both"/>
        <w:rPr>
          <w:rFonts w:ascii="Verdana" w:eastAsia="Calibri" w:hAnsi="Verdana" w:cs="Arial"/>
        </w:rPr>
      </w:pPr>
      <w:r w:rsidRPr="005C5530">
        <w:rPr>
          <w:rFonts w:ascii="Verdana" w:eastAsia="Calibri" w:hAnsi="Verdana" w:cs="Arial"/>
        </w:rPr>
        <w:lastRenderedPageBreak/>
        <w:t>Fortalecer la integración asociativa, mediante encuentros regionales y nacionales y la construcción participativa de una política de integración.</w:t>
      </w:r>
    </w:p>
    <w:p w14:paraId="4DA245BF" w14:textId="77777777" w:rsidR="005C5530" w:rsidRPr="005C5530" w:rsidRDefault="005C5530" w:rsidP="002B2B8D">
      <w:pPr>
        <w:numPr>
          <w:ilvl w:val="0"/>
          <w:numId w:val="30"/>
        </w:numPr>
        <w:spacing w:after="0" w:line="276" w:lineRule="auto"/>
        <w:rPr>
          <w:rFonts w:ascii="Verdana" w:eastAsia="Calibri" w:hAnsi="Verdana" w:cs="Arial"/>
        </w:rPr>
      </w:pPr>
      <w:r w:rsidRPr="005C5530">
        <w:rPr>
          <w:rFonts w:ascii="Verdana" w:eastAsia="Calibri" w:hAnsi="Verdana" w:cs="Arial"/>
        </w:rPr>
        <w:t>Potenciar capacidades de gestión e incidencia, a través de laboratorios, mapeo de actores y la formulación de un plan de incidencia.</w:t>
      </w:r>
    </w:p>
    <w:p w14:paraId="655A9F0E" w14:textId="77777777" w:rsidR="005C5530" w:rsidRPr="005C5530" w:rsidRDefault="005C5530" w:rsidP="002B2B8D">
      <w:pPr>
        <w:numPr>
          <w:ilvl w:val="0"/>
          <w:numId w:val="30"/>
        </w:numPr>
        <w:spacing w:after="0" w:line="276" w:lineRule="auto"/>
        <w:rPr>
          <w:rFonts w:ascii="Verdana" w:eastAsia="Calibri" w:hAnsi="Verdana" w:cs="Arial"/>
        </w:rPr>
      </w:pPr>
      <w:r w:rsidRPr="005C5530">
        <w:rPr>
          <w:rFonts w:ascii="Verdana" w:eastAsia="Calibri" w:hAnsi="Verdana" w:cs="Arial"/>
        </w:rPr>
        <w:t>Fortalecer capacidades organizacionales, mediante diagnósticos y planes estratégicos por federación.</w:t>
      </w:r>
    </w:p>
    <w:p w14:paraId="6094C0CA" w14:textId="77777777" w:rsidR="005C5530" w:rsidRPr="005C5530" w:rsidRDefault="005C5530" w:rsidP="002B2B8D">
      <w:pPr>
        <w:numPr>
          <w:ilvl w:val="0"/>
          <w:numId w:val="30"/>
        </w:numPr>
        <w:spacing w:after="0" w:line="276" w:lineRule="auto"/>
        <w:rPr>
          <w:rFonts w:ascii="Verdana" w:eastAsia="Calibri" w:hAnsi="Verdana" w:cs="Arial"/>
        </w:rPr>
      </w:pPr>
      <w:r w:rsidRPr="005C5530">
        <w:rPr>
          <w:rFonts w:ascii="Verdana" w:eastAsia="Calibri" w:hAnsi="Verdana" w:cs="Arial"/>
        </w:rPr>
        <w:t>Promover el fortalecimiento productivo y organizativo de las bases asociativas, mediante el diseño e implementación de la Estrategia de Fomento Asociativo (EFA).</w:t>
      </w:r>
    </w:p>
    <w:p w14:paraId="7507E01E" w14:textId="77777777" w:rsidR="00037213" w:rsidRDefault="00037213" w:rsidP="00987ECF">
      <w:pPr>
        <w:spacing w:after="0" w:line="276" w:lineRule="auto"/>
        <w:jc w:val="both"/>
        <w:rPr>
          <w:rFonts w:ascii="Verdana" w:eastAsia="Calibri" w:hAnsi="Verdana" w:cs="Arial"/>
        </w:rPr>
      </w:pPr>
    </w:p>
    <w:p w14:paraId="0F5AB7EC" w14:textId="3E60E78C" w:rsidR="007E51CD" w:rsidRPr="007E51CD" w:rsidRDefault="007E51CD" w:rsidP="007E51CD">
      <w:pPr>
        <w:pStyle w:val="Descripcin"/>
        <w:keepNext/>
        <w:jc w:val="center"/>
        <w:rPr>
          <w:rFonts w:ascii="Verdana" w:eastAsia="Verdana" w:hAnsi="Verdana" w:cs="Arial"/>
          <w:i w:val="0"/>
          <w:iCs w:val="0"/>
          <w:color w:val="000000" w:themeColor="text1"/>
        </w:rPr>
      </w:pPr>
      <w:bookmarkStart w:id="6" w:name="_Toc225283115"/>
      <w:r w:rsidRPr="007E51CD">
        <w:rPr>
          <w:rFonts w:ascii="Verdana" w:eastAsia="Verdana" w:hAnsi="Verdana" w:cs="Arial"/>
          <w:i w:val="0"/>
          <w:iCs w:val="0"/>
          <w:color w:val="000000" w:themeColor="text1"/>
        </w:rPr>
        <w:t xml:space="preserve">Tabla </w:t>
      </w:r>
      <w:r w:rsidRPr="007E51CD">
        <w:rPr>
          <w:rFonts w:ascii="Verdana" w:eastAsia="Verdana" w:hAnsi="Verdana" w:cs="Arial"/>
          <w:i w:val="0"/>
          <w:iCs w:val="0"/>
          <w:color w:val="000000" w:themeColor="text1"/>
        </w:rPr>
        <w:fldChar w:fldCharType="begin"/>
      </w:r>
      <w:r w:rsidRPr="007E51CD">
        <w:rPr>
          <w:rFonts w:ascii="Verdana" w:eastAsia="Verdana" w:hAnsi="Verdana" w:cs="Arial"/>
          <w:i w:val="0"/>
          <w:iCs w:val="0"/>
          <w:color w:val="000000" w:themeColor="text1"/>
        </w:rPr>
        <w:instrText xml:space="preserve"> SEQ Tabla \* ARABIC </w:instrText>
      </w:r>
      <w:r w:rsidRPr="007E51CD">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3</w:t>
      </w:r>
      <w:r w:rsidRPr="007E51CD">
        <w:rPr>
          <w:rFonts w:ascii="Verdana" w:eastAsia="Verdana" w:hAnsi="Verdana" w:cs="Arial"/>
          <w:i w:val="0"/>
          <w:iCs w:val="0"/>
          <w:color w:val="000000" w:themeColor="text1"/>
        </w:rPr>
        <w:fldChar w:fldCharType="end"/>
      </w:r>
      <w:r w:rsidRPr="007E51CD">
        <w:rPr>
          <w:rFonts w:ascii="Verdana" w:eastAsia="Verdana" w:hAnsi="Verdana" w:cs="Arial"/>
          <w:i w:val="0"/>
          <w:iCs w:val="0"/>
          <w:color w:val="000000" w:themeColor="text1"/>
        </w:rPr>
        <w:t>. Detalle de las principales acciones del indicador C.205.N</w:t>
      </w:r>
      <w:bookmarkEnd w:id="6"/>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301414" w:rsidRPr="00AB06F3" w14:paraId="4B6C060D" w14:textId="77777777" w:rsidTr="005F457D">
        <w:trPr>
          <w:trHeight w:val="113"/>
        </w:trPr>
        <w:tc>
          <w:tcPr>
            <w:tcW w:w="1985" w:type="dxa"/>
            <w:tcMar>
              <w:left w:w="108" w:type="dxa"/>
              <w:right w:w="108" w:type="dxa"/>
            </w:tcMar>
          </w:tcPr>
          <w:p w14:paraId="5682791B" w14:textId="77777777" w:rsidR="00301414" w:rsidRPr="00436D99" w:rsidRDefault="00301414"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666CD8B3" w14:textId="77777777" w:rsidR="00301414" w:rsidRPr="00436D99" w:rsidRDefault="00301414"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78C22756" w14:textId="72060285" w:rsidR="00301414" w:rsidRPr="00436D99" w:rsidRDefault="00301414"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sidR="00941EDC">
              <w:rPr>
                <w:rFonts w:ascii="Verdana" w:eastAsia="Verdana" w:hAnsi="Verdana" w:cs="Arial"/>
                <w:b/>
                <w:bCs/>
                <w:color w:val="000000" w:themeColor="text1"/>
                <w:sz w:val="18"/>
                <w:szCs w:val="18"/>
              </w:rPr>
              <w:t>5</w:t>
            </w:r>
          </w:p>
        </w:tc>
      </w:tr>
      <w:tr w:rsidR="00301414" w:rsidRPr="00AB06F3" w14:paraId="4AE8739D" w14:textId="77777777" w:rsidTr="003B51BE">
        <w:trPr>
          <w:trHeight w:val="1639"/>
        </w:trPr>
        <w:tc>
          <w:tcPr>
            <w:tcW w:w="1985" w:type="dxa"/>
            <w:tcMar>
              <w:left w:w="108" w:type="dxa"/>
              <w:right w:w="108" w:type="dxa"/>
            </w:tcMar>
          </w:tcPr>
          <w:p w14:paraId="0A310BA6" w14:textId="45F4F43D" w:rsidR="00301414" w:rsidRPr="00AB06F3" w:rsidRDefault="0001356F" w:rsidP="00D634BC">
            <w:pPr>
              <w:spacing w:line="276" w:lineRule="auto"/>
              <w:rPr>
                <w:rFonts w:ascii="Verdana" w:hAnsi="Verdana" w:cs="Arial"/>
              </w:rPr>
            </w:pPr>
            <w:r w:rsidRPr="00B16DD4">
              <w:rPr>
                <w:rFonts w:ascii="Verdana" w:eastAsia="Verdana" w:hAnsi="Verdana" w:cs="Arial"/>
                <w:sz w:val="18"/>
                <w:szCs w:val="18"/>
              </w:rPr>
              <w:t>C.205.N Formas asociativas que fortalecen sus capacidades y condiciones asociativas y organizativas</w:t>
            </w:r>
          </w:p>
        </w:tc>
        <w:tc>
          <w:tcPr>
            <w:tcW w:w="4677" w:type="dxa"/>
            <w:tcMar>
              <w:left w:w="108" w:type="dxa"/>
              <w:right w:w="108" w:type="dxa"/>
            </w:tcMar>
          </w:tcPr>
          <w:p w14:paraId="52CFEF89" w14:textId="183614A0" w:rsidR="006B4D5B" w:rsidRDefault="00CC2DEA" w:rsidP="00D634BC">
            <w:pPr>
              <w:spacing w:line="276" w:lineRule="auto"/>
              <w:rPr>
                <w:rFonts w:ascii="Verdana" w:eastAsia="Verdana" w:hAnsi="Verdana" w:cs="Arial"/>
                <w:color w:val="000000" w:themeColor="text1"/>
                <w:sz w:val="18"/>
                <w:szCs w:val="18"/>
              </w:rPr>
            </w:pPr>
            <w:r>
              <w:rPr>
                <w:rFonts w:ascii="Verdana" w:eastAsia="Verdana" w:hAnsi="Verdana" w:cs="Arial"/>
                <w:color w:val="000000" w:themeColor="text1"/>
                <w:sz w:val="18"/>
                <w:szCs w:val="18"/>
              </w:rPr>
              <w:t>S</w:t>
            </w:r>
            <w:r w:rsidR="009E10B0">
              <w:rPr>
                <w:rFonts w:ascii="Verdana" w:eastAsia="Verdana" w:hAnsi="Verdana" w:cs="Arial"/>
                <w:color w:val="000000" w:themeColor="text1"/>
                <w:sz w:val="18"/>
                <w:szCs w:val="18"/>
              </w:rPr>
              <w:t>e</w:t>
            </w:r>
            <w:r w:rsidR="009A1EA0" w:rsidRPr="009A1EA0">
              <w:rPr>
                <w:rFonts w:ascii="Verdana" w:eastAsia="Verdana" w:hAnsi="Verdana" w:cs="Arial"/>
                <w:color w:val="000000" w:themeColor="text1"/>
                <w:sz w:val="18"/>
                <w:szCs w:val="18"/>
              </w:rPr>
              <w:t xml:space="preserve"> </w:t>
            </w:r>
            <w:r w:rsidR="005C5530">
              <w:rPr>
                <w:rFonts w:ascii="Verdana" w:eastAsia="Verdana" w:hAnsi="Verdana" w:cs="Arial"/>
                <w:color w:val="000000" w:themeColor="text1"/>
                <w:sz w:val="18"/>
                <w:szCs w:val="18"/>
              </w:rPr>
              <w:t xml:space="preserve">alcanzó </w:t>
            </w:r>
            <w:r w:rsidR="009A1EA0" w:rsidRPr="009A1EA0">
              <w:rPr>
                <w:rFonts w:ascii="Verdana" w:eastAsia="Verdana" w:hAnsi="Verdana" w:cs="Arial"/>
                <w:color w:val="000000" w:themeColor="text1"/>
                <w:sz w:val="18"/>
                <w:szCs w:val="18"/>
              </w:rPr>
              <w:t>el</w:t>
            </w:r>
            <w:r w:rsidR="009A1EA0">
              <w:rPr>
                <w:rFonts w:ascii="Verdana" w:eastAsia="Verdana" w:hAnsi="Verdana" w:cs="Arial"/>
                <w:b/>
                <w:bCs/>
                <w:color w:val="000000" w:themeColor="text1"/>
                <w:sz w:val="18"/>
                <w:szCs w:val="18"/>
              </w:rPr>
              <w:t xml:space="preserve"> </w:t>
            </w:r>
            <w:r w:rsidR="00241FE4" w:rsidRPr="00241FE4">
              <w:rPr>
                <w:rFonts w:ascii="Verdana" w:eastAsia="Verdana" w:hAnsi="Verdana" w:cs="Arial"/>
                <w:color w:val="000000" w:themeColor="text1"/>
                <w:sz w:val="18"/>
                <w:szCs w:val="18"/>
              </w:rPr>
              <w:t xml:space="preserve">75% </w:t>
            </w:r>
            <w:r w:rsidR="00047B9D">
              <w:rPr>
                <w:rFonts w:ascii="Verdana" w:eastAsia="Verdana" w:hAnsi="Verdana" w:cs="Arial"/>
                <w:color w:val="000000" w:themeColor="text1"/>
                <w:sz w:val="18"/>
                <w:szCs w:val="18"/>
              </w:rPr>
              <w:t>de cumplimiento del</w:t>
            </w:r>
            <w:r w:rsidR="00047B9D" w:rsidRPr="008743C9">
              <w:rPr>
                <w:rFonts w:ascii="Verdana" w:eastAsia="Verdana" w:hAnsi="Verdana" w:cs="Arial"/>
                <w:color w:val="000000" w:themeColor="text1"/>
                <w:sz w:val="18"/>
                <w:szCs w:val="18"/>
              </w:rPr>
              <w:t xml:space="preserve"> indicador,</w:t>
            </w:r>
            <w:r w:rsidR="009900DF" w:rsidRPr="008743C9">
              <w:rPr>
                <w:rFonts w:ascii="Verdana" w:eastAsia="Verdana" w:hAnsi="Verdana" w:cs="Arial"/>
                <w:color w:val="000000" w:themeColor="text1"/>
                <w:sz w:val="18"/>
                <w:szCs w:val="18"/>
              </w:rPr>
              <w:t xml:space="preserve"> </w:t>
            </w:r>
            <w:r w:rsidR="008743C9" w:rsidRPr="008743C9">
              <w:rPr>
                <w:rFonts w:ascii="Verdana" w:eastAsia="Verdana" w:hAnsi="Verdana" w:cs="Arial"/>
                <w:color w:val="000000" w:themeColor="text1"/>
                <w:sz w:val="18"/>
                <w:szCs w:val="18"/>
              </w:rPr>
              <w:t>equivalente a 64 de las 85 formas asociativas activas que superaron el 70% del índice de fortalecimiento organizativo.</w:t>
            </w:r>
          </w:p>
          <w:p w14:paraId="443D97E5" w14:textId="77777777" w:rsidR="006B4D5B" w:rsidRPr="008743C9" w:rsidRDefault="006B4D5B" w:rsidP="00D634BC">
            <w:pPr>
              <w:spacing w:line="276" w:lineRule="auto"/>
              <w:rPr>
                <w:rFonts w:ascii="Verdana" w:eastAsia="Verdana" w:hAnsi="Verdana" w:cs="Arial"/>
                <w:color w:val="000000" w:themeColor="text1"/>
                <w:sz w:val="18"/>
                <w:szCs w:val="18"/>
              </w:rPr>
            </w:pPr>
          </w:p>
          <w:p w14:paraId="00009D98" w14:textId="40942288" w:rsidR="00301414" w:rsidRPr="00450A9E" w:rsidRDefault="008743C9" w:rsidP="00D634BC">
            <w:pPr>
              <w:spacing w:line="276" w:lineRule="auto"/>
              <w:rPr>
                <w:rFonts w:ascii="Verdana" w:eastAsia="Verdana" w:hAnsi="Verdana" w:cs="Arial"/>
                <w:color w:val="000000" w:themeColor="text1"/>
                <w:sz w:val="18"/>
                <w:szCs w:val="18"/>
              </w:rPr>
            </w:pPr>
            <w:r w:rsidRPr="008743C9">
              <w:rPr>
                <w:rFonts w:ascii="Verdana" w:eastAsia="Verdana" w:hAnsi="Verdana" w:cs="Arial"/>
                <w:color w:val="000000" w:themeColor="text1"/>
                <w:sz w:val="18"/>
                <w:szCs w:val="18"/>
              </w:rPr>
              <w:t>Se implementaron líneas de acción con ECOMUN, incluyendo la creación de Centros de Gestión y Servicios (CEGES) y el acompañamiento a 22 proyectos productivos priorizados. Asimismo, con la Federación Efraín Guzmán se adelantaron procesos de formulación de planes estratégicos organizacionales y el desarrollo de una política de integración asociativa.</w:t>
            </w:r>
          </w:p>
        </w:tc>
        <w:tc>
          <w:tcPr>
            <w:tcW w:w="1985" w:type="dxa"/>
            <w:tcMar>
              <w:left w:w="108" w:type="dxa"/>
              <w:right w:w="108" w:type="dxa"/>
            </w:tcMar>
          </w:tcPr>
          <w:p w14:paraId="50438F97" w14:textId="5B8BD75D" w:rsidR="00301414" w:rsidRPr="00AB06F3" w:rsidRDefault="00183461" w:rsidP="00183461">
            <w:pPr>
              <w:spacing w:line="276" w:lineRule="auto"/>
              <w:jc w:val="both"/>
              <w:rPr>
                <w:rFonts w:ascii="Verdana" w:eastAsia="Verdana" w:hAnsi="Verdana" w:cs="Arial"/>
                <w:color w:val="000000" w:themeColor="text1"/>
                <w:sz w:val="18"/>
                <w:szCs w:val="18"/>
              </w:rPr>
            </w:pPr>
            <w:r w:rsidRPr="00183461">
              <w:rPr>
                <w:rFonts w:ascii="Verdana" w:eastAsia="Verdana" w:hAnsi="Verdana" w:cs="Arial"/>
                <w:color w:val="000000" w:themeColor="text1"/>
                <w:sz w:val="18"/>
                <w:szCs w:val="18"/>
              </w:rPr>
              <w:t>$2</w:t>
            </w:r>
            <w:r w:rsidR="008743C9">
              <w:rPr>
                <w:rFonts w:ascii="Verdana" w:eastAsia="Verdana" w:hAnsi="Verdana" w:cs="Arial"/>
                <w:color w:val="000000" w:themeColor="text1"/>
                <w:sz w:val="18"/>
                <w:szCs w:val="18"/>
              </w:rPr>
              <w:t>.000</w:t>
            </w:r>
            <w:r w:rsidR="001E1F0A">
              <w:rPr>
                <w:rFonts w:ascii="Verdana" w:eastAsia="Verdana" w:hAnsi="Verdana" w:cs="Arial"/>
                <w:color w:val="000000" w:themeColor="text1"/>
                <w:sz w:val="18"/>
                <w:szCs w:val="18"/>
              </w:rPr>
              <w:t>.000</w:t>
            </w:r>
            <w:r w:rsidR="00600335">
              <w:rPr>
                <w:rFonts w:ascii="Verdana" w:eastAsia="Verdana" w:hAnsi="Verdana" w:cs="Arial"/>
                <w:color w:val="000000" w:themeColor="text1"/>
                <w:sz w:val="18"/>
                <w:szCs w:val="18"/>
              </w:rPr>
              <w:t>.000</w:t>
            </w:r>
            <w:r w:rsidR="0096735B" w:rsidRPr="0096735B">
              <w:rPr>
                <w:rFonts w:ascii="Verdana" w:eastAsia="Verdana" w:hAnsi="Verdana" w:cs="Arial"/>
                <w:color w:val="000000" w:themeColor="text1"/>
                <w:sz w:val="18"/>
                <w:szCs w:val="18"/>
              </w:rPr>
              <w:t>, ejecutados a través de contratos suscritos con la Federación Nacional de Formas Asociativas para las Economías Sociales del Común – ECOMUN y la Asociación Federación Efraín Guzmán, por un valor aproximado de $1.000 millones cada uno.</w:t>
            </w:r>
          </w:p>
        </w:tc>
      </w:tr>
    </w:tbl>
    <w:p w14:paraId="516C7F5A" w14:textId="77777777" w:rsidR="00600335" w:rsidRDefault="00301414"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24"/>
          <w:szCs w:val="24"/>
        </w:rPr>
        <w:t xml:space="preserve"> </w:t>
      </w:r>
      <w:r w:rsidR="00600335" w:rsidRPr="00AB06F3">
        <w:rPr>
          <w:rFonts w:ascii="Verdana" w:eastAsia="Verdana" w:hAnsi="Verdana" w:cs="Arial"/>
          <w:sz w:val="18"/>
          <w:szCs w:val="18"/>
        </w:rPr>
        <w:t xml:space="preserve">Fuente: </w:t>
      </w:r>
      <w:r w:rsidR="00600335">
        <w:rPr>
          <w:rFonts w:ascii="Verdana" w:eastAsia="Verdana" w:hAnsi="Verdana" w:cs="Arial"/>
          <w:sz w:val="18"/>
          <w:szCs w:val="18"/>
        </w:rPr>
        <w:t xml:space="preserve">Agencia para la Reincorporación y la Normalización. Al </w:t>
      </w:r>
      <w:r w:rsidR="00600335" w:rsidRPr="00AB06F3">
        <w:rPr>
          <w:rFonts w:ascii="Verdana" w:eastAsia="Verdana" w:hAnsi="Verdana" w:cs="Arial"/>
          <w:sz w:val="18"/>
          <w:szCs w:val="18"/>
        </w:rPr>
        <w:t>31 de diciembre del 202</w:t>
      </w:r>
      <w:r w:rsidR="00600335">
        <w:rPr>
          <w:rFonts w:ascii="Verdana" w:eastAsia="Verdana" w:hAnsi="Verdana" w:cs="Arial"/>
          <w:sz w:val="18"/>
          <w:szCs w:val="18"/>
        </w:rPr>
        <w:t>5</w:t>
      </w:r>
    </w:p>
    <w:p w14:paraId="18D7C4FF" w14:textId="77777777" w:rsidR="00301414" w:rsidRPr="00AB06F3" w:rsidRDefault="00301414" w:rsidP="00301414">
      <w:pPr>
        <w:spacing w:after="0" w:line="276" w:lineRule="auto"/>
        <w:jc w:val="both"/>
        <w:rPr>
          <w:rFonts w:ascii="Verdana" w:hAnsi="Verdana" w:cs="Arial"/>
        </w:rPr>
      </w:pPr>
    </w:p>
    <w:p w14:paraId="28AD3019" w14:textId="104FC5B4" w:rsidR="00301414" w:rsidRPr="00C17B69" w:rsidRDefault="00301414" w:rsidP="00031DF5">
      <w:pPr>
        <w:pStyle w:val="Prrafodelista"/>
        <w:numPr>
          <w:ilvl w:val="0"/>
          <w:numId w:val="7"/>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w:t>
      </w:r>
      <w:r w:rsidR="00D215E9">
        <w:rPr>
          <w:rFonts w:ascii="Verdana" w:hAnsi="Verdana"/>
          <w:color w:val="000000" w:themeColor="text1"/>
          <w:sz w:val="24"/>
          <w:szCs w:val="24"/>
        </w:rPr>
        <w:t>be</w:t>
      </w:r>
      <w:r w:rsidR="008443E7" w:rsidRPr="00330B02">
        <w:rPr>
          <w:rFonts w:ascii="Verdana" w:hAnsi="Verdana"/>
          <w:color w:val="000000" w:themeColor="text1"/>
          <w:sz w:val="24"/>
          <w:szCs w:val="24"/>
        </w:rPr>
        <w:t>n</w:t>
      </w:r>
      <w:r w:rsidR="00D215E9">
        <w:rPr>
          <w:rFonts w:ascii="Verdana" w:hAnsi="Verdana"/>
          <w:color w:val="000000" w:themeColor="text1"/>
          <w:sz w:val="24"/>
          <w:szCs w:val="24"/>
        </w:rPr>
        <w:t>eficiarios</w:t>
      </w:r>
    </w:p>
    <w:p w14:paraId="6695C841" w14:textId="77777777" w:rsidR="009349EA" w:rsidRDefault="009349EA" w:rsidP="00C17B69">
      <w:pPr>
        <w:spacing w:after="0" w:line="276" w:lineRule="auto"/>
        <w:jc w:val="both"/>
        <w:rPr>
          <w:rFonts w:ascii="Verdana" w:eastAsia="Verdana" w:hAnsi="Verdana" w:cs="Arial"/>
          <w:color w:val="000000" w:themeColor="text1"/>
          <w:sz w:val="24"/>
          <w:szCs w:val="24"/>
        </w:rPr>
      </w:pPr>
    </w:p>
    <w:p w14:paraId="6DC69904" w14:textId="591DC830" w:rsidR="00C17B69" w:rsidRPr="00BE0C9B" w:rsidRDefault="00C17B69" w:rsidP="00C17B69">
      <w:pPr>
        <w:spacing w:after="0" w:line="276" w:lineRule="auto"/>
        <w:jc w:val="both"/>
        <w:rPr>
          <w:rFonts w:ascii="Verdana" w:eastAsia="Verdana" w:hAnsi="Verdana" w:cs="Arial"/>
          <w:sz w:val="24"/>
          <w:szCs w:val="24"/>
        </w:rPr>
      </w:pPr>
      <w:r w:rsidRPr="00BE0C9B">
        <w:rPr>
          <w:rFonts w:ascii="Verdana" w:eastAsia="Verdana" w:hAnsi="Verdana" w:cs="Arial"/>
          <w:sz w:val="24"/>
          <w:szCs w:val="24"/>
        </w:rPr>
        <w:t>La implementación de la estrategia permitió fortalecer 64 formas asociativas en diferentes territorios del país, contribuyendo al fortalecimiento de capacidades organizativas y productivas de organizaciones vinculadas al proceso de reincorporación.</w:t>
      </w:r>
    </w:p>
    <w:p w14:paraId="171AF12C" w14:textId="77777777" w:rsidR="00301414" w:rsidRDefault="00301414" w:rsidP="00301414">
      <w:pPr>
        <w:pStyle w:val="Prrafodelista"/>
        <w:spacing w:after="0" w:line="276" w:lineRule="auto"/>
        <w:jc w:val="both"/>
        <w:rPr>
          <w:rFonts w:ascii="Verdana" w:eastAsia="Verdana" w:hAnsi="Verdana" w:cs="Arial"/>
          <w:color w:val="000000" w:themeColor="text1"/>
          <w:sz w:val="24"/>
          <w:szCs w:val="24"/>
        </w:rPr>
      </w:pPr>
    </w:p>
    <w:p w14:paraId="40056726" w14:textId="5F5BB339" w:rsidR="00837DFA" w:rsidRPr="00837DFA" w:rsidRDefault="00837DFA" w:rsidP="00837DFA">
      <w:pPr>
        <w:pStyle w:val="Descripcin"/>
        <w:keepNext/>
        <w:jc w:val="center"/>
        <w:rPr>
          <w:rFonts w:ascii="Verdana" w:eastAsia="Verdana" w:hAnsi="Verdana" w:cs="Arial"/>
          <w:i w:val="0"/>
          <w:iCs w:val="0"/>
          <w:color w:val="000000" w:themeColor="text1"/>
        </w:rPr>
      </w:pPr>
      <w:bookmarkStart w:id="7" w:name="_Toc225283116"/>
      <w:r w:rsidRPr="00837DFA">
        <w:rPr>
          <w:rFonts w:ascii="Verdana" w:eastAsia="Verdana" w:hAnsi="Verdana" w:cs="Arial"/>
          <w:i w:val="0"/>
          <w:iCs w:val="0"/>
          <w:color w:val="000000" w:themeColor="text1"/>
        </w:rPr>
        <w:t xml:space="preserve">Tabla </w:t>
      </w:r>
      <w:r w:rsidRPr="00837DFA">
        <w:rPr>
          <w:rFonts w:ascii="Verdana" w:eastAsia="Verdana" w:hAnsi="Verdana" w:cs="Arial"/>
          <w:i w:val="0"/>
          <w:iCs w:val="0"/>
          <w:color w:val="000000" w:themeColor="text1"/>
        </w:rPr>
        <w:fldChar w:fldCharType="begin"/>
      </w:r>
      <w:r w:rsidRPr="00837DFA">
        <w:rPr>
          <w:rFonts w:ascii="Verdana" w:eastAsia="Verdana" w:hAnsi="Verdana" w:cs="Arial"/>
          <w:i w:val="0"/>
          <w:iCs w:val="0"/>
          <w:color w:val="000000" w:themeColor="text1"/>
        </w:rPr>
        <w:instrText xml:space="preserve"> SEQ Tabla \* ARABIC </w:instrText>
      </w:r>
      <w:r w:rsidRPr="00837DFA">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4</w:t>
      </w:r>
      <w:r w:rsidRPr="00837DFA">
        <w:rPr>
          <w:rFonts w:ascii="Verdana" w:eastAsia="Verdana" w:hAnsi="Verdana" w:cs="Arial"/>
          <w:i w:val="0"/>
          <w:iCs w:val="0"/>
          <w:color w:val="000000" w:themeColor="text1"/>
        </w:rPr>
        <w:fldChar w:fldCharType="end"/>
      </w:r>
      <w:r w:rsidRPr="00837DFA">
        <w:rPr>
          <w:rFonts w:ascii="Verdana" w:eastAsia="Verdana" w:hAnsi="Verdana" w:cs="Arial"/>
          <w:i w:val="0"/>
          <w:iCs w:val="0"/>
          <w:color w:val="000000" w:themeColor="text1"/>
        </w:rPr>
        <w:t>. Detalle de regionalización del indicador C.205.N</w:t>
      </w:r>
      <w:bookmarkEnd w:id="7"/>
    </w:p>
    <w:tbl>
      <w:tblPr>
        <w:tblStyle w:val="Tablaconcuadrcula1clara-nfasis4"/>
        <w:tblpPr w:leftFromText="141" w:rightFromText="141" w:vertAnchor="text" w:tblpXSpec="center" w:tblpY="1"/>
        <w:tblOverlap w:val="never"/>
        <w:tblW w:w="0" w:type="auto"/>
        <w:tblBorders>
          <w:insideH w:val="single" w:sz="6" w:space="0" w:color="FFE599" w:themeColor="accent4" w:themeTint="66"/>
          <w:insideV w:val="single" w:sz="6" w:space="0" w:color="FFE599" w:themeColor="accent4" w:themeTint="66"/>
        </w:tblBorders>
        <w:tblLook w:val="04A0" w:firstRow="1" w:lastRow="0" w:firstColumn="1" w:lastColumn="0" w:noHBand="0" w:noVBand="1"/>
        <w:tblCaption w:val="Detalle de regionalización del indicador"/>
        <w:tblDescription w:val="Tabla que contiene los siguientes items: indicador del PMI, departamento, Municipio y total de formas asociativas fortalecidas."/>
      </w:tblPr>
      <w:tblGrid>
        <w:gridCol w:w="1667"/>
        <w:gridCol w:w="2067"/>
        <w:gridCol w:w="1766"/>
      </w:tblGrid>
      <w:tr w:rsidR="0084215D" w:rsidRPr="00B40AD7" w14:paraId="290AE3EB" w14:textId="77777777" w:rsidTr="008D29AB">
        <w:trPr>
          <w:cnfStyle w:val="100000000000" w:firstRow="1" w:lastRow="0" w:firstColumn="0" w:lastColumn="0" w:oddVBand="0" w:evenVBand="0" w:oddHBand="0" w:evenHBand="0" w:firstRowFirstColumn="0" w:firstRowLastColumn="0" w:lastRowFirstColumn="0" w:lastRowLastColumn="0"/>
          <w:trHeight w:val="697"/>
          <w:tblHeader/>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6E5FB565" w14:textId="77777777" w:rsidR="0084215D" w:rsidRPr="00B40AD7" w:rsidRDefault="0084215D" w:rsidP="009404D5">
            <w:pPr>
              <w:jc w:val="center"/>
              <w:rPr>
                <w:rFonts w:ascii="Verdana" w:hAnsi="Verdana"/>
                <w:b w:val="0"/>
                <w:sz w:val="18"/>
                <w:szCs w:val="18"/>
              </w:rPr>
            </w:pPr>
            <w:r w:rsidRPr="00B40AD7">
              <w:rPr>
                <w:rFonts w:ascii="Verdana" w:hAnsi="Verdana"/>
                <w:b w:val="0"/>
                <w:sz w:val="18"/>
                <w:szCs w:val="18"/>
              </w:rPr>
              <w:t>Departamento</w:t>
            </w:r>
          </w:p>
        </w:tc>
        <w:tc>
          <w:tcPr>
            <w:tcW w:w="2067" w:type="dxa"/>
            <w:vAlign w:val="center"/>
          </w:tcPr>
          <w:p w14:paraId="68BED91A" w14:textId="77777777" w:rsidR="0084215D" w:rsidRPr="00B40AD7" w:rsidRDefault="0084215D" w:rsidP="009404D5">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B40AD7">
              <w:rPr>
                <w:rFonts w:ascii="Verdana" w:hAnsi="Verdana"/>
                <w:b w:val="0"/>
                <w:sz w:val="18"/>
                <w:szCs w:val="18"/>
              </w:rPr>
              <w:t>Municipio</w:t>
            </w:r>
          </w:p>
        </w:tc>
        <w:tc>
          <w:tcPr>
            <w:tcW w:w="1766" w:type="dxa"/>
            <w:vAlign w:val="center"/>
          </w:tcPr>
          <w:p w14:paraId="7C9BAC8F" w14:textId="24966991" w:rsidR="0084215D" w:rsidRPr="00B40AD7" w:rsidRDefault="0084215D" w:rsidP="009404D5">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sz w:val="18"/>
                <w:szCs w:val="18"/>
              </w:rPr>
            </w:pPr>
            <w:r w:rsidRPr="00B40AD7">
              <w:rPr>
                <w:rFonts w:ascii="Verdana" w:hAnsi="Verdana"/>
                <w:b w:val="0"/>
                <w:bCs w:val="0"/>
                <w:sz w:val="18"/>
                <w:szCs w:val="18"/>
              </w:rPr>
              <w:t>Total Formas asociativas Fortalecidas </w:t>
            </w:r>
          </w:p>
        </w:tc>
      </w:tr>
      <w:tr w:rsidR="0084215D" w:rsidRPr="00B40AD7" w14:paraId="063A3036" w14:textId="77777777" w:rsidTr="004D1035">
        <w:trPr>
          <w:trHeight w:val="403"/>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4C3E045C" w14:textId="750D9B95" w:rsidR="0084215D" w:rsidRPr="0084215D" w:rsidRDefault="0084215D" w:rsidP="00FF0CDC">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 xml:space="preserve">Antioquia </w:t>
            </w:r>
            <w:r w:rsidRPr="0084215D">
              <w:rPr>
                <w:rFonts w:ascii="Verdana" w:hAnsi="Verdana"/>
                <w:b w:val="0"/>
                <w:bCs w:val="0"/>
                <w:color w:val="EE0000"/>
                <w:sz w:val="18"/>
                <w:szCs w:val="18"/>
              </w:rPr>
              <w:t xml:space="preserve"> </w:t>
            </w:r>
          </w:p>
        </w:tc>
        <w:tc>
          <w:tcPr>
            <w:tcW w:w="2067" w:type="dxa"/>
            <w:vAlign w:val="center"/>
          </w:tcPr>
          <w:p w14:paraId="023A16AA" w14:textId="29B338D8" w:rsidR="0084215D" w:rsidRPr="00B40AD7" w:rsidRDefault="0084215D" w:rsidP="00FF0CDC">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Arial"/>
                <w:color w:val="000000"/>
                <w:kern w:val="0"/>
                <w:sz w:val="18"/>
                <w:szCs w:val="18"/>
                <w:lang w:eastAsia="es-CO"/>
                <w14:ligatures w14:val="none"/>
              </w:rPr>
              <w:t>Anorí</w:t>
            </w:r>
          </w:p>
        </w:tc>
        <w:tc>
          <w:tcPr>
            <w:tcW w:w="1766" w:type="dxa"/>
            <w:vAlign w:val="bottom"/>
          </w:tcPr>
          <w:p w14:paraId="3066F85C" w14:textId="5AD8866B" w:rsidR="0084215D" w:rsidRPr="00B40AD7" w:rsidRDefault="0084215D" w:rsidP="00602B3E">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Times New Roman"/>
                <w:color w:val="000000"/>
                <w:kern w:val="0"/>
                <w:sz w:val="18"/>
                <w:szCs w:val="18"/>
                <w:lang w:eastAsia="es-CO"/>
                <w14:ligatures w14:val="none"/>
              </w:rPr>
              <w:t>1</w:t>
            </w:r>
          </w:p>
        </w:tc>
      </w:tr>
      <w:tr w:rsidR="0084215D" w:rsidRPr="00B40AD7" w14:paraId="352080E4" w14:textId="77777777" w:rsidTr="008D29AB">
        <w:trPr>
          <w:trHeight w:val="270"/>
        </w:trPr>
        <w:tc>
          <w:tcPr>
            <w:cnfStyle w:val="001000000000" w:firstRow="0" w:lastRow="0" w:firstColumn="1" w:lastColumn="0" w:oddVBand="0" w:evenVBand="0" w:oddHBand="0" w:evenHBand="0" w:firstRowFirstColumn="0" w:firstRowLastColumn="0" w:lastRowFirstColumn="0" w:lastRowLastColumn="0"/>
            <w:tcW w:w="1667" w:type="dxa"/>
          </w:tcPr>
          <w:p w14:paraId="416E92F7" w14:textId="106977DB" w:rsidR="0084215D" w:rsidRPr="0084215D" w:rsidRDefault="0084215D" w:rsidP="009E3368">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lastRenderedPageBreak/>
              <w:t xml:space="preserve">Antioquia </w:t>
            </w:r>
          </w:p>
        </w:tc>
        <w:tc>
          <w:tcPr>
            <w:tcW w:w="2067" w:type="dxa"/>
            <w:vAlign w:val="center"/>
          </w:tcPr>
          <w:p w14:paraId="4A08F7C1" w14:textId="5C96ECC2" w:rsidR="0084215D" w:rsidRPr="00B40AD7" w:rsidRDefault="0084215D" w:rsidP="009E3368">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Arial"/>
                <w:color w:val="000000"/>
                <w:kern w:val="0"/>
                <w:sz w:val="18"/>
                <w:szCs w:val="18"/>
                <w:lang w:eastAsia="es-CO"/>
                <w14:ligatures w14:val="none"/>
              </w:rPr>
              <w:t>Dabeiba</w:t>
            </w:r>
          </w:p>
        </w:tc>
        <w:tc>
          <w:tcPr>
            <w:tcW w:w="1766" w:type="dxa"/>
            <w:vAlign w:val="bottom"/>
          </w:tcPr>
          <w:p w14:paraId="551581C7" w14:textId="04818979" w:rsidR="0084215D" w:rsidRPr="00B40AD7" w:rsidRDefault="0084215D" w:rsidP="009E3368">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Times New Roman"/>
                <w:color w:val="000000"/>
                <w:kern w:val="0"/>
                <w:sz w:val="18"/>
                <w:szCs w:val="18"/>
                <w:lang w:eastAsia="es-CO"/>
                <w14:ligatures w14:val="none"/>
              </w:rPr>
              <w:t>1</w:t>
            </w:r>
          </w:p>
        </w:tc>
      </w:tr>
      <w:tr w:rsidR="0084215D" w:rsidRPr="00B40AD7" w14:paraId="642C8F9B" w14:textId="77777777" w:rsidTr="008D29AB">
        <w:trPr>
          <w:trHeight w:val="286"/>
        </w:trPr>
        <w:tc>
          <w:tcPr>
            <w:cnfStyle w:val="001000000000" w:firstRow="0" w:lastRow="0" w:firstColumn="1" w:lastColumn="0" w:oddVBand="0" w:evenVBand="0" w:oddHBand="0" w:evenHBand="0" w:firstRowFirstColumn="0" w:firstRowLastColumn="0" w:lastRowFirstColumn="0" w:lastRowLastColumn="0"/>
            <w:tcW w:w="1667" w:type="dxa"/>
          </w:tcPr>
          <w:p w14:paraId="29EB1F9D" w14:textId="41372F96" w:rsidR="0084215D" w:rsidRPr="0084215D" w:rsidRDefault="0084215D" w:rsidP="009E3368">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 xml:space="preserve">Antioquia </w:t>
            </w:r>
          </w:p>
        </w:tc>
        <w:tc>
          <w:tcPr>
            <w:tcW w:w="2067" w:type="dxa"/>
            <w:vAlign w:val="center"/>
          </w:tcPr>
          <w:p w14:paraId="3C28A29A" w14:textId="540EC9CE" w:rsidR="0084215D" w:rsidRPr="00B40AD7" w:rsidRDefault="0084215D" w:rsidP="009E3368">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Arial"/>
                <w:color w:val="000000"/>
                <w:kern w:val="0"/>
                <w:sz w:val="18"/>
                <w:szCs w:val="18"/>
                <w:lang w:eastAsia="es-CO"/>
                <w14:ligatures w14:val="none"/>
              </w:rPr>
              <w:t>Mutatá</w:t>
            </w:r>
          </w:p>
        </w:tc>
        <w:tc>
          <w:tcPr>
            <w:tcW w:w="1766" w:type="dxa"/>
            <w:vAlign w:val="bottom"/>
          </w:tcPr>
          <w:p w14:paraId="7DF2BC3E" w14:textId="22C5DA4B" w:rsidR="0084215D" w:rsidRPr="00B40AD7" w:rsidRDefault="0084215D" w:rsidP="009E3368">
            <w:pPr>
              <w:jc w:val="center"/>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B40AD7">
              <w:rPr>
                <w:rFonts w:ascii="Verdana" w:eastAsia="Times New Roman" w:hAnsi="Verdana" w:cs="Times New Roman"/>
                <w:color w:val="000000"/>
                <w:kern w:val="0"/>
                <w:sz w:val="18"/>
                <w:szCs w:val="18"/>
                <w:lang w:eastAsia="es-CO"/>
                <w14:ligatures w14:val="none"/>
              </w:rPr>
              <w:t>1</w:t>
            </w:r>
          </w:p>
        </w:tc>
      </w:tr>
      <w:tr w:rsidR="0084215D" w:rsidRPr="00B40AD7" w14:paraId="5CE13AE8"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0DF6B479" w14:textId="56019BC7" w:rsidR="0084215D" w:rsidRPr="0084215D" w:rsidRDefault="0084215D" w:rsidP="009E3368">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 xml:space="preserve">Antioquia </w:t>
            </w:r>
          </w:p>
        </w:tc>
        <w:tc>
          <w:tcPr>
            <w:tcW w:w="2067" w:type="dxa"/>
            <w:vAlign w:val="center"/>
          </w:tcPr>
          <w:p w14:paraId="4C76426C" w14:textId="428BE130" w:rsidR="0084215D" w:rsidRPr="000D23D4" w:rsidRDefault="000D23D4" w:rsidP="009E3368">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0D23D4">
              <w:rPr>
                <w:rFonts w:ascii="Verdana" w:eastAsia="Times New Roman" w:hAnsi="Verdana" w:cs="Arial"/>
                <w:color w:val="000000"/>
                <w:kern w:val="0"/>
                <w:sz w:val="18"/>
                <w:szCs w:val="18"/>
                <w:lang w:eastAsia="es-CO"/>
                <w14:ligatures w14:val="none"/>
              </w:rPr>
              <w:t>Medellín</w:t>
            </w:r>
          </w:p>
        </w:tc>
        <w:tc>
          <w:tcPr>
            <w:tcW w:w="1766" w:type="dxa"/>
            <w:vAlign w:val="bottom"/>
          </w:tcPr>
          <w:p w14:paraId="6FDF1979" w14:textId="5DFF9C9C" w:rsidR="0084215D" w:rsidRPr="000D23D4" w:rsidRDefault="000D23D4" w:rsidP="009E3368">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0D23D4">
              <w:rPr>
                <w:rFonts w:ascii="Verdana" w:eastAsia="Times New Roman" w:hAnsi="Verdana" w:cs="Arial"/>
                <w:color w:val="000000"/>
                <w:kern w:val="0"/>
                <w:sz w:val="18"/>
                <w:szCs w:val="18"/>
                <w:lang w:eastAsia="es-CO"/>
                <w14:ligatures w14:val="none"/>
              </w:rPr>
              <w:t>3</w:t>
            </w:r>
          </w:p>
        </w:tc>
      </w:tr>
      <w:tr w:rsidR="001E7BF1" w:rsidRPr="00B40AD7" w14:paraId="0FBD5030"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B8978CB" w14:textId="339A64A0" w:rsidR="001E7BF1" w:rsidRPr="00DA4751" w:rsidRDefault="001E7BF1" w:rsidP="001E7BF1">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Arauca</w:t>
            </w:r>
          </w:p>
        </w:tc>
        <w:tc>
          <w:tcPr>
            <w:tcW w:w="2067" w:type="dxa"/>
            <w:vAlign w:val="center"/>
          </w:tcPr>
          <w:p w14:paraId="33EBCA08" w14:textId="45131203" w:rsidR="001E7BF1" w:rsidRPr="000D23D4" w:rsidRDefault="001E7BF1" w:rsidP="001E7BF1">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Arauca</w:t>
            </w:r>
          </w:p>
        </w:tc>
        <w:tc>
          <w:tcPr>
            <w:tcW w:w="1766" w:type="dxa"/>
            <w:vAlign w:val="bottom"/>
          </w:tcPr>
          <w:p w14:paraId="77B256EA" w14:textId="07A6C64C" w:rsidR="001E7BF1" w:rsidRPr="000D23D4" w:rsidRDefault="001E7BF1" w:rsidP="001E7BF1">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44BA77BE"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736F0149" w14:textId="7CD85DD1" w:rsidR="007E69F6" w:rsidRPr="0084215D" w:rsidRDefault="007E69F6" w:rsidP="007E69F6">
            <w:pPr>
              <w:jc w:val="center"/>
              <w:rPr>
                <w:rFonts w:ascii="Verdana" w:hAnsi="Verdana"/>
                <w:color w:val="000000" w:themeColor="text1"/>
                <w:sz w:val="18"/>
                <w:szCs w:val="18"/>
              </w:rPr>
            </w:pPr>
            <w:r w:rsidRPr="0084215D">
              <w:rPr>
                <w:rFonts w:ascii="Verdana" w:hAnsi="Verdana"/>
                <w:b w:val="0"/>
                <w:bCs w:val="0"/>
                <w:color w:val="000000" w:themeColor="text1"/>
                <w:sz w:val="18"/>
                <w:szCs w:val="18"/>
              </w:rPr>
              <w:t>Arauca</w:t>
            </w:r>
          </w:p>
        </w:tc>
        <w:tc>
          <w:tcPr>
            <w:tcW w:w="2067" w:type="dxa"/>
            <w:vAlign w:val="center"/>
          </w:tcPr>
          <w:p w14:paraId="049142F0" w14:textId="44726D44"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Arauquita</w:t>
            </w:r>
          </w:p>
        </w:tc>
        <w:tc>
          <w:tcPr>
            <w:tcW w:w="1766" w:type="dxa"/>
            <w:vAlign w:val="bottom"/>
          </w:tcPr>
          <w:p w14:paraId="53C19693" w14:textId="3304BCB7" w:rsidR="007E69F6" w:rsidRPr="00B40AD7" w:rsidRDefault="001E032B"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7E69F6" w:rsidRPr="00B40AD7" w14:paraId="6EA40158"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7011BFB" w14:textId="04E7A403" w:rsidR="007E69F6" w:rsidRPr="0084215D" w:rsidRDefault="007E69F6" w:rsidP="007E69F6">
            <w:pPr>
              <w:jc w:val="center"/>
              <w:rPr>
                <w:rFonts w:ascii="Verdana" w:hAnsi="Verdana"/>
                <w:color w:val="000000" w:themeColor="text1"/>
                <w:sz w:val="18"/>
                <w:szCs w:val="18"/>
              </w:rPr>
            </w:pPr>
            <w:r w:rsidRPr="0084215D">
              <w:rPr>
                <w:rFonts w:ascii="Verdana" w:hAnsi="Verdana"/>
                <w:b w:val="0"/>
                <w:bCs w:val="0"/>
                <w:color w:val="000000" w:themeColor="text1"/>
                <w:sz w:val="18"/>
                <w:szCs w:val="18"/>
              </w:rPr>
              <w:t>Arauca</w:t>
            </w:r>
          </w:p>
        </w:tc>
        <w:tc>
          <w:tcPr>
            <w:tcW w:w="2067" w:type="dxa"/>
            <w:vAlign w:val="center"/>
          </w:tcPr>
          <w:p w14:paraId="509B1FCF" w14:textId="1B42CD8A" w:rsidR="007E69F6" w:rsidRPr="00B40AD7" w:rsidRDefault="001E032B"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Fortul</w:t>
            </w:r>
          </w:p>
        </w:tc>
        <w:tc>
          <w:tcPr>
            <w:tcW w:w="1766" w:type="dxa"/>
            <w:vAlign w:val="bottom"/>
          </w:tcPr>
          <w:p w14:paraId="6A2027CE" w14:textId="6CD3EE3D" w:rsidR="007E69F6" w:rsidRPr="00B40AD7" w:rsidRDefault="001E032B"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6BDED00D"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45E38E4F" w14:textId="718D13A2" w:rsidR="007E69F6" w:rsidRPr="0084215D" w:rsidRDefault="007E69F6" w:rsidP="007E69F6">
            <w:pPr>
              <w:jc w:val="center"/>
              <w:rPr>
                <w:rFonts w:ascii="Verdana" w:hAnsi="Verdana"/>
                <w:b w:val="0"/>
                <w:bCs w:val="0"/>
                <w:color w:val="EE0000"/>
                <w:sz w:val="18"/>
                <w:szCs w:val="18"/>
              </w:rPr>
            </w:pPr>
            <w:r w:rsidRPr="0084215D">
              <w:rPr>
                <w:rFonts w:ascii="Verdana" w:eastAsia="Times New Roman" w:hAnsi="Verdana" w:cs="Arial"/>
                <w:b w:val="0"/>
                <w:bCs w:val="0"/>
                <w:color w:val="000000"/>
                <w:kern w:val="0"/>
                <w:sz w:val="18"/>
                <w:szCs w:val="18"/>
                <w:lang w:eastAsia="es-CO"/>
                <w14:ligatures w14:val="none"/>
              </w:rPr>
              <w:t>Bogotá, D.C.</w:t>
            </w:r>
          </w:p>
        </w:tc>
        <w:tc>
          <w:tcPr>
            <w:tcW w:w="2067" w:type="dxa"/>
            <w:vAlign w:val="center"/>
          </w:tcPr>
          <w:p w14:paraId="45D748B6" w14:textId="76CEADF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Bogotá, D.C.</w:t>
            </w:r>
          </w:p>
        </w:tc>
        <w:tc>
          <w:tcPr>
            <w:tcW w:w="1766" w:type="dxa"/>
            <w:vAlign w:val="bottom"/>
          </w:tcPr>
          <w:p w14:paraId="6F0D4A0D" w14:textId="567FA44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4</w:t>
            </w:r>
          </w:p>
        </w:tc>
      </w:tr>
      <w:tr w:rsidR="007E69F6" w:rsidRPr="00B40AD7" w14:paraId="1299D0D8"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63DC467C" w14:textId="187CD61F" w:rsidR="007E69F6" w:rsidRPr="0084215D" w:rsidRDefault="007E69F6" w:rsidP="007E69F6">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Bolivar</w:t>
            </w:r>
          </w:p>
        </w:tc>
        <w:tc>
          <w:tcPr>
            <w:tcW w:w="2067" w:type="dxa"/>
            <w:vAlign w:val="center"/>
          </w:tcPr>
          <w:p w14:paraId="1488FBE9" w14:textId="56ADBD34" w:rsidR="007E69F6" w:rsidRPr="00B40AD7" w:rsidRDefault="001E032B"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Cartagena</w:t>
            </w:r>
          </w:p>
        </w:tc>
        <w:tc>
          <w:tcPr>
            <w:tcW w:w="1766" w:type="dxa"/>
            <w:vAlign w:val="bottom"/>
          </w:tcPr>
          <w:p w14:paraId="6634CC98" w14:textId="2E7F0E18" w:rsidR="007E69F6" w:rsidRPr="00B40AD7" w:rsidRDefault="00F8272D"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7E69F6" w:rsidRPr="00B40AD7" w14:paraId="49581466"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A550EE7" w14:textId="56191ED4" w:rsidR="007E69F6" w:rsidRPr="0084215D" w:rsidRDefault="007E69F6" w:rsidP="007E69F6">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Bolivar</w:t>
            </w:r>
          </w:p>
        </w:tc>
        <w:tc>
          <w:tcPr>
            <w:tcW w:w="2067" w:type="dxa"/>
            <w:vAlign w:val="center"/>
          </w:tcPr>
          <w:p w14:paraId="7C297D45" w14:textId="23D33C1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El Carmen De Bolívar</w:t>
            </w:r>
          </w:p>
        </w:tc>
        <w:tc>
          <w:tcPr>
            <w:tcW w:w="1766" w:type="dxa"/>
            <w:vAlign w:val="bottom"/>
          </w:tcPr>
          <w:p w14:paraId="5EB7B999" w14:textId="5BCAD49F"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55DDC023"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5D1B7C7" w14:textId="452089C0" w:rsidR="007E69F6" w:rsidRPr="0084215D" w:rsidRDefault="007E69F6" w:rsidP="007E69F6">
            <w:pPr>
              <w:jc w:val="center"/>
              <w:rPr>
                <w:rFonts w:ascii="Verdana" w:hAnsi="Verdana"/>
                <w:b w:val="0"/>
                <w:bCs w:val="0"/>
                <w:color w:val="EE0000"/>
                <w:sz w:val="18"/>
                <w:szCs w:val="18"/>
              </w:rPr>
            </w:pPr>
            <w:r w:rsidRPr="0084215D">
              <w:rPr>
                <w:rFonts w:ascii="Verdana" w:hAnsi="Verdana"/>
                <w:b w:val="0"/>
                <w:bCs w:val="0"/>
                <w:color w:val="000000" w:themeColor="text1"/>
                <w:sz w:val="18"/>
                <w:szCs w:val="18"/>
              </w:rPr>
              <w:t>Bolivar</w:t>
            </w:r>
          </w:p>
        </w:tc>
        <w:tc>
          <w:tcPr>
            <w:tcW w:w="2067" w:type="dxa"/>
            <w:vAlign w:val="center"/>
          </w:tcPr>
          <w:p w14:paraId="5983F8D3" w14:textId="6C7BB1C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 Jacinto</w:t>
            </w:r>
          </w:p>
        </w:tc>
        <w:tc>
          <w:tcPr>
            <w:tcW w:w="1766" w:type="dxa"/>
            <w:vAlign w:val="bottom"/>
          </w:tcPr>
          <w:p w14:paraId="36EDA4F3" w14:textId="0AF0FD89"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442BA247"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0281926" w14:textId="6AFBFC1D"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Caldas</w:t>
            </w:r>
          </w:p>
        </w:tc>
        <w:tc>
          <w:tcPr>
            <w:tcW w:w="2067" w:type="dxa"/>
            <w:vAlign w:val="center"/>
          </w:tcPr>
          <w:p w14:paraId="2D59B1E1" w14:textId="5C7EF20B"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Riosucio</w:t>
            </w:r>
          </w:p>
        </w:tc>
        <w:tc>
          <w:tcPr>
            <w:tcW w:w="1766" w:type="dxa"/>
            <w:vAlign w:val="bottom"/>
          </w:tcPr>
          <w:p w14:paraId="6509CDDE" w14:textId="570C1614"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288B17EF"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20476056" w14:textId="211F7E24"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Cauca</w:t>
            </w:r>
          </w:p>
        </w:tc>
        <w:tc>
          <w:tcPr>
            <w:tcW w:w="2067" w:type="dxa"/>
            <w:vAlign w:val="center"/>
          </w:tcPr>
          <w:p w14:paraId="6D4774FE" w14:textId="7BD20F95" w:rsidR="007E69F6" w:rsidRPr="00B40AD7" w:rsidRDefault="007178CE"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Caldono</w:t>
            </w:r>
          </w:p>
        </w:tc>
        <w:tc>
          <w:tcPr>
            <w:tcW w:w="1766" w:type="dxa"/>
            <w:vAlign w:val="bottom"/>
          </w:tcPr>
          <w:p w14:paraId="6960257D" w14:textId="3DBAB0C8"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442D0787"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16BB08BA" w14:textId="3F6D9863"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204A97AC" w14:textId="3DA099F5"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Caloto</w:t>
            </w:r>
          </w:p>
        </w:tc>
        <w:tc>
          <w:tcPr>
            <w:tcW w:w="1766" w:type="dxa"/>
            <w:vAlign w:val="bottom"/>
          </w:tcPr>
          <w:p w14:paraId="68A95BA0" w14:textId="51EC28F0"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273088C4"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001FB630" w14:textId="6A7BF2E4"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5B9CF979" w14:textId="3A6096F3"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Corinto</w:t>
            </w:r>
          </w:p>
        </w:tc>
        <w:tc>
          <w:tcPr>
            <w:tcW w:w="1766" w:type="dxa"/>
            <w:vAlign w:val="bottom"/>
          </w:tcPr>
          <w:p w14:paraId="301B6CFA" w14:textId="42806826"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65BEEC96"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20A936CB" w14:textId="3022085E"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16A7CE62" w14:textId="66CBDDCC"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El Tambo</w:t>
            </w:r>
          </w:p>
        </w:tc>
        <w:tc>
          <w:tcPr>
            <w:tcW w:w="1766" w:type="dxa"/>
            <w:vAlign w:val="bottom"/>
          </w:tcPr>
          <w:p w14:paraId="3EA547C3" w14:textId="4E5FA421"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34C6620E"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638FD52F" w14:textId="24A7DB70"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1FF26263" w14:textId="0F12BD00"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Miranda</w:t>
            </w:r>
          </w:p>
        </w:tc>
        <w:tc>
          <w:tcPr>
            <w:tcW w:w="1766" w:type="dxa"/>
            <w:vAlign w:val="bottom"/>
          </w:tcPr>
          <w:p w14:paraId="30B54289" w14:textId="15B1DC89"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3B0422D5"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54E15A6E" w14:textId="569A10A2"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645723E5" w14:textId="5007DFDD"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Patía</w:t>
            </w:r>
          </w:p>
        </w:tc>
        <w:tc>
          <w:tcPr>
            <w:tcW w:w="1766" w:type="dxa"/>
            <w:vAlign w:val="bottom"/>
          </w:tcPr>
          <w:p w14:paraId="7E0904A5" w14:textId="6301D647"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6913E9B5"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14B5B9D8" w14:textId="6F7CF27C"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1AA7491F" w14:textId="588654A8"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Popayán</w:t>
            </w:r>
          </w:p>
        </w:tc>
        <w:tc>
          <w:tcPr>
            <w:tcW w:w="1766" w:type="dxa"/>
            <w:vAlign w:val="bottom"/>
          </w:tcPr>
          <w:p w14:paraId="1EACDFD6" w14:textId="320B4E31"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C83D8E" w:rsidRPr="00B40AD7" w14:paraId="6C1066F5"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7D45876B" w14:textId="276F84DF"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6F690203" w14:textId="519D8570"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Santander de Quilichao</w:t>
            </w:r>
          </w:p>
        </w:tc>
        <w:tc>
          <w:tcPr>
            <w:tcW w:w="1766" w:type="dxa"/>
            <w:vAlign w:val="bottom"/>
          </w:tcPr>
          <w:p w14:paraId="2A7F2DE5" w14:textId="7B79997C"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C83D8E" w:rsidRPr="00B40AD7" w14:paraId="3D366152" w14:textId="77777777" w:rsidTr="005F457D">
        <w:trPr>
          <w:trHeight w:val="252"/>
        </w:trPr>
        <w:tc>
          <w:tcPr>
            <w:cnfStyle w:val="001000000000" w:firstRow="0" w:lastRow="0" w:firstColumn="1" w:lastColumn="0" w:oddVBand="0" w:evenVBand="0" w:oddHBand="0" w:evenHBand="0" w:firstRowFirstColumn="0" w:firstRowLastColumn="0" w:lastRowFirstColumn="0" w:lastRowLastColumn="0"/>
            <w:tcW w:w="1667" w:type="dxa"/>
          </w:tcPr>
          <w:p w14:paraId="1EE91023" w14:textId="7C49225E" w:rsidR="00C83D8E" w:rsidRPr="0084215D" w:rsidRDefault="00C83D8E" w:rsidP="00C83D8E">
            <w:pPr>
              <w:jc w:val="center"/>
              <w:rPr>
                <w:rFonts w:ascii="Verdana" w:hAnsi="Verdana"/>
                <w:color w:val="000000" w:themeColor="text1"/>
                <w:sz w:val="18"/>
                <w:szCs w:val="18"/>
              </w:rPr>
            </w:pPr>
            <w:r w:rsidRPr="00146226">
              <w:rPr>
                <w:rFonts w:ascii="Verdana" w:hAnsi="Verdana"/>
                <w:b w:val="0"/>
                <w:bCs w:val="0"/>
                <w:color w:val="000000" w:themeColor="text1"/>
                <w:sz w:val="18"/>
                <w:szCs w:val="18"/>
              </w:rPr>
              <w:t>Cauca</w:t>
            </w:r>
          </w:p>
        </w:tc>
        <w:tc>
          <w:tcPr>
            <w:tcW w:w="2067" w:type="dxa"/>
            <w:vAlign w:val="center"/>
          </w:tcPr>
          <w:p w14:paraId="6E1CC736" w14:textId="46AA6B14" w:rsidR="00C83D8E"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Timbío</w:t>
            </w:r>
          </w:p>
        </w:tc>
        <w:tc>
          <w:tcPr>
            <w:tcW w:w="1766" w:type="dxa"/>
            <w:vAlign w:val="bottom"/>
          </w:tcPr>
          <w:p w14:paraId="611351CF" w14:textId="24C33EE3" w:rsidR="00C83D8E" w:rsidRPr="00B40AD7" w:rsidRDefault="00C83D8E" w:rsidP="00C83D8E">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365790AA"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46283CED" w14:textId="5D27F924"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Cesar</w:t>
            </w:r>
          </w:p>
        </w:tc>
        <w:tc>
          <w:tcPr>
            <w:tcW w:w="2067" w:type="dxa"/>
            <w:vAlign w:val="center"/>
          </w:tcPr>
          <w:p w14:paraId="10B638C7" w14:textId="688594BC"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 xml:space="preserve">Manaure </w:t>
            </w:r>
          </w:p>
        </w:tc>
        <w:tc>
          <w:tcPr>
            <w:tcW w:w="1766" w:type="dxa"/>
            <w:vAlign w:val="bottom"/>
          </w:tcPr>
          <w:p w14:paraId="39ACD441" w14:textId="3F6283C4" w:rsidR="007E69F6" w:rsidRPr="00B40AD7" w:rsidRDefault="003E204C"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026575E4"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4CE672EB" w14:textId="58B387BD"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Cundinamarca</w:t>
            </w:r>
          </w:p>
        </w:tc>
        <w:tc>
          <w:tcPr>
            <w:tcW w:w="2067" w:type="dxa"/>
            <w:vAlign w:val="center"/>
          </w:tcPr>
          <w:p w14:paraId="3FD37960" w14:textId="1632CAEB"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Fusagasugá</w:t>
            </w:r>
          </w:p>
        </w:tc>
        <w:tc>
          <w:tcPr>
            <w:tcW w:w="1766" w:type="dxa"/>
            <w:vAlign w:val="bottom"/>
          </w:tcPr>
          <w:p w14:paraId="2EE42B7F" w14:textId="61B1C326"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E69F6" w:rsidRPr="00B40AD7" w14:paraId="05EA3C9C"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20D7E7E5" w14:textId="7FB2AA5B"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Cundinamarca</w:t>
            </w:r>
          </w:p>
        </w:tc>
        <w:tc>
          <w:tcPr>
            <w:tcW w:w="2067" w:type="dxa"/>
            <w:vAlign w:val="center"/>
          </w:tcPr>
          <w:p w14:paraId="15E7F584" w14:textId="2F63685B"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Soacha</w:t>
            </w:r>
          </w:p>
        </w:tc>
        <w:tc>
          <w:tcPr>
            <w:tcW w:w="1766" w:type="dxa"/>
            <w:vAlign w:val="bottom"/>
          </w:tcPr>
          <w:p w14:paraId="7EC27AB4" w14:textId="191646B2"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2</w:t>
            </w:r>
          </w:p>
        </w:tc>
      </w:tr>
      <w:tr w:rsidR="007E69F6" w:rsidRPr="00B40AD7" w14:paraId="1122B990"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30459DF" w14:textId="42E15C0A" w:rsidR="007E69F6" w:rsidRPr="0084215D" w:rsidRDefault="007E69F6" w:rsidP="007E69F6">
            <w:pPr>
              <w:jc w:val="center"/>
              <w:rPr>
                <w:rFonts w:ascii="Verdana" w:hAnsi="Verdana"/>
                <w:b w:val="0"/>
                <w:bCs w:val="0"/>
                <w:color w:val="000000" w:themeColor="text1"/>
                <w:sz w:val="18"/>
                <w:szCs w:val="18"/>
              </w:rPr>
            </w:pPr>
            <w:r w:rsidRPr="0084215D">
              <w:rPr>
                <w:rFonts w:ascii="Verdana" w:eastAsia="Times New Roman" w:hAnsi="Verdana" w:cs="Arial"/>
                <w:b w:val="0"/>
                <w:bCs w:val="0"/>
                <w:color w:val="000000"/>
                <w:kern w:val="0"/>
                <w:sz w:val="18"/>
                <w:szCs w:val="18"/>
                <w:lang w:eastAsia="es-CO"/>
                <w14:ligatures w14:val="none"/>
              </w:rPr>
              <w:t>Chocó</w:t>
            </w:r>
          </w:p>
        </w:tc>
        <w:tc>
          <w:tcPr>
            <w:tcW w:w="2067" w:type="dxa"/>
            <w:vAlign w:val="center"/>
          </w:tcPr>
          <w:p w14:paraId="68F8A1B7" w14:textId="0714654B"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Quibdó</w:t>
            </w:r>
          </w:p>
        </w:tc>
        <w:tc>
          <w:tcPr>
            <w:tcW w:w="1766" w:type="dxa"/>
            <w:vAlign w:val="bottom"/>
          </w:tcPr>
          <w:p w14:paraId="2560E44A" w14:textId="446C328F" w:rsidR="007E69F6" w:rsidRPr="00B40AD7" w:rsidRDefault="00793FDF"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24224" w:rsidRPr="00B40AD7" w14:paraId="3F633C2D"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3797BAF7" w14:textId="46222DF4" w:rsidR="00724224" w:rsidRPr="0084215D" w:rsidRDefault="00724224" w:rsidP="007E69F6">
            <w:pPr>
              <w:jc w:val="center"/>
              <w:rPr>
                <w:rFonts w:ascii="Verdana" w:eastAsia="Times New Roman" w:hAnsi="Verdana" w:cs="Arial"/>
                <w:color w:val="000000"/>
                <w:kern w:val="0"/>
                <w:sz w:val="18"/>
                <w:szCs w:val="18"/>
                <w:lang w:eastAsia="es-CO"/>
                <w14:ligatures w14:val="none"/>
              </w:rPr>
            </w:pPr>
            <w:r w:rsidRPr="00793FDF">
              <w:rPr>
                <w:rFonts w:ascii="Verdana" w:eastAsia="Times New Roman" w:hAnsi="Verdana" w:cs="Arial"/>
                <w:b w:val="0"/>
                <w:bCs w:val="0"/>
                <w:color w:val="000000"/>
                <w:kern w:val="0"/>
                <w:sz w:val="18"/>
                <w:szCs w:val="18"/>
                <w:lang w:eastAsia="es-CO"/>
                <w14:ligatures w14:val="none"/>
              </w:rPr>
              <w:t>Guaviare</w:t>
            </w:r>
          </w:p>
        </w:tc>
        <w:tc>
          <w:tcPr>
            <w:tcW w:w="2067" w:type="dxa"/>
            <w:vAlign w:val="center"/>
          </w:tcPr>
          <w:p w14:paraId="52EC6634" w14:textId="49FA65BE" w:rsidR="00724224" w:rsidRPr="00B40AD7" w:rsidRDefault="00724224"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San José del Guaviare</w:t>
            </w:r>
          </w:p>
        </w:tc>
        <w:tc>
          <w:tcPr>
            <w:tcW w:w="1766" w:type="dxa"/>
            <w:vAlign w:val="bottom"/>
          </w:tcPr>
          <w:p w14:paraId="5219B5E0" w14:textId="0A3DDC5D" w:rsidR="00724224" w:rsidRPr="00B40AD7" w:rsidRDefault="00793FDF"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3</w:t>
            </w:r>
          </w:p>
        </w:tc>
      </w:tr>
      <w:tr w:rsidR="007E69F6" w:rsidRPr="00B40AD7" w14:paraId="5750E11E"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139B67F" w14:textId="3AB7BDFB"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Huila</w:t>
            </w:r>
          </w:p>
        </w:tc>
        <w:tc>
          <w:tcPr>
            <w:tcW w:w="2067" w:type="dxa"/>
            <w:vAlign w:val="center"/>
          </w:tcPr>
          <w:p w14:paraId="2E1B078B" w14:textId="366B1A39"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Neiva</w:t>
            </w:r>
          </w:p>
        </w:tc>
        <w:tc>
          <w:tcPr>
            <w:tcW w:w="1766" w:type="dxa"/>
            <w:vAlign w:val="bottom"/>
          </w:tcPr>
          <w:p w14:paraId="5DFD3E6E" w14:textId="21B87090"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793FDF" w:rsidRPr="00B40AD7" w14:paraId="2379C408"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6191E4B3" w14:textId="245F4C7F" w:rsidR="00793FDF" w:rsidRPr="00B1156A" w:rsidRDefault="00793FDF" w:rsidP="007E69F6">
            <w:pPr>
              <w:jc w:val="center"/>
              <w:rPr>
                <w:rFonts w:ascii="Verdana" w:hAnsi="Verdana"/>
                <w:b w:val="0"/>
                <w:bCs w:val="0"/>
                <w:color w:val="000000" w:themeColor="text1"/>
                <w:sz w:val="18"/>
                <w:szCs w:val="18"/>
              </w:rPr>
            </w:pPr>
            <w:r w:rsidRPr="00B1156A">
              <w:rPr>
                <w:rFonts w:ascii="Verdana" w:hAnsi="Verdana"/>
                <w:b w:val="0"/>
                <w:bCs w:val="0"/>
                <w:color w:val="000000" w:themeColor="text1"/>
                <w:sz w:val="18"/>
                <w:szCs w:val="18"/>
              </w:rPr>
              <w:t>La Guajira</w:t>
            </w:r>
          </w:p>
        </w:tc>
        <w:tc>
          <w:tcPr>
            <w:tcW w:w="2067" w:type="dxa"/>
            <w:vAlign w:val="center"/>
          </w:tcPr>
          <w:p w14:paraId="34FF921A" w14:textId="3533D4A6" w:rsidR="00793FDF" w:rsidRPr="00B40AD7" w:rsidRDefault="00B1156A"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Fonseca</w:t>
            </w:r>
          </w:p>
        </w:tc>
        <w:tc>
          <w:tcPr>
            <w:tcW w:w="1766" w:type="dxa"/>
            <w:vAlign w:val="bottom"/>
          </w:tcPr>
          <w:p w14:paraId="4B94B893" w14:textId="2071B142" w:rsidR="00793FDF" w:rsidRPr="00B40AD7" w:rsidRDefault="00B1156A"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28587D62"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4BB4C81" w14:textId="7DBAE428"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Meta</w:t>
            </w:r>
          </w:p>
        </w:tc>
        <w:tc>
          <w:tcPr>
            <w:tcW w:w="2067" w:type="dxa"/>
            <w:vAlign w:val="center"/>
          </w:tcPr>
          <w:p w14:paraId="3072DBB6" w14:textId="3184D394"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Acacías</w:t>
            </w:r>
          </w:p>
        </w:tc>
        <w:tc>
          <w:tcPr>
            <w:tcW w:w="1766" w:type="dxa"/>
            <w:vAlign w:val="bottom"/>
          </w:tcPr>
          <w:p w14:paraId="4163AFB5" w14:textId="32AEF6B7" w:rsidR="007E69F6" w:rsidRPr="00B40AD7" w:rsidRDefault="00461414"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7E69F6" w:rsidRPr="00B40AD7" w14:paraId="098A496B"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B287EA3" w14:textId="0E1CA758"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Meta</w:t>
            </w:r>
          </w:p>
        </w:tc>
        <w:tc>
          <w:tcPr>
            <w:tcW w:w="2067" w:type="dxa"/>
            <w:vAlign w:val="center"/>
          </w:tcPr>
          <w:p w14:paraId="7B8EF6CC" w14:textId="10B5355A"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Mesetas</w:t>
            </w:r>
          </w:p>
        </w:tc>
        <w:tc>
          <w:tcPr>
            <w:tcW w:w="1766" w:type="dxa"/>
            <w:vAlign w:val="bottom"/>
          </w:tcPr>
          <w:p w14:paraId="369EEA2B" w14:textId="3F418A8E" w:rsidR="007E69F6" w:rsidRPr="00B40AD7" w:rsidRDefault="007F2344"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7E69F6" w:rsidRPr="00B40AD7" w14:paraId="211F4BE8"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BE1783E" w14:textId="20F5D218" w:rsidR="007E69F6" w:rsidRPr="0084215D" w:rsidRDefault="007E69F6" w:rsidP="007E69F6">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Meta</w:t>
            </w:r>
          </w:p>
        </w:tc>
        <w:tc>
          <w:tcPr>
            <w:tcW w:w="2067" w:type="dxa"/>
            <w:vAlign w:val="center"/>
          </w:tcPr>
          <w:p w14:paraId="33CE928E" w14:textId="30DB60D1" w:rsidR="007E69F6" w:rsidRPr="00B40AD7" w:rsidRDefault="007E69F6"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 Juan De Arama</w:t>
            </w:r>
          </w:p>
        </w:tc>
        <w:tc>
          <w:tcPr>
            <w:tcW w:w="1766" w:type="dxa"/>
            <w:vAlign w:val="bottom"/>
          </w:tcPr>
          <w:p w14:paraId="16D915A0" w14:textId="08FD3294" w:rsidR="007E69F6" w:rsidRPr="00B40AD7" w:rsidRDefault="007F2344" w:rsidP="007E69F6">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461414" w:rsidRPr="00B40AD7" w14:paraId="77BEAA53"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7EEA0276" w14:textId="3CCCF822" w:rsidR="00461414" w:rsidRPr="0084215D" w:rsidRDefault="00461414" w:rsidP="00461414">
            <w:pPr>
              <w:jc w:val="center"/>
              <w:rPr>
                <w:rFonts w:ascii="Verdana" w:hAnsi="Verdana"/>
                <w:color w:val="000000" w:themeColor="text1"/>
                <w:sz w:val="18"/>
                <w:szCs w:val="18"/>
              </w:rPr>
            </w:pPr>
            <w:r w:rsidRPr="0084215D">
              <w:rPr>
                <w:rFonts w:ascii="Verdana" w:hAnsi="Verdana"/>
                <w:b w:val="0"/>
                <w:bCs w:val="0"/>
                <w:color w:val="000000" w:themeColor="text1"/>
                <w:sz w:val="18"/>
                <w:szCs w:val="18"/>
              </w:rPr>
              <w:t>Meta</w:t>
            </w:r>
          </w:p>
        </w:tc>
        <w:tc>
          <w:tcPr>
            <w:tcW w:w="2067" w:type="dxa"/>
            <w:vAlign w:val="center"/>
          </w:tcPr>
          <w:p w14:paraId="726D6612" w14:textId="1E580ACB"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Villavicencio</w:t>
            </w:r>
          </w:p>
        </w:tc>
        <w:tc>
          <w:tcPr>
            <w:tcW w:w="1766" w:type="dxa"/>
            <w:vAlign w:val="bottom"/>
          </w:tcPr>
          <w:p w14:paraId="69F1AE75" w14:textId="6E0684E4" w:rsidR="00461414" w:rsidRPr="00B40AD7" w:rsidRDefault="007F234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2</w:t>
            </w:r>
          </w:p>
        </w:tc>
      </w:tr>
      <w:tr w:rsidR="00461414" w:rsidRPr="00B40AD7" w14:paraId="0AE93C21"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6D8AF99" w14:textId="4A752800" w:rsidR="00461414" w:rsidRPr="0084215D" w:rsidRDefault="00461414" w:rsidP="00461414">
            <w:pPr>
              <w:jc w:val="center"/>
              <w:rPr>
                <w:rFonts w:ascii="Verdana" w:hAnsi="Verdana"/>
                <w:b w:val="0"/>
                <w:bCs w:val="0"/>
                <w:color w:val="000000" w:themeColor="text1"/>
                <w:sz w:val="18"/>
                <w:szCs w:val="18"/>
              </w:rPr>
            </w:pPr>
            <w:r w:rsidRPr="0084215D">
              <w:rPr>
                <w:rFonts w:ascii="Verdana" w:eastAsia="Times New Roman" w:hAnsi="Verdana" w:cs="Arial"/>
                <w:b w:val="0"/>
                <w:bCs w:val="0"/>
                <w:color w:val="000000"/>
                <w:kern w:val="0"/>
                <w:sz w:val="18"/>
                <w:szCs w:val="18"/>
                <w:lang w:eastAsia="es-CO"/>
                <w14:ligatures w14:val="none"/>
              </w:rPr>
              <w:t>Norte De Santander</w:t>
            </w:r>
          </w:p>
        </w:tc>
        <w:tc>
          <w:tcPr>
            <w:tcW w:w="2067" w:type="dxa"/>
            <w:vAlign w:val="center"/>
          </w:tcPr>
          <w:p w14:paraId="11D53EB3" w14:textId="7757D6AB"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 José De Cúcuta</w:t>
            </w:r>
          </w:p>
        </w:tc>
        <w:tc>
          <w:tcPr>
            <w:tcW w:w="1766" w:type="dxa"/>
            <w:vAlign w:val="bottom"/>
          </w:tcPr>
          <w:p w14:paraId="3CD322C2" w14:textId="54E9B11C"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461414" w:rsidRPr="00B40AD7" w14:paraId="4603A367"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06BC14A" w14:textId="3E7E2085" w:rsidR="00461414" w:rsidRPr="0084215D" w:rsidRDefault="00461414" w:rsidP="00461414">
            <w:pPr>
              <w:jc w:val="center"/>
              <w:rPr>
                <w:rFonts w:ascii="Verdana" w:hAnsi="Verdana"/>
                <w:b w:val="0"/>
                <w:bCs w:val="0"/>
                <w:color w:val="000000" w:themeColor="text1"/>
                <w:sz w:val="18"/>
                <w:szCs w:val="18"/>
              </w:rPr>
            </w:pPr>
            <w:r w:rsidRPr="0084215D">
              <w:rPr>
                <w:rFonts w:ascii="Verdana" w:eastAsia="Times New Roman" w:hAnsi="Verdana" w:cs="Arial"/>
                <w:b w:val="0"/>
                <w:bCs w:val="0"/>
                <w:color w:val="000000"/>
                <w:kern w:val="0"/>
                <w:sz w:val="18"/>
                <w:szCs w:val="18"/>
                <w:lang w:eastAsia="es-CO"/>
                <w14:ligatures w14:val="none"/>
              </w:rPr>
              <w:t>Norte De Santander</w:t>
            </w:r>
          </w:p>
        </w:tc>
        <w:tc>
          <w:tcPr>
            <w:tcW w:w="2067" w:type="dxa"/>
            <w:vAlign w:val="center"/>
          </w:tcPr>
          <w:p w14:paraId="40E2EE54" w14:textId="41ACF2C6"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 Calixto</w:t>
            </w:r>
          </w:p>
        </w:tc>
        <w:tc>
          <w:tcPr>
            <w:tcW w:w="1766" w:type="dxa"/>
            <w:vAlign w:val="bottom"/>
          </w:tcPr>
          <w:p w14:paraId="5CDDDA11" w14:textId="17E8AA95"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461414" w:rsidRPr="00B40AD7" w14:paraId="10F72D70"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55B94E71" w14:textId="234644EC"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Sucre</w:t>
            </w:r>
          </w:p>
        </w:tc>
        <w:tc>
          <w:tcPr>
            <w:tcW w:w="2067" w:type="dxa"/>
            <w:vAlign w:val="center"/>
          </w:tcPr>
          <w:p w14:paraId="41033A9D" w14:textId="1D28C525"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Chalán</w:t>
            </w:r>
          </w:p>
        </w:tc>
        <w:tc>
          <w:tcPr>
            <w:tcW w:w="1766" w:type="dxa"/>
            <w:vAlign w:val="bottom"/>
          </w:tcPr>
          <w:p w14:paraId="33EC72A7" w14:textId="0EF042AC"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461414" w:rsidRPr="00B40AD7" w14:paraId="06A8698D"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3845895E" w14:textId="59CEC775"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Sucre</w:t>
            </w:r>
          </w:p>
        </w:tc>
        <w:tc>
          <w:tcPr>
            <w:tcW w:w="2067" w:type="dxa"/>
            <w:vAlign w:val="center"/>
          </w:tcPr>
          <w:p w14:paraId="5EB3B18A" w14:textId="23BC8AE7"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Los Palmitos</w:t>
            </w:r>
          </w:p>
        </w:tc>
        <w:tc>
          <w:tcPr>
            <w:tcW w:w="1766" w:type="dxa"/>
            <w:vAlign w:val="bottom"/>
          </w:tcPr>
          <w:p w14:paraId="2EAEE588" w14:textId="524204CC"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3E2382" w:rsidRPr="00B40AD7" w14:paraId="1D89078B"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1E15259B" w14:textId="0B721C22" w:rsidR="003E2382" w:rsidRPr="0084215D" w:rsidRDefault="003E2382" w:rsidP="00461414">
            <w:pPr>
              <w:jc w:val="center"/>
              <w:rPr>
                <w:rFonts w:ascii="Verdana" w:hAnsi="Verdana"/>
                <w:color w:val="000000" w:themeColor="text1"/>
                <w:sz w:val="18"/>
                <w:szCs w:val="18"/>
              </w:rPr>
            </w:pPr>
            <w:r w:rsidRPr="003E2382">
              <w:rPr>
                <w:rFonts w:ascii="Verdana" w:hAnsi="Verdana"/>
                <w:b w:val="0"/>
                <w:bCs w:val="0"/>
                <w:color w:val="000000" w:themeColor="text1"/>
                <w:sz w:val="18"/>
                <w:szCs w:val="18"/>
              </w:rPr>
              <w:t>Sucre</w:t>
            </w:r>
          </w:p>
        </w:tc>
        <w:tc>
          <w:tcPr>
            <w:tcW w:w="2067" w:type="dxa"/>
            <w:vAlign w:val="center"/>
          </w:tcPr>
          <w:p w14:paraId="2C506B39" w14:textId="3FE219F8" w:rsidR="003E2382" w:rsidRPr="00B40AD7" w:rsidRDefault="003E2382"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Morroa</w:t>
            </w:r>
          </w:p>
        </w:tc>
        <w:tc>
          <w:tcPr>
            <w:tcW w:w="1766" w:type="dxa"/>
            <w:vAlign w:val="bottom"/>
          </w:tcPr>
          <w:p w14:paraId="242E413A" w14:textId="600B030D" w:rsidR="003E2382" w:rsidRPr="00B40AD7" w:rsidRDefault="003E2382"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461414" w:rsidRPr="00B40AD7" w14:paraId="1A3706B3"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64162946" w14:textId="6CC6B668"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Sucre</w:t>
            </w:r>
          </w:p>
        </w:tc>
        <w:tc>
          <w:tcPr>
            <w:tcW w:w="2067" w:type="dxa"/>
            <w:vAlign w:val="center"/>
          </w:tcPr>
          <w:p w14:paraId="413A4988" w14:textId="3933F03E"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Ovejas</w:t>
            </w:r>
          </w:p>
        </w:tc>
        <w:tc>
          <w:tcPr>
            <w:tcW w:w="1766" w:type="dxa"/>
            <w:vAlign w:val="bottom"/>
          </w:tcPr>
          <w:p w14:paraId="7423BDD8" w14:textId="4AC9C3E7"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1</w:t>
            </w:r>
          </w:p>
        </w:tc>
      </w:tr>
      <w:tr w:rsidR="001874A3" w:rsidRPr="00B40AD7" w14:paraId="38597E87"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7FD26FA0" w14:textId="409132C2" w:rsidR="001874A3" w:rsidRPr="0084215D" w:rsidRDefault="001874A3" w:rsidP="00461414">
            <w:pPr>
              <w:jc w:val="center"/>
              <w:rPr>
                <w:rFonts w:ascii="Verdana" w:hAnsi="Verdana"/>
                <w:color w:val="000000" w:themeColor="text1"/>
                <w:sz w:val="18"/>
                <w:szCs w:val="18"/>
              </w:rPr>
            </w:pPr>
            <w:r w:rsidRPr="001874A3">
              <w:rPr>
                <w:rFonts w:ascii="Verdana" w:hAnsi="Verdana"/>
                <w:b w:val="0"/>
                <w:bCs w:val="0"/>
                <w:color w:val="000000" w:themeColor="text1"/>
                <w:sz w:val="18"/>
                <w:szCs w:val="18"/>
              </w:rPr>
              <w:t>Tolima</w:t>
            </w:r>
          </w:p>
        </w:tc>
        <w:tc>
          <w:tcPr>
            <w:tcW w:w="2067" w:type="dxa"/>
            <w:vAlign w:val="center"/>
          </w:tcPr>
          <w:p w14:paraId="47114A1B" w14:textId="5983D9C6" w:rsidR="001874A3" w:rsidRPr="00B40AD7" w:rsidRDefault="001874A3"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Ibagué</w:t>
            </w:r>
          </w:p>
        </w:tc>
        <w:tc>
          <w:tcPr>
            <w:tcW w:w="1766" w:type="dxa"/>
            <w:vAlign w:val="bottom"/>
          </w:tcPr>
          <w:p w14:paraId="7D54C6BF" w14:textId="28C2ED21" w:rsidR="001874A3" w:rsidRPr="00B40AD7" w:rsidRDefault="001874A3"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6</w:t>
            </w:r>
          </w:p>
        </w:tc>
      </w:tr>
      <w:tr w:rsidR="00461414" w:rsidRPr="00B40AD7" w14:paraId="4EE8A831"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779EE16" w14:textId="6D4C3BA7"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Tolima</w:t>
            </w:r>
          </w:p>
        </w:tc>
        <w:tc>
          <w:tcPr>
            <w:tcW w:w="2067" w:type="dxa"/>
            <w:vAlign w:val="center"/>
          </w:tcPr>
          <w:p w14:paraId="6BAF831A" w14:textId="0C055604"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Icononzo</w:t>
            </w:r>
          </w:p>
        </w:tc>
        <w:tc>
          <w:tcPr>
            <w:tcW w:w="1766" w:type="dxa"/>
            <w:vAlign w:val="bottom"/>
          </w:tcPr>
          <w:p w14:paraId="474576BA" w14:textId="495E918A"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sidRPr="00B40AD7">
              <w:rPr>
                <w:rFonts w:ascii="Verdana" w:eastAsia="Times New Roman" w:hAnsi="Verdana" w:cs="Times New Roman"/>
                <w:color w:val="000000"/>
                <w:kern w:val="0"/>
                <w:sz w:val="18"/>
                <w:szCs w:val="18"/>
                <w:lang w:eastAsia="es-CO"/>
                <w14:ligatures w14:val="none"/>
              </w:rPr>
              <w:t>6</w:t>
            </w:r>
          </w:p>
        </w:tc>
      </w:tr>
      <w:tr w:rsidR="00461414" w:rsidRPr="00B40AD7" w14:paraId="25B9C842"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42F9AD4" w14:textId="4B5C36AF" w:rsidR="00461414" w:rsidRPr="0084215D" w:rsidRDefault="00461414" w:rsidP="00461414">
            <w:pPr>
              <w:jc w:val="center"/>
              <w:rPr>
                <w:rFonts w:ascii="Verdana" w:hAnsi="Verdana"/>
                <w:b w:val="0"/>
                <w:bCs w:val="0"/>
                <w:color w:val="000000" w:themeColor="text1"/>
                <w:sz w:val="18"/>
                <w:szCs w:val="18"/>
              </w:rPr>
            </w:pPr>
            <w:r w:rsidRPr="0084215D">
              <w:rPr>
                <w:rFonts w:ascii="Verdana" w:hAnsi="Verdana"/>
                <w:b w:val="0"/>
                <w:bCs w:val="0"/>
                <w:color w:val="000000" w:themeColor="text1"/>
                <w:sz w:val="18"/>
                <w:szCs w:val="18"/>
              </w:rPr>
              <w:t>Valle del Cauca</w:t>
            </w:r>
          </w:p>
        </w:tc>
        <w:tc>
          <w:tcPr>
            <w:tcW w:w="2067" w:type="dxa"/>
            <w:vAlign w:val="center"/>
          </w:tcPr>
          <w:p w14:paraId="31536612" w14:textId="717A6F76"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Santiago De Cali</w:t>
            </w:r>
          </w:p>
        </w:tc>
        <w:tc>
          <w:tcPr>
            <w:tcW w:w="1766" w:type="dxa"/>
            <w:vAlign w:val="bottom"/>
          </w:tcPr>
          <w:p w14:paraId="677F9D13" w14:textId="161DF1CB" w:rsidR="00461414" w:rsidRPr="00B40AD7" w:rsidRDefault="001874A3"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1</w:t>
            </w:r>
          </w:p>
        </w:tc>
      </w:tr>
      <w:tr w:rsidR="00461414" w:rsidRPr="00B40AD7" w14:paraId="7FAA9835" w14:textId="77777777" w:rsidTr="008D29AB">
        <w:trPr>
          <w:trHeight w:val="252"/>
        </w:trPr>
        <w:tc>
          <w:tcPr>
            <w:cnfStyle w:val="001000000000" w:firstRow="0" w:lastRow="0" w:firstColumn="1" w:lastColumn="0" w:oddVBand="0" w:evenVBand="0" w:oddHBand="0" w:evenHBand="0" w:firstRowFirstColumn="0" w:firstRowLastColumn="0" w:lastRowFirstColumn="0" w:lastRowLastColumn="0"/>
            <w:tcW w:w="1667" w:type="dxa"/>
            <w:vAlign w:val="center"/>
          </w:tcPr>
          <w:p w14:paraId="00FC4C8A" w14:textId="77777777" w:rsidR="00461414" w:rsidRPr="00B40AD7" w:rsidRDefault="00461414" w:rsidP="00461414">
            <w:pPr>
              <w:jc w:val="center"/>
              <w:rPr>
                <w:rFonts w:ascii="Verdana" w:hAnsi="Verdana"/>
                <w:color w:val="000000" w:themeColor="text1"/>
                <w:sz w:val="18"/>
                <w:szCs w:val="18"/>
              </w:rPr>
            </w:pPr>
          </w:p>
        </w:tc>
        <w:tc>
          <w:tcPr>
            <w:tcW w:w="2067" w:type="dxa"/>
            <w:vAlign w:val="center"/>
          </w:tcPr>
          <w:p w14:paraId="6A10F67D" w14:textId="067D909A" w:rsidR="00461414" w:rsidRPr="00B40AD7" w:rsidRDefault="00461414"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color w:val="000000"/>
                <w:kern w:val="0"/>
                <w:sz w:val="18"/>
                <w:szCs w:val="18"/>
                <w:lang w:eastAsia="es-CO"/>
                <w14:ligatures w14:val="none"/>
              </w:rPr>
            </w:pPr>
            <w:r w:rsidRPr="00B40AD7">
              <w:rPr>
                <w:rFonts w:ascii="Verdana" w:eastAsia="Times New Roman" w:hAnsi="Verdana" w:cs="Arial"/>
                <w:color w:val="000000"/>
                <w:kern w:val="0"/>
                <w:sz w:val="18"/>
                <w:szCs w:val="18"/>
                <w:lang w:eastAsia="es-CO"/>
                <w14:ligatures w14:val="none"/>
              </w:rPr>
              <w:t>Total</w:t>
            </w:r>
          </w:p>
        </w:tc>
        <w:tc>
          <w:tcPr>
            <w:tcW w:w="1766" w:type="dxa"/>
            <w:vAlign w:val="bottom"/>
          </w:tcPr>
          <w:p w14:paraId="27CD07A2" w14:textId="3884AAC7" w:rsidR="00461414" w:rsidRPr="00B40AD7" w:rsidRDefault="00C379DA" w:rsidP="00461414">
            <w:pPr>
              <w:jc w:val="center"/>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color w:val="000000"/>
                <w:kern w:val="0"/>
                <w:sz w:val="18"/>
                <w:szCs w:val="18"/>
                <w:lang w:eastAsia="es-CO"/>
                <w14:ligatures w14:val="none"/>
              </w:rPr>
            </w:pPr>
            <w:r>
              <w:rPr>
                <w:rFonts w:ascii="Verdana" w:eastAsia="Times New Roman" w:hAnsi="Verdana" w:cs="Times New Roman"/>
                <w:color w:val="000000"/>
                <w:kern w:val="0"/>
                <w:sz w:val="18"/>
                <w:szCs w:val="18"/>
                <w:lang w:eastAsia="es-CO"/>
                <w14:ligatures w14:val="none"/>
              </w:rPr>
              <w:t>64</w:t>
            </w:r>
          </w:p>
        </w:tc>
      </w:tr>
    </w:tbl>
    <w:p w14:paraId="31E98899" w14:textId="77777777" w:rsidR="009404D5" w:rsidRDefault="009404D5" w:rsidP="00005CEA">
      <w:pPr>
        <w:pStyle w:val="Prrafodelista"/>
        <w:spacing w:after="0" w:line="276" w:lineRule="auto"/>
        <w:jc w:val="both"/>
        <w:rPr>
          <w:rFonts w:ascii="Verdana" w:eastAsia="Calibri" w:hAnsi="Verdana" w:cs="Arial"/>
        </w:rPr>
      </w:pPr>
    </w:p>
    <w:p w14:paraId="57C91B26" w14:textId="77777777" w:rsidR="009404D5" w:rsidRPr="009404D5" w:rsidRDefault="009404D5" w:rsidP="009404D5"/>
    <w:p w14:paraId="3C5EFD5B" w14:textId="77777777" w:rsidR="009404D5" w:rsidRPr="009404D5" w:rsidRDefault="009404D5" w:rsidP="009404D5"/>
    <w:p w14:paraId="2B46893B" w14:textId="77777777" w:rsidR="009404D5" w:rsidRDefault="009404D5" w:rsidP="00005CEA">
      <w:pPr>
        <w:pStyle w:val="Prrafodelista"/>
        <w:spacing w:after="0" w:line="276" w:lineRule="auto"/>
        <w:jc w:val="both"/>
        <w:rPr>
          <w:rFonts w:ascii="Verdana" w:eastAsia="Calibri" w:hAnsi="Verdana" w:cs="Arial"/>
        </w:rPr>
      </w:pPr>
    </w:p>
    <w:p w14:paraId="70FC2DED" w14:textId="77777777" w:rsidR="002B2B8D" w:rsidRDefault="002B2B8D" w:rsidP="00005CEA">
      <w:pPr>
        <w:pStyle w:val="Prrafodelista"/>
        <w:spacing w:after="0" w:line="276" w:lineRule="auto"/>
        <w:jc w:val="both"/>
        <w:rPr>
          <w:rFonts w:ascii="Verdana" w:eastAsia="Calibri" w:hAnsi="Verdana" w:cs="Arial"/>
        </w:rPr>
      </w:pPr>
    </w:p>
    <w:p w14:paraId="24FEAAEE" w14:textId="77777777" w:rsidR="002B2B8D" w:rsidRDefault="002B2B8D" w:rsidP="00005CEA">
      <w:pPr>
        <w:pStyle w:val="Prrafodelista"/>
        <w:spacing w:after="0" w:line="276" w:lineRule="auto"/>
        <w:jc w:val="both"/>
        <w:rPr>
          <w:rFonts w:ascii="Verdana" w:eastAsia="Calibri" w:hAnsi="Verdana" w:cs="Arial"/>
        </w:rPr>
      </w:pPr>
    </w:p>
    <w:p w14:paraId="10E61644" w14:textId="77777777" w:rsidR="002B2B8D" w:rsidRDefault="002B2B8D" w:rsidP="00005CEA">
      <w:pPr>
        <w:pStyle w:val="Prrafodelista"/>
        <w:spacing w:after="0" w:line="276" w:lineRule="auto"/>
        <w:jc w:val="both"/>
        <w:rPr>
          <w:rFonts w:ascii="Verdana" w:eastAsia="Calibri" w:hAnsi="Verdana" w:cs="Arial"/>
        </w:rPr>
      </w:pPr>
    </w:p>
    <w:p w14:paraId="6569AD26" w14:textId="77777777" w:rsidR="002B2B8D" w:rsidRDefault="002B2B8D" w:rsidP="00005CEA">
      <w:pPr>
        <w:pStyle w:val="Prrafodelista"/>
        <w:spacing w:after="0" w:line="276" w:lineRule="auto"/>
        <w:jc w:val="both"/>
        <w:rPr>
          <w:rFonts w:ascii="Verdana" w:eastAsia="Calibri" w:hAnsi="Verdana" w:cs="Arial"/>
        </w:rPr>
      </w:pPr>
    </w:p>
    <w:p w14:paraId="6AF36B91" w14:textId="77777777" w:rsidR="002B2B8D" w:rsidRDefault="002B2B8D" w:rsidP="00005CEA">
      <w:pPr>
        <w:pStyle w:val="Prrafodelista"/>
        <w:spacing w:after="0" w:line="276" w:lineRule="auto"/>
        <w:jc w:val="both"/>
        <w:rPr>
          <w:rFonts w:ascii="Verdana" w:eastAsia="Calibri" w:hAnsi="Verdana" w:cs="Arial"/>
        </w:rPr>
      </w:pPr>
    </w:p>
    <w:p w14:paraId="1EB7AA41" w14:textId="77777777" w:rsidR="002B2B8D" w:rsidRDefault="002B2B8D" w:rsidP="00005CEA">
      <w:pPr>
        <w:pStyle w:val="Prrafodelista"/>
        <w:spacing w:after="0" w:line="276" w:lineRule="auto"/>
        <w:jc w:val="both"/>
        <w:rPr>
          <w:rFonts w:ascii="Verdana" w:eastAsia="Calibri" w:hAnsi="Verdana" w:cs="Arial"/>
        </w:rPr>
      </w:pPr>
    </w:p>
    <w:p w14:paraId="5606D041" w14:textId="77777777" w:rsidR="002B2B8D" w:rsidRDefault="002B2B8D" w:rsidP="00005CEA">
      <w:pPr>
        <w:pStyle w:val="Prrafodelista"/>
        <w:spacing w:after="0" w:line="276" w:lineRule="auto"/>
        <w:jc w:val="both"/>
        <w:rPr>
          <w:rFonts w:ascii="Verdana" w:eastAsia="Calibri" w:hAnsi="Verdana" w:cs="Arial"/>
        </w:rPr>
      </w:pPr>
    </w:p>
    <w:p w14:paraId="13F90D06" w14:textId="77777777" w:rsidR="002B2B8D" w:rsidRDefault="002B2B8D" w:rsidP="00005CEA">
      <w:pPr>
        <w:pStyle w:val="Prrafodelista"/>
        <w:spacing w:after="0" w:line="276" w:lineRule="auto"/>
        <w:jc w:val="both"/>
        <w:rPr>
          <w:rFonts w:ascii="Verdana" w:eastAsia="Calibri" w:hAnsi="Verdana" w:cs="Arial"/>
        </w:rPr>
      </w:pPr>
    </w:p>
    <w:p w14:paraId="37913EEF" w14:textId="77777777" w:rsidR="002B2B8D" w:rsidRDefault="002B2B8D" w:rsidP="00005CEA">
      <w:pPr>
        <w:pStyle w:val="Prrafodelista"/>
        <w:spacing w:after="0" w:line="276" w:lineRule="auto"/>
        <w:jc w:val="both"/>
        <w:rPr>
          <w:rFonts w:ascii="Verdana" w:eastAsia="Calibri" w:hAnsi="Verdana" w:cs="Arial"/>
        </w:rPr>
      </w:pPr>
    </w:p>
    <w:p w14:paraId="4ECC4A60" w14:textId="77777777" w:rsidR="002B2B8D" w:rsidRDefault="002B2B8D" w:rsidP="00005CEA">
      <w:pPr>
        <w:pStyle w:val="Prrafodelista"/>
        <w:spacing w:after="0" w:line="276" w:lineRule="auto"/>
        <w:jc w:val="both"/>
        <w:rPr>
          <w:rFonts w:ascii="Verdana" w:eastAsia="Calibri" w:hAnsi="Verdana" w:cs="Arial"/>
        </w:rPr>
      </w:pPr>
    </w:p>
    <w:p w14:paraId="65E34550" w14:textId="77777777" w:rsidR="002B2B8D" w:rsidRDefault="002B2B8D" w:rsidP="00005CEA">
      <w:pPr>
        <w:pStyle w:val="Prrafodelista"/>
        <w:spacing w:after="0" w:line="276" w:lineRule="auto"/>
        <w:jc w:val="both"/>
        <w:rPr>
          <w:rFonts w:ascii="Verdana" w:eastAsia="Calibri" w:hAnsi="Verdana" w:cs="Arial"/>
        </w:rPr>
      </w:pPr>
    </w:p>
    <w:p w14:paraId="6CD8FB59" w14:textId="77777777" w:rsidR="002B2B8D" w:rsidRDefault="002B2B8D" w:rsidP="00005CEA">
      <w:pPr>
        <w:pStyle w:val="Prrafodelista"/>
        <w:spacing w:after="0" w:line="276" w:lineRule="auto"/>
        <w:jc w:val="both"/>
        <w:rPr>
          <w:rFonts w:ascii="Verdana" w:eastAsia="Calibri" w:hAnsi="Verdana" w:cs="Arial"/>
        </w:rPr>
      </w:pPr>
    </w:p>
    <w:p w14:paraId="46066E6A" w14:textId="77777777" w:rsidR="002B2B8D" w:rsidRDefault="002B2B8D" w:rsidP="00005CEA">
      <w:pPr>
        <w:pStyle w:val="Prrafodelista"/>
        <w:spacing w:after="0" w:line="276" w:lineRule="auto"/>
        <w:jc w:val="both"/>
        <w:rPr>
          <w:rFonts w:ascii="Verdana" w:eastAsia="Calibri" w:hAnsi="Verdana" w:cs="Arial"/>
        </w:rPr>
      </w:pPr>
    </w:p>
    <w:p w14:paraId="0552EAE5" w14:textId="77777777" w:rsidR="002B2B8D" w:rsidRDefault="002B2B8D" w:rsidP="00005CEA">
      <w:pPr>
        <w:pStyle w:val="Prrafodelista"/>
        <w:spacing w:after="0" w:line="276" w:lineRule="auto"/>
        <w:jc w:val="both"/>
        <w:rPr>
          <w:rFonts w:ascii="Verdana" w:eastAsia="Calibri" w:hAnsi="Verdana" w:cs="Arial"/>
        </w:rPr>
      </w:pPr>
    </w:p>
    <w:p w14:paraId="71275A5C" w14:textId="77777777" w:rsidR="002B2B8D" w:rsidRDefault="002B2B8D" w:rsidP="00005CEA">
      <w:pPr>
        <w:pStyle w:val="Prrafodelista"/>
        <w:spacing w:after="0" w:line="276" w:lineRule="auto"/>
        <w:jc w:val="both"/>
        <w:rPr>
          <w:rFonts w:ascii="Verdana" w:eastAsia="Calibri" w:hAnsi="Verdana" w:cs="Arial"/>
        </w:rPr>
      </w:pPr>
    </w:p>
    <w:p w14:paraId="760B1D87" w14:textId="77777777" w:rsidR="002B2B8D" w:rsidRDefault="002B2B8D" w:rsidP="00005CEA">
      <w:pPr>
        <w:pStyle w:val="Prrafodelista"/>
        <w:spacing w:after="0" w:line="276" w:lineRule="auto"/>
        <w:jc w:val="both"/>
        <w:rPr>
          <w:rFonts w:ascii="Verdana" w:eastAsia="Calibri" w:hAnsi="Verdana" w:cs="Arial"/>
        </w:rPr>
      </w:pPr>
    </w:p>
    <w:p w14:paraId="6AD1196C" w14:textId="77777777" w:rsidR="002B2B8D" w:rsidRDefault="002B2B8D" w:rsidP="00005CEA">
      <w:pPr>
        <w:pStyle w:val="Prrafodelista"/>
        <w:spacing w:after="0" w:line="276" w:lineRule="auto"/>
        <w:jc w:val="both"/>
        <w:rPr>
          <w:rFonts w:ascii="Verdana" w:eastAsia="Calibri" w:hAnsi="Verdana" w:cs="Arial"/>
        </w:rPr>
      </w:pPr>
    </w:p>
    <w:p w14:paraId="2C118881" w14:textId="77777777" w:rsidR="002B2B8D" w:rsidRDefault="002B2B8D" w:rsidP="00005CEA">
      <w:pPr>
        <w:pStyle w:val="Prrafodelista"/>
        <w:spacing w:after="0" w:line="276" w:lineRule="auto"/>
        <w:jc w:val="both"/>
        <w:rPr>
          <w:rFonts w:ascii="Verdana" w:eastAsia="Calibri" w:hAnsi="Verdana" w:cs="Arial"/>
        </w:rPr>
      </w:pPr>
    </w:p>
    <w:p w14:paraId="3F87CCAF" w14:textId="77777777" w:rsidR="002B2B8D" w:rsidRDefault="002B2B8D" w:rsidP="00005CEA">
      <w:pPr>
        <w:pStyle w:val="Prrafodelista"/>
        <w:spacing w:after="0" w:line="276" w:lineRule="auto"/>
        <w:jc w:val="both"/>
        <w:rPr>
          <w:rFonts w:ascii="Verdana" w:eastAsia="Calibri" w:hAnsi="Verdana" w:cs="Arial"/>
        </w:rPr>
      </w:pPr>
    </w:p>
    <w:p w14:paraId="1C560771" w14:textId="77777777" w:rsidR="002B2B8D" w:rsidRDefault="002B2B8D" w:rsidP="00005CEA">
      <w:pPr>
        <w:pStyle w:val="Prrafodelista"/>
        <w:spacing w:after="0" w:line="276" w:lineRule="auto"/>
        <w:jc w:val="both"/>
        <w:rPr>
          <w:rFonts w:ascii="Verdana" w:eastAsia="Calibri" w:hAnsi="Verdana" w:cs="Arial"/>
        </w:rPr>
      </w:pPr>
    </w:p>
    <w:p w14:paraId="57D25844" w14:textId="77777777" w:rsidR="002B2B8D" w:rsidRDefault="002B2B8D" w:rsidP="00005CEA">
      <w:pPr>
        <w:pStyle w:val="Prrafodelista"/>
        <w:spacing w:after="0" w:line="276" w:lineRule="auto"/>
        <w:jc w:val="both"/>
        <w:rPr>
          <w:rFonts w:ascii="Verdana" w:eastAsia="Calibri" w:hAnsi="Verdana" w:cs="Arial"/>
        </w:rPr>
      </w:pPr>
    </w:p>
    <w:p w14:paraId="440D2C53" w14:textId="77777777" w:rsidR="002B2B8D" w:rsidRDefault="002B2B8D" w:rsidP="00005CEA">
      <w:pPr>
        <w:pStyle w:val="Prrafodelista"/>
        <w:spacing w:after="0" w:line="276" w:lineRule="auto"/>
        <w:jc w:val="both"/>
        <w:rPr>
          <w:rFonts w:ascii="Verdana" w:eastAsia="Calibri" w:hAnsi="Verdana" w:cs="Arial"/>
        </w:rPr>
      </w:pPr>
    </w:p>
    <w:p w14:paraId="308A6D42" w14:textId="77777777" w:rsidR="002B2B8D" w:rsidRDefault="002B2B8D" w:rsidP="00005CEA">
      <w:pPr>
        <w:pStyle w:val="Prrafodelista"/>
        <w:spacing w:after="0" w:line="276" w:lineRule="auto"/>
        <w:jc w:val="both"/>
        <w:rPr>
          <w:rFonts w:ascii="Verdana" w:eastAsia="Calibri" w:hAnsi="Verdana" w:cs="Arial"/>
        </w:rPr>
      </w:pPr>
    </w:p>
    <w:p w14:paraId="7066D27B" w14:textId="77777777" w:rsidR="002B2B8D" w:rsidRDefault="002B2B8D" w:rsidP="00005CEA">
      <w:pPr>
        <w:pStyle w:val="Prrafodelista"/>
        <w:spacing w:after="0" w:line="276" w:lineRule="auto"/>
        <w:jc w:val="both"/>
        <w:rPr>
          <w:rFonts w:ascii="Verdana" w:eastAsia="Calibri" w:hAnsi="Verdana" w:cs="Arial"/>
        </w:rPr>
      </w:pPr>
    </w:p>
    <w:p w14:paraId="755CC91C" w14:textId="77777777" w:rsidR="002B2B8D" w:rsidRDefault="002B2B8D" w:rsidP="00005CEA">
      <w:pPr>
        <w:pStyle w:val="Prrafodelista"/>
        <w:spacing w:after="0" w:line="276" w:lineRule="auto"/>
        <w:jc w:val="both"/>
        <w:rPr>
          <w:rFonts w:ascii="Verdana" w:eastAsia="Calibri" w:hAnsi="Verdana" w:cs="Arial"/>
        </w:rPr>
      </w:pPr>
    </w:p>
    <w:p w14:paraId="18396FE7" w14:textId="77777777" w:rsidR="002B2B8D" w:rsidRDefault="002B2B8D" w:rsidP="00005CEA">
      <w:pPr>
        <w:pStyle w:val="Prrafodelista"/>
        <w:spacing w:after="0" w:line="276" w:lineRule="auto"/>
        <w:jc w:val="both"/>
        <w:rPr>
          <w:rFonts w:ascii="Verdana" w:eastAsia="Calibri" w:hAnsi="Verdana" w:cs="Arial"/>
        </w:rPr>
      </w:pPr>
    </w:p>
    <w:p w14:paraId="3EF021C5" w14:textId="77777777" w:rsidR="002B2B8D" w:rsidRDefault="002B2B8D" w:rsidP="00005CEA">
      <w:pPr>
        <w:pStyle w:val="Prrafodelista"/>
        <w:spacing w:after="0" w:line="276" w:lineRule="auto"/>
        <w:jc w:val="both"/>
        <w:rPr>
          <w:rFonts w:ascii="Verdana" w:eastAsia="Calibri" w:hAnsi="Verdana" w:cs="Arial"/>
        </w:rPr>
      </w:pPr>
    </w:p>
    <w:p w14:paraId="12B333CA" w14:textId="77777777" w:rsidR="002B2B8D" w:rsidRDefault="002B2B8D" w:rsidP="00005CEA">
      <w:pPr>
        <w:pStyle w:val="Prrafodelista"/>
        <w:spacing w:after="0" w:line="276" w:lineRule="auto"/>
        <w:jc w:val="both"/>
        <w:rPr>
          <w:rFonts w:ascii="Verdana" w:eastAsia="Calibri" w:hAnsi="Verdana" w:cs="Arial"/>
        </w:rPr>
      </w:pPr>
    </w:p>
    <w:p w14:paraId="620DF6F0" w14:textId="77777777" w:rsidR="002B2B8D" w:rsidRDefault="002B2B8D" w:rsidP="00005CEA">
      <w:pPr>
        <w:pStyle w:val="Prrafodelista"/>
        <w:spacing w:after="0" w:line="276" w:lineRule="auto"/>
        <w:jc w:val="both"/>
        <w:rPr>
          <w:rFonts w:ascii="Verdana" w:eastAsia="Calibri" w:hAnsi="Verdana" w:cs="Arial"/>
        </w:rPr>
      </w:pPr>
    </w:p>
    <w:p w14:paraId="13C24A6C" w14:textId="77777777" w:rsidR="002B2B8D" w:rsidRDefault="002B2B8D" w:rsidP="00005CEA">
      <w:pPr>
        <w:pStyle w:val="Prrafodelista"/>
        <w:spacing w:after="0" w:line="276" w:lineRule="auto"/>
        <w:jc w:val="both"/>
        <w:rPr>
          <w:rFonts w:ascii="Verdana" w:eastAsia="Calibri" w:hAnsi="Verdana" w:cs="Arial"/>
        </w:rPr>
      </w:pPr>
    </w:p>
    <w:p w14:paraId="67019B91" w14:textId="77777777" w:rsidR="002B2B8D" w:rsidRDefault="002B2B8D" w:rsidP="00005CEA">
      <w:pPr>
        <w:pStyle w:val="Prrafodelista"/>
        <w:spacing w:after="0" w:line="276" w:lineRule="auto"/>
        <w:jc w:val="both"/>
        <w:rPr>
          <w:rFonts w:ascii="Verdana" w:eastAsia="Calibri" w:hAnsi="Verdana" w:cs="Arial"/>
        </w:rPr>
      </w:pPr>
    </w:p>
    <w:p w14:paraId="4DE40A6B" w14:textId="77777777" w:rsidR="002B2B8D" w:rsidRDefault="002B2B8D" w:rsidP="00005CEA">
      <w:pPr>
        <w:pStyle w:val="Prrafodelista"/>
        <w:spacing w:after="0" w:line="276" w:lineRule="auto"/>
        <w:jc w:val="both"/>
        <w:rPr>
          <w:rFonts w:ascii="Verdana" w:eastAsia="Calibri" w:hAnsi="Verdana" w:cs="Arial"/>
        </w:rPr>
      </w:pPr>
    </w:p>
    <w:p w14:paraId="36A8D6E9" w14:textId="77777777" w:rsidR="002B2B8D" w:rsidRDefault="002B2B8D" w:rsidP="00005CEA">
      <w:pPr>
        <w:pStyle w:val="Prrafodelista"/>
        <w:spacing w:after="0" w:line="276" w:lineRule="auto"/>
        <w:jc w:val="both"/>
        <w:rPr>
          <w:rFonts w:ascii="Verdana" w:eastAsia="Calibri" w:hAnsi="Verdana" w:cs="Arial"/>
        </w:rPr>
      </w:pPr>
    </w:p>
    <w:p w14:paraId="4E6D11B7" w14:textId="77777777" w:rsidR="002B2B8D" w:rsidRDefault="002B2B8D" w:rsidP="00005CEA">
      <w:pPr>
        <w:pStyle w:val="Prrafodelista"/>
        <w:spacing w:after="0" w:line="276" w:lineRule="auto"/>
        <w:jc w:val="both"/>
        <w:rPr>
          <w:rFonts w:ascii="Verdana" w:eastAsia="Calibri" w:hAnsi="Verdana" w:cs="Arial"/>
        </w:rPr>
      </w:pPr>
    </w:p>
    <w:p w14:paraId="3E55FF8B" w14:textId="77777777" w:rsidR="002B2B8D" w:rsidRDefault="002B2B8D" w:rsidP="00005CEA">
      <w:pPr>
        <w:pStyle w:val="Prrafodelista"/>
        <w:spacing w:after="0" w:line="276" w:lineRule="auto"/>
        <w:jc w:val="both"/>
        <w:rPr>
          <w:rFonts w:ascii="Verdana" w:eastAsia="Calibri" w:hAnsi="Verdana" w:cs="Arial"/>
        </w:rPr>
      </w:pPr>
    </w:p>
    <w:p w14:paraId="25DB22F3" w14:textId="77777777" w:rsidR="002B2B8D" w:rsidRDefault="002B2B8D" w:rsidP="00005CEA">
      <w:pPr>
        <w:pStyle w:val="Prrafodelista"/>
        <w:spacing w:after="0" w:line="276" w:lineRule="auto"/>
        <w:jc w:val="both"/>
        <w:rPr>
          <w:rFonts w:ascii="Verdana" w:eastAsia="Calibri" w:hAnsi="Verdana" w:cs="Arial"/>
        </w:rPr>
      </w:pPr>
    </w:p>
    <w:p w14:paraId="2A5680A9" w14:textId="77777777" w:rsidR="002B2B8D" w:rsidRDefault="002B2B8D" w:rsidP="00005CEA">
      <w:pPr>
        <w:pStyle w:val="Prrafodelista"/>
        <w:spacing w:after="0" w:line="276" w:lineRule="auto"/>
        <w:jc w:val="both"/>
        <w:rPr>
          <w:rFonts w:ascii="Verdana" w:eastAsia="Calibri" w:hAnsi="Verdana" w:cs="Arial"/>
        </w:rPr>
      </w:pPr>
    </w:p>
    <w:p w14:paraId="3969525F" w14:textId="77777777" w:rsidR="002B2B8D" w:rsidRDefault="002B2B8D" w:rsidP="00005CEA">
      <w:pPr>
        <w:pStyle w:val="Prrafodelista"/>
        <w:spacing w:after="0" w:line="276" w:lineRule="auto"/>
        <w:jc w:val="both"/>
        <w:rPr>
          <w:rFonts w:ascii="Verdana" w:eastAsia="Calibri" w:hAnsi="Verdana" w:cs="Arial"/>
        </w:rPr>
      </w:pPr>
    </w:p>
    <w:p w14:paraId="7B3FFC13" w14:textId="77777777" w:rsidR="002B2B8D" w:rsidRDefault="002B2B8D" w:rsidP="00005CEA">
      <w:pPr>
        <w:pStyle w:val="Prrafodelista"/>
        <w:spacing w:after="0" w:line="276" w:lineRule="auto"/>
        <w:jc w:val="both"/>
        <w:rPr>
          <w:rFonts w:ascii="Verdana" w:eastAsia="Calibri" w:hAnsi="Verdana" w:cs="Arial"/>
        </w:rPr>
      </w:pPr>
    </w:p>
    <w:p w14:paraId="4CB9B7F0" w14:textId="77777777" w:rsidR="002B2B8D" w:rsidRDefault="002B2B8D" w:rsidP="00005CEA">
      <w:pPr>
        <w:pStyle w:val="Prrafodelista"/>
        <w:spacing w:after="0" w:line="276" w:lineRule="auto"/>
        <w:jc w:val="both"/>
        <w:rPr>
          <w:rFonts w:ascii="Verdana" w:eastAsia="Calibri" w:hAnsi="Verdana" w:cs="Arial"/>
        </w:rPr>
      </w:pPr>
    </w:p>
    <w:p w14:paraId="6BFFF184" w14:textId="1015D1D9" w:rsidR="0063173A" w:rsidRPr="00AB06F3" w:rsidRDefault="0063173A" w:rsidP="00031DF5">
      <w:pPr>
        <w:pStyle w:val="Prrafodelista"/>
        <w:numPr>
          <w:ilvl w:val="0"/>
          <w:numId w:val="7"/>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7F270A63" w14:textId="5A5E1265" w:rsidR="002B7D8C" w:rsidRPr="002B7D8C" w:rsidRDefault="002B7D8C" w:rsidP="002B7D8C">
      <w:pPr>
        <w:pStyle w:val="Descripcin"/>
        <w:keepNext/>
        <w:jc w:val="center"/>
        <w:rPr>
          <w:rFonts w:ascii="Verdana" w:eastAsia="Verdana" w:hAnsi="Verdana" w:cs="Arial"/>
          <w:i w:val="0"/>
          <w:iCs w:val="0"/>
          <w:color w:val="000000" w:themeColor="text1"/>
        </w:rPr>
      </w:pPr>
      <w:bookmarkStart w:id="8" w:name="_Toc225283117"/>
      <w:r w:rsidRPr="002B7D8C">
        <w:rPr>
          <w:rFonts w:ascii="Verdana" w:eastAsia="Verdana" w:hAnsi="Verdana" w:cs="Arial"/>
          <w:i w:val="0"/>
          <w:iCs w:val="0"/>
          <w:color w:val="000000" w:themeColor="text1"/>
        </w:rPr>
        <w:t xml:space="preserve">Tabla </w:t>
      </w:r>
      <w:r w:rsidRPr="002B7D8C">
        <w:rPr>
          <w:rFonts w:ascii="Verdana" w:eastAsia="Verdana" w:hAnsi="Verdana" w:cs="Arial"/>
          <w:i w:val="0"/>
          <w:iCs w:val="0"/>
          <w:color w:val="000000" w:themeColor="text1"/>
        </w:rPr>
        <w:fldChar w:fldCharType="begin"/>
      </w:r>
      <w:r w:rsidRPr="002B7D8C">
        <w:rPr>
          <w:rFonts w:ascii="Verdana" w:eastAsia="Verdana" w:hAnsi="Verdana" w:cs="Arial"/>
          <w:i w:val="0"/>
          <w:iCs w:val="0"/>
          <w:color w:val="000000" w:themeColor="text1"/>
        </w:rPr>
        <w:instrText xml:space="preserve"> SEQ Tabla \* ARABIC </w:instrText>
      </w:r>
      <w:r w:rsidRPr="002B7D8C">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5</w:t>
      </w:r>
      <w:r w:rsidRPr="002B7D8C">
        <w:rPr>
          <w:rFonts w:ascii="Verdana" w:eastAsia="Verdana" w:hAnsi="Verdana" w:cs="Arial"/>
          <w:i w:val="0"/>
          <w:iCs w:val="0"/>
          <w:color w:val="000000" w:themeColor="text1"/>
        </w:rPr>
        <w:fldChar w:fldCharType="end"/>
      </w:r>
      <w:r w:rsidRPr="002B7D8C">
        <w:rPr>
          <w:rFonts w:ascii="Verdana" w:eastAsia="Verdana" w:hAnsi="Verdana" w:cs="Arial"/>
          <w:i w:val="0"/>
          <w:iCs w:val="0"/>
          <w:color w:val="000000" w:themeColor="text1"/>
        </w:rPr>
        <w:t>. Desafíos y retos del indicador C.205.N</w:t>
      </w:r>
      <w:bookmarkEnd w:id="8"/>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0063173A" w:rsidRPr="00147F6E" w14:paraId="648CB02A" w14:textId="77777777" w:rsidTr="005F457D">
        <w:trPr>
          <w:trHeight w:val="300"/>
          <w:tblHeader/>
        </w:trPr>
        <w:tc>
          <w:tcPr>
            <w:tcW w:w="1408" w:type="dxa"/>
            <w:tcMar>
              <w:left w:w="108" w:type="dxa"/>
              <w:right w:w="108" w:type="dxa"/>
            </w:tcMar>
          </w:tcPr>
          <w:p w14:paraId="6036F7C3" w14:textId="77777777" w:rsidR="0063173A" w:rsidRPr="00147F6E" w:rsidRDefault="0063173A" w:rsidP="005F457D">
            <w:pPr>
              <w:spacing w:line="276" w:lineRule="auto"/>
              <w:jc w:val="center"/>
              <w:rPr>
                <w:rFonts w:ascii="Verdana" w:eastAsia="Verdana" w:hAnsi="Verdana" w:cs="Arial"/>
                <w:b/>
                <w:bCs/>
                <w:color w:val="000000" w:themeColor="text1"/>
                <w:sz w:val="18"/>
                <w:szCs w:val="18"/>
              </w:rPr>
            </w:pPr>
            <w:r w:rsidRPr="00147F6E">
              <w:rPr>
                <w:rFonts w:ascii="Verdana" w:eastAsia="Verdana" w:hAnsi="Verdana" w:cs="Arial"/>
                <w:b/>
                <w:bCs/>
                <w:color w:val="000000" w:themeColor="text1"/>
                <w:sz w:val="18"/>
                <w:szCs w:val="18"/>
              </w:rPr>
              <w:t>Tipo de Reto</w:t>
            </w:r>
          </w:p>
        </w:tc>
        <w:tc>
          <w:tcPr>
            <w:tcW w:w="3265" w:type="dxa"/>
            <w:tcMar>
              <w:left w:w="108" w:type="dxa"/>
              <w:right w:w="108" w:type="dxa"/>
            </w:tcMar>
          </w:tcPr>
          <w:p w14:paraId="37CBD77F" w14:textId="77777777" w:rsidR="0063173A" w:rsidRPr="00147F6E" w:rsidRDefault="0063173A" w:rsidP="005F457D">
            <w:pPr>
              <w:spacing w:line="276" w:lineRule="auto"/>
              <w:jc w:val="center"/>
              <w:rPr>
                <w:rFonts w:ascii="Verdana" w:eastAsia="Verdana" w:hAnsi="Verdana" w:cs="Arial"/>
                <w:b/>
                <w:bCs/>
                <w:color w:val="000000" w:themeColor="text1"/>
                <w:sz w:val="18"/>
                <w:szCs w:val="18"/>
              </w:rPr>
            </w:pPr>
            <w:r w:rsidRPr="00147F6E">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2216ECF1" w14:textId="77777777" w:rsidR="0063173A" w:rsidRPr="00147F6E" w:rsidRDefault="0063173A" w:rsidP="005F457D">
            <w:pPr>
              <w:spacing w:line="276" w:lineRule="auto"/>
              <w:jc w:val="center"/>
              <w:rPr>
                <w:rFonts w:ascii="Verdana" w:eastAsia="Verdana" w:hAnsi="Verdana" w:cs="Arial"/>
                <w:b/>
                <w:bCs/>
                <w:color w:val="000000" w:themeColor="text1"/>
                <w:sz w:val="18"/>
                <w:szCs w:val="18"/>
              </w:rPr>
            </w:pPr>
            <w:r w:rsidRPr="00147F6E">
              <w:rPr>
                <w:rFonts w:ascii="Verdana" w:eastAsia="Verdana" w:hAnsi="Verdana" w:cs="Arial"/>
                <w:b/>
                <w:bCs/>
                <w:color w:val="000000" w:themeColor="text1"/>
                <w:sz w:val="18"/>
                <w:szCs w:val="18"/>
              </w:rPr>
              <w:t>Medidas para mitigar el Reto</w:t>
            </w:r>
          </w:p>
        </w:tc>
      </w:tr>
      <w:tr w:rsidR="0063173A" w:rsidRPr="00147F6E" w14:paraId="74B7A685" w14:textId="77777777" w:rsidTr="005F457D">
        <w:trPr>
          <w:trHeight w:val="300"/>
        </w:trPr>
        <w:tc>
          <w:tcPr>
            <w:tcW w:w="1408" w:type="dxa"/>
            <w:tcMar>
              <w:left w:w="108" w:type="dxa"/>
              <w:right w:w="108" w:type="dxa"/>
            </w:tcMar>
          </w:tcPr>
          <w:p w14:paraId="044F3A91" w14:textId="50C68204" w:rsidR="0063173A" w:rsidRPr="00147F6E" w:rsidRDefault="004F7641" w:rsidP="005F457D">
            <w:pPr>
              <w:spacing w:line="276" w:lineRule="auto"/>
              <w:rPr>
                <w:rFonts w:ascii="Verdana" w:eastAsia="Verdana" w:hAnsi="Verdana" w:cs="Arial"/>
                <w:color w:val="000000" w:themeColor="text1"/>
                <w:sz w:val="18"/>
                <w:szCs w:val="18"/>
              </w:rPr>
            </w:pPr>
            <w:r w:rsidRPr="00147F6E">
              <w:rPr>
                <w:rFonts w:ascii="Verdana" w:eastAsia="Verdana" w:hAnsi="Verdana" w:cs="Arial"/>
                <w:color w:val="000000" w:themeColor="text1"/>
                <w:sz w:val="18"/>
                <w:szCs w:val="18"/>
              </w:rPr>
              <w:t>Institucional</w:t>
            </w:r>
          </w:p>
        </w:tc>
        <w:tc>
          <w:tcPr>
            <w:tcW w:w="3265" w:type="dxa"/>
            <w:tcMar>
              <w:left w:w="108" w:type="dxa"/>
              <w:right w:w="108" w:type="dxa"/>
            </w:tcMar>
          </w:tcPr>
          <w:p w14:paraId="4AC89246" w14:textId="383F12DF" w:rsidR="007B05BA" w:rsidRPr="007B05BA" w:rsidRDefault="007B05BA" w:rsidP="007B05BA">
            <w:pPr>
              <w:spacing w:line="276" w:lineRule="auto"/>
              <w:rPr>
                <w:rFonts w:ascii="Verdana" w:eastAsia="Verdana" w:hAnsi="Verdana" w:cs="Arial"/>
                <w:color w:val="000000" w:themeColor="text1"/>
                <w:sz w:val="18"/>
                <w:szCs w:val="18"/>
              </w:rPr>
            </w:pPr>
            <w:r w:rsidRPr="007B05BA">
              <w:rPr>
                <w:rFonts w:ascii="Verdana" w:eastAsia="Verdana" w:hAnsi="Verdana" w:cs="Arial"/>
                <w:color w:val="000000" w:themeColor="text1"/>
                <w:sz w:val="18"/>
                <w:szCs w:val="18"/>
              </w:rPr>
              <w:t xml:space="preserve">1. </w:t>
            </w:r>
            <w:r w:rsidR="00044471" w:rsidRPr="00044471">
              <w:rPr>
                <w:rFonts w:ascii="Verdana" w:eastAsia="Verdana" w:hAnsi="Verdana" w:cs="Arial"/>
                <w:color w:val="000000" w:themeColor="text1"/>
                <w:sz w:val="18"/>
                <w:szCs w:val="18"/>
              </w:rPr>
              <w:t>Gestionar oportunamente situaciones que pudieran generar riesgos de incumplimiento en la ejecución contractual y afectar la medición del índice de fortalecimiento.</w:t>
            </w:r>
          </w:p>
          <w:p w14:paraId="0BA05AE7" w14:textId="23EE39CF" w:rsidR="007B05BA" w:rsidRPr="007B05BA" w:rsidRDefault="007B05BA" w:rsidP="007B05BA">
            <w:pPr>
              <w:spacing w:line="276" w:lineRule="auto"/>
              <w:rPr>
                <w:rFonts w:ascii="Verdana" w:eastAsia="Verdana" w:hAnsi="Verdana" w:cs="Arial"/>
                <w:color w:val="000000" w:themeColor="text1"/>
                <w:sz w:val="18"/>
                <w:szCs w:val="18"/>
              </w:rPr>
            </w:pPr>
            <w:r w:rsidRPr="007B05BA">
              <w:rPr>
                <w:rFonts w:ascii="Verdana" w:eastAsia="Verdana" w:hAnsi="Verdana" w:cs="Arial"/>
                <w:color w:val="000000" w:themeColor="text1"/>
                <w:sz w:val="18"/>
                <w:szCs w:val="18"/>
              </w:rPr>
              <w:t>2. </w:t>
            </w:r>
            <w:r w:rsidR="00044471" w:rsidRPr="00044471">
              <w:rPr>
                <w:rFonts w:ascii="Verdana" w:eastAsia="Verdana" w:hAnsi="Verdana" w:cs="Arial"/>
                <w:color w:val="000000" w:themeColor="text1"/>
                <w:sz w:val="18"/>
                <w:szCs w:val="18"/>
              </w:rPr>
              <w:t>Posibilidad de contar únicamente con medición de línea base debido al desistimiento de alguna forma asociativa del proceso de fortalecimiento.</w:t>
            </w:r>
          </w:p>
          <w:p w14:paraId="21CC10BC" w14:textId="26E2325B" w:rsidR="007B05BA" w:rsidRPr="007B05BA" w:rsidRDefault="007B05BA" w:rsidP="007B05BA">
            <w:pPr>
              <w:spacing w:line="276" w:lineRule="auto"/>
              <w:rPr>
                <w:rFonts w:ascii="Verdana" w:eastAsia="Verdana" w:hAnsi="Verdana" w:cs="Arial"/>
                <w:color w:val="000000" w:themeColor="text1"/>
                <w:sz w:val="18"/>
                <w:szCs w:val="18"/>
              </w:rPr>
            </w:pPr>
            <w:r w:rsidRPr="007B05BA">
              <w:rPr>
                <w:rFonts w:ascii="Verdana" w:eastAsia="Verdana" w:hAnsi="Verdana" w:cs="Arial"/>
                <w:color w:val="000000" w:themeColor="text1"/>
                <w:sz w:val="18"/>
                <w:szCs w:val="18"/>
              </w:rPr>
              <w:t>3. </w:t>
            </w:r>
            <w:r w:rsidR="00044471" w:rsidRPr="00044471">
              <w:rPr>
                <w:rFonts w:ascii="Verdana" w:eastAsia="Verdana" w:hAnsi="Verdana" w:cs="Arial"/>
                <w:color w:val="000000" w:themeColor="text1"/>
                <w:sz w:val="18"/>
                <w:szCs w:val="18"/>
              </w:rPr>
              <w:t>Obtención de mediciones finales inferiores a la medición inicial de línea base.</w:t>
            </w:r>
          </w:p>
          <w:p w14:paraId="34DBD28C" w14:textId="1314EB15" w:rsidR="0063173A" w:rsidRPr="009312C2" w:rsidRDefault="007B05BA" w:rsidP="009312C2">
            <w:pPr>
              <w:spacing w:line="276" w:lineRule="auto"/>
              <w:rPr>
                <w:rFonts w:ascii="Verdana" w:eastAsia="Verdana" w:hAnsi="Verdana" w:cs="Arial"/>
                <w:color w:val="000000" w:themeColor="text1"/>
                <w:sz w:val="18"/>
                <w:szCs w:val="18"/>
              </w:rPr>
            </w:pPr>
            <w:r w:rsidRPr="007B05BA">
              <w:rPr>
                <w:rFonts w:ascii="Verdana" w:eastAsia="Verdana" w:hAnsi="Verdana" w:cs="Arial"/>
                <w:color w:val="000000" w:themeColor="text1"/>
                <w:sz w:val="18"/>
                <w:szCs w:val="18"/>
              </w:rPr>
              <w:t>4. </w:t>
            </w:r>
            <w:r w:rsidR="006B0849" w:rsidRPr="006B0849">
              <w:rPr>
                <w:rFonts w:ascii="Verdana" w:eastAsia="Verdana" w:hAnsi="Verdana" w:cs="Arial"/>
                <w:color w:val="000000" w:themeColor="text1"/>
                <w:sz w:val="18"/>
                <w:szCs w:val="18"/>
              </w:rPr>
              <w:t>Necesidad de acompañamiento institucional para la adecuada implementación de la herramienta de medición.</w:t>
            </w:r>
          </w:p>
        </w:tc>
        <w:tc>
          <w:tcPr>
            <w:tcW w:w="4155" w:type="dxa"/>
            <w:tcMar>
              <w:left w:w="108" w:type="dxa"/>
              <w:right w:w="108" w:type="dxa"/>
            </w:tcMar>
          </w:tcPr>
          <w:p w14:paraId="5B39B979" w14:textId="77777777" w:rsidR="006B0849" w:rsidRDefault="006B0849" w:rsidP="00827434">
            <w:pPr>
              <w:spacing w:line="276" w:lineRule="auto"/>
              <w:jc w:val="both"/>
              <w:rPr>
                <w:rFonts w:ascii="Verdana" w:eastAsia="Verdana" w:hAnsi="Verdana" w:cs="Arial"/>
                <w:color w:val="000000" w:themeColor="text1"/>
                <w:sz w:val="18"/>
                <w:szCs w:val="18"/>
              </w:rPr>
            </w:pPr>
            <w:r w:rsidRPr="006B0849">
              <w:rPr>
                <w:rFonts w:ascii="Verdana" w:eastAsia="Verdana" w:hAnsi="Verdana" w:cs="Arial"/>
                <w:color w:val="000000" w:themeColor="text1"/>
                <w:sz w:val="18"/>
                <w:szCs w:val="18"/>
              </w:rPr>
              <w:t>1. Alertar oportunamente a la ARN sobre el desistimiento de una forma asociativa para formalizar su retiro y realizar la medición correspondiente antes de su salida del proceso. En caso de que el resultado sea inferior al 70% del índice de capacidades, se evaluarán las condiciones que impidieron su continuidad para considerar su inclusión en un nuevo proceso de fortalecimiento.</w:t>
            </w:r>
          </w:p>
          <w:p w14:paraId="387D20E9" w14:textId="77777777" w:rsidR="006B0849" w:rsidRDefault="006B0849" w:rsidP="00827434">
            <w:pPr>
              <w:spacing w:line="276" w:lineRule="auto"/>
              <w:jc w:val="both"/>
              <w:rPr>
                <w:rFonts w:ascii="Verdana" w:eastAsia="Verdana" w:hAnsi="Verdana" w:cs="Arial"/>
                <w:color w:val="000000" w:themeColor="text1"/>
                <w:sz w:val="18"/>
                <w:szCs w:val="18"/>
              </w:rPr>
            </w:pPr>
          </w:p>
          <w:p w14:paraId="5C2812FF" w14:textId="77777777" w:rsidR="00100DCC" w:rsidRDefault="006B0849" w:rsidP="00827434">
            <w:pPr>
              <w:spacing w:line="276" w:lineRule="auto"/>
              <w:jc w:val="both"/>
              <w:rPr>
                <w:rFonts w:ascii="Verdana" w:eastAsia="Verdana" w:hAnsi="Verdana" w:cs="Arial"/>
                <w:color w:val="000000" w:themeColor="text1"/>
                <w:sz w:val="18"/>
                <w:szCs w:val="18"/>
              </w:rPr>
            </w:pPr>
            <w:r w:rsidRPr="006B0849">
              <w:rPr>
                <w:rFonts w:ascii="Verdana" w:eastAsia="Verdana" w:hAnsi="Verdana" w:cs="Arial"/>
                <w:color w:val="000000" w:themeColor="text1"/>
                <w:sz w:val="18"/>
                <w:szCs w:val="18"/>
              </w:rPr>
              <w:t>2. Reforzar la socialización de la guía de aplicación del instrumento de medición, promoviendo la participación de los directivos o de las personas que intervinieron en la medición inicial.</w:t>
            </w:r>
          </w:p>
          <w:p w14:paraId="74441885" w14:textId="77777777" w:rsidR="00100DCC" w:rsidRDefault="00100DCC" w:rsidP="00827434">
            <w:pPr>
              <w:spacing w:line="276" w:lineRule="auto"/>
              <w:jc w:val="both"/>
              <w:rPr>
                <w:rFonts w:ascii="Verdana" w:eastAsia="Verdana" w:hAnsi="Verdana" w:cs="Arial"/>
                <w:color w:val="000000" w:themeColor="text1"/>
                <w:sz w:val="18"/>
                <w:szCs w:val="18"/>
              </w:rPr>
            </w:pPr>
          </w:p>
          <w:p w14:paraId="6FD25FF1" w14:textId="790E5831" w:rsidR="0063173A" w:rsidRPr="009312C2" w:rsidRDefault="00100DCC" w:rsidP="00512D86">
            <w:pPr>
              <w:spacing w:line="276" w:lineRule="auto"/>
              <w:jc w:val="both"/>
              <w:rPr>
                <w:rFonts w:ascii="Verdana" w:eastAsia="Verdana" w:hAnsi="Verdana" w:cs="Arial"/>
                <w:color w:val="000000" w:themeColor="text1"/>
                <w:sz w:val="18"/>
                <w:szCs w:val="18"/>
              </w:rPr>
            </w:pPr>
            <w:r w:rsidRPr="00100DCC">
              <w:rPr>
                <w:rFonts w:ascii="Verdana" w:eastAsia="Verdana" w:hAnsi="Verdana" w:cs="Arial"/>
                <w:color w:val="000000" w:themeColor="text1"/>
                <w:sz w:val="18"/>
                <w:szCs w:val="18"/>
              </w:rPr>
              <w:t>3. Incluir en las actividades el acompañamiento de la ARN, desde el nivel central o territorial, para apoyar la correcta aplicación de la herramienta de medición.</w:t>
            </w:r>
          </w:p>
        </w:tc>
      </w:tr>
    </w:tbl>
    <w:p w14:paraId="439F74A4" w14:textId="48786D24" w:rsidR="004D2D51" w:rsidRPr="00330B02" w:rsidRDefault="004D2D51" w:rsidP="00277692">
      <w:pPr>
        <w:pStyle w:val="Ttulo5"/>
        <w:jc w:val="both"/>
        <w:rPr>
          <w:rFonts w:ascii="Verdana" w:eastAsiaTheme="minorEastAsia" w:hAnsi="Verdana"/>
          <w:sz w:val="18"/>
          <w:szCs w:val="18"/>
          <w:highlight w:val="darkGray"/>
        </w:rPr>
      </w:pPr>
    </w:p>
    <w:p w14:paraId="0B8B145C" w14:textId="337E19CF" w:rsidR="00177D87" w:rsidRDefault="00177D8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 xml:space="preserve">Producto: </w:t>
      </w:r>
      <w:r w:rsidR="00960D9C" w:rsidRPr="00960D9C">
        <w:rPr>
          <w:rFonts w:ascii="Verdana" w:eastAsia="Verdana" w:hAnsi="Verdana" w:cs="Arial"/>
          <w:b/>
          <w:bCs/>
          <w:color w:val="000000" w:themeColor="text1"/>
          <w:sz w:val="24"/>
          <w:szCs w:val="24"/>
        </w:rPr>
        <w:t>Garantías para una reincorporación económica y social sostenible</w:t>
      </w:r>
    </w:p>
    <w:p w14:paraId="7198CAB6" w14:textId="07EDAA5D" w:rsidR="00177D87" w:rsidRDefault="00100DCC" w:rsidP="00177D87">
      <w:pPr>
        <w:spacing w:before="240" w:after="0" w:line="276" w:lineRule="auto"/>
        <w:rPr>
          <w:rFonts w:ascii="Verdana" w:eastAsia="Verdana" w:hAnsi="Verdana" w:cs="Arial"/>
          <w:color w:val="000000" w:themeColor="text1"/>
          <w:sz w:val="24"/>
          <w:szCs w:val="24"/>
        </w:rPr>
      </w:pPr>
      <w:r>
        <w:rPr>
          <w:rFonts w:ascii="Verdana" w:eastAsia="Verdana" w:hAnsi="Verdana" w:cs="Arial"/>
          <w:b/>
          <w:bCs/>
          <w:color w:val="000000" w:themeColor="text1"/>
          <w:sz w:val="24"/>
          <w:szCs w:val="24"/>
        </w:rPr>
        <w:t xml:space="preserve">Indicador </w:t>
      </w:r>
      <w:r w:rsidR="00177D87" w:rsidRPr="009E02FB">
        <w:rPr>
          <w:rFonts w:ascii="Verdana" w:eastAsia="Verdana" w:hAnsi="Verdana" w:cs="Arial"/>
          <w:b/>
          <w:bCs/>
          <w:color w:val="000000" w:themeColor="text1"/>
          <w:sz w:val="24"/>
          <w:szCs w:val="24"/>
        </w:rPr>
        <w:t>C.2</w:t>
      </w:r>
      <w:r w:rsidR="00177D87">
        <w:rPr>
          <w:rFonts w:ascii="Verdana" w:eastAsia="Verdana" w:hAnsi="Verdana" w:cs="Arial"/>
          <w:b/>
          <w:bCs/>
          <w:color w:val="000000" w:themeColor="text1"/>
          <w:sz w:val="24"/>
          <w:szCs w:val="24"/>
        </w:rPr>
        <w:t>07.N</w:t>
      </w:r>
      <w:r w:rsidR="0010356C" w:rsidRPr="0010356C">
        <w:t xml:space="preserve"> </w:t>
      </w:r>
      <w:r w:rsidR="0010356C" w:rsidRPr="0010356C">
        <w:rPr>
          <w:rFonts w:ascii="Verdana" w:eastAsia="Verdana" w:hAnsi="Verdana" w:cs="Arial"/>
          <w:color w:val="000000" w:themeColor="text1"/>
          <w:sz w:val="24"/>
          <w:szCs w:val="24"/>
        </w:rPr>
        <w:t>Sujetos y colectivos que han recibido en su totalidad el Plan de Acompañamiento y Asistencia Técnica Integral (PAATI)</w:t>
      </w:r>
    </w:p>
    <w:p w14:paraId="1F6F25F9" w14:textId="77777777" w:rsidR="00A46575" w:rsidRDefault="00A46575" w:rsidP="00177D87">
      <w:pPr>
        <w:spacing w:before="240" w:after="0" w:line="276" w:lineRule="auto"/>
        <w:rPr>
          <w:rFonts w:ascii="Verdana" w:eastAsia="Verdana" w:hAnsi="Verdana" w:cs="Arial"/>
          <w:color w:val="000000" w:themeColor="text1"/>
          <w:sz w:val="24"/>
          <w:szCs w:val="24"/>
        </w:rPr>
      </w:pPr>
    </w:p>
    <w:p w14:paraId="5F28AF4B" w14:textId="2B272041" w:rsidR="00A46575" w:rsidRPr="00A46575" w:rsidRDefault="00A46575" w:rsidP="00A46575">
      <w:pPr>
        <w:pStyle w:val="Descripcin"/>
        <w:keepNext/>
        <w:jc w:val="center"/>
        <w:rPr>
          <w:rFonts w:ascii="Verdana" w:eastAsia="Verdana" w:hAnsi="Verdana" w:cs="Arial"/>
          <w:i w:val="0"/>
          <w:iCs w:val="0"/>
          <w:color w:val="000000" w:themeColor="text1"/>
        </w:rPr>
      </w:pPr>
      <w:bookmarkStart w:id="9" w:name="_Toc225283118"/>
      <w:r w:rsidRPr="00A46575">
        <w:rPr>
          <w:rFonts w:ascii="Verdana" w:eastAsia="Verdana" w:hAnsi="Verdana" w:cs="Arial"/>
          <w:i w:val="0"/>
          <w:iCs w:val="0"/>
          <w:color w:val="000000" w:themeColor="text1"/>
        </w:rPr>
        <w:t xml:space="preserve">Tabla </w:t>
      </w:r>
      <w:r w:rsidRPr="00A46575">
        <w:rPr>
          <w:rFonts w:ascii="Verdana" w:eastAsia="Verdana" w:hAnsi="Verdana" w:cs="Arial"/>
          <w:i w:val="0"/>
          <w:iCs w:val="0"/>
          <w:color w:val="000000" w:themeColor="text1"/>
        </w:rPr>
        <w:fldChar w:fldCharType="begin"/>
      </w:r>
      <w:r w:rsidRPr="00A46575">
        <w:rPr>
          <w:rFonts w:ascii="Verdana" w:eastAsia="Verdana" w:hAnsi="Verdana" w:cs="Arial"/>
          <w:i w:val="0"/>
          <w:iCs w:val="0"/>
          <w:color w:val="000000" w:themeColor="text1"/>
        </w:rPr>
        <w:instrText xml:space="preserve"> SEQ Tabla \* ARABIC </w:instrText>
      </w:r>
      <w:r w:rsidRPr="00A46575">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w:t>
      </w:r>
      <w:r w:rsidRPr="00A46575">
        <w:rPr>
          <w:rFonts w:ascii="Verdana" w:eastAsia="Verdana" w:hAnsi="Verdana" w:cs="Arial"/>
          <w:i w:val="0"/>
          <w:iCs w:val="0"/>
          <w:color w:val="000000" w:themeColor="text1"/>
        </w:rPr>
        <w:fldChar w:fldCharType="end"/>
      </w:r>
      <w:r w:rsidRPr="00A46575">
        <w:rPr>
          <w:rFonts w:ascii="Verdana" w:eastAsia="Verdana" w:hAnsi="Verdana" w:cs="Arial"/>
          <w:i w:val="0"/>
          <w:iCs w:val="0"/>
          <w:color w:val="000000" w:themeColor="text1"/>
        </w:rPr>
        <w:t>. Detalle de avance en el indicador C.207.N</w:t>
      </w:r>
      <w:bookmarkEnd w:id="9"/>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017"/>
        <w:gridCol w:w="2146"/>
        <w:gridCol w:w="1217"/>
        <w:gridCol w:w="1211"/>
        <w:gridCol w:w="1244"/>
      </w:tblGrid>
      <w:tr w:rsidR="00177D87" w:rsidRPr="00AB06F3" w14:paraId="496ABA1B" w14:textId="77777777" w:rsidTr="00A46575">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17" w:type="dxa"/>
            <w:tcMar>
              <w:left w:w="108" w:type="dxa"/>
              <w:right w:w="108" w:type="dxa"/>
            </w:tcMar>
            <w:vAlign w:val="center"/>
          </w:tcPr>
          <w:p w14:paraId="24CFFF37" w14:textId="77777777" w:rsidR="00177D87" w:rsidRPr="00AB06F3" w:rsidRDefault="00177D87"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2146" w:type="dxa"/>
            <w:tcMar>
              <w:left w:w="108" w:type="dxa"/>
              <w:right w:w="108" w:type="dxa"/>
            </w:tcMar>
            <w:vAlign w:val="center"/>
          </w:tcPr>
          <w:p w14:paraId="5A7E9A86"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45FAF3B3"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4763FEE1"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6235EA4F"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177D87" w:rsidRPr="00AB06F3" w14:paraId="056A26CC" w14:textId="77777777" w:rsidTr="00A46575">
        <w:trPr>
          <w:trHeight w:val="675"/>
        </w:trPr>
        <w:tc>
          <w:tcPr>
            <w:cnfStyle w:val="001000000000" w:firstRow="0" w:lastRow="0" w:firstColumn="1" w:lastColumn="0" w:oddVBand="0" w:evenVBand="0" w:oddHBand="0" w:evenHBand="0" w:firstRowFirstColumn="0" w:firstRowLastColumn="0" w:lastRowFirstColumn="0" w:lastRowLastColumn="0"/>
            <w:tcW w:w="3017" w:type="dxa"/>
            <w:tcMar>
              <w:left w:w="108" w:type="dxa"/>
              <w:right w:w="108" w:type="dxa"/>
            </w:tcMar>
            <w:vAlign w:val="center"/>
          </w:tcPr>
          <w:p w14:paraId="1E727CBF" w14:textId="53C85E5E" w:rsidR="00177D87" w:rsidRPr="00F34F3A" w:rsidRDefault="00F34F3A" w:rsidP="00D634BC">
            <w:pPr>
              <w:spacing w:before="240" w:line="276" w:lineRule="auto"/>
              <w:rPr>
                <w:rFonts w:ascii="Verdana" w:eastAsia="Verdana" w:hAnsi="Verdana" w:cs="Arial"/>
                <w:b w:val="0"/>
                <w:bCs w:val="0"/>
                <w:color w:val="000000" w:themeColor="text1"/>
                <w:sz w:val="24"/>
                <w:szCs w:val="24"/>
              </w:rPr>
            </w:pPr>
            <w:r w:rsidRPr="00F34F3A">
              <w:rPr>
                <w:rFonts w:ascii="Verdana" w:eastAsia="Verdana" w:hAnsi="Verdana" w:cs="Arial"/>
                <w:b w:val="0"/>
                <w:bCs w:val="0"/>
                <w:color w:val="000000" w:themeColor="text1"/>
                <w:sz w:val="18"/>
                <w:szCs w:val="18"/>
              </w:rPr>
              <w:t>C.207.N</w:t>
            </w:r>
            <w:r w:rsidRPr="00F34F3A">
              <w:rPr>
                <w:b w:val="0"/>
                <w:bCs w:val="0"/>
                <w:sz w:val="16"/>
                <w:szCs w:val="16"/>
              </w:rPr>
              <w:t xml:space="preserve"> </w:t>
            </w:r>
            <w:r w:rsidRPr="00F34F3A">
              <w:rPr>
                <w:rFonts w:ascii="Verdana" w:eastAsia="Verdana" w:hAnsi="Verdana" w:cs="Arial"/>
                <w:b w:val="0"/>
                <w:bCs w:val="0"/>
                <w:color w:val="000000" w:themeColor="text1"/>
                <w:sz w:val="18"/>
                <w:szCs w:val="18"/>
              </w:rPr>
              <w:t xml:space="preserve">Sujetos y colectivos que han recibido en su totalidad el Plan de </w:t>
            </w:r>
            <w:r w:rsidRPr="00F34F3A">
              <w:rPr>
                <w:rFonts w:ascii="Verdana" w:eastAsia="Verdana" w:hAnsi="Verdana" w:cs="Arial"/>
                <w:b w:val="0"/>
                <w:bCs w:val="0"/>
                <w:color w:val="000000" w:themeColor="text1"/>
                <w:sz w:val="18"/>
                <w:szCs w:val="18"/>
              </w:rPr>
              <w:lastRenderedPageBreak/>
              <w:t>Acompañamiento y Asistencia Técnica Integral (PAATI)</w:t>
            </w:r>
          </w:p>
        </w:tc>
        <w:tc>
          <w:tcPr>
            <w:tcW w:w="2146" w:type="dxa"/>
            <w:tcMar>
              <w:left w:w="108" w:type="dxa"/>
              <w:right w:w="108" w:type="dxa"/>
            </w:tcMar>
            <w:vAlign w:val="center"/>
          </w:tcPr>
          <w:p w14:paraId="2928642F"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lastRenderedPageBreak/>
              <w:t>Temático</w:t>
            </w:r>
          </w:p>
        </w:tc>
        <w:tc>
          <w:tcPr>
            <w:tcW w:w="1217" w:type="dxa"/>
            <w:shd w:val="clear" w:color="auto" w:fill="FFFFFF" w:themeFill="background1"/>
            <w:tcMar>
              <w:left w:w="108" w:type="dxa"/>
              <w:right w:w="108" w:type="dxa"/>
            </w:tcMar>
            <w:vAlign w:val="center"/>
          </w:tcPr>
          <w:p w14:paraId="0D982CC7"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21FA8FA2"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2464FC51"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 </w:t>
            </w:r>
          </w:p>
          <w:p w14:paraId="48F8A1F6" w14:textId="141C4DF9" w:rsidR="00177D87" w:rsidRPr="00AB06F3" w:rsidRDefault="00A4657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84</w:t>
            </w:r>
            <w:r w:rsidR="00177D87" w:rsidRPr="00AB06F3">
              <w:rPr>
                <w:rFonts w:ascii="Verdana" w:eastAsia="Verdana" w:hAnsi="Verdana" w:cs="Arial"/>
                <w:color w:val="000000" w:themeColor="text1"/>
                <w:sz w:val="18"/>
                <w:szCs w:val="18"/>
              </w:rPr>
              <w:t xml:space="preserve">% </w:t>
            </w:r>
          </w:p>
        </w:tc>
      </w:tr>
    </w:tbl>
    <w:p w14:paraId="3C9224B5"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3BF1E55" w14:textId="77777777" w:rsidR="00453EA5" w:rsidRDefault="00453EA5" w:rsidP="00177D87">
      <w:pPr>
        <w:spacing w:before="240" w:after="0" w:line="276" w:lineRule="auto"/>
        <w:rPr>
          <w:rFonts w:ascii="Verdana" w:eastAsia="Verdana" w:hAnsi="Verdana" w:cs="Arial"/>
          <w:sz w:val="18"/>
          <w:szCs w:val="18"/>
        </w:rPr>
      </w:pPr>
    </w:p>
    <w:p w14:paraId="1F5C9458" w14:textId="77777777" w:rsidR="00177D87" w:rsidRPr="00A12308" w:rsidRDefault="00177D87" w:rsidP="00164ED5">
      <w:pPr>
        <w:pStyle w:val="Prrafodelista"/>
        <w:numPr>
          <w:ilvl w:val="0"/>
          <w:numId w:val="15"/>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3DB3A9EB" w14:textId="6B6F6C5C" w:rsidR="00177D87" w:rsidRDefault="00177D87" w:rsidP="00604636">
      <w:pPr>
        <w:spacing w:after="0" w:line="276" w:lineRule="auto"/>
        <w:jc w:val="both"/>
        <w:rPr>
          <w:rFonts w:ascii="Verdana" w:hAnsi="Verdana" w:cs="Arial"/>
        </w:rPr>
      </w:pPr>
    </w:p>
    <w:p w14:paraId="36DDA23C" w14:textId="77777777" w:rsidR="00F5193F" w:rsidRDefault="008831FC" w:rsidP="008831FC">
      <w:pPr>
        <w:spacing w:after="0" w:line="276" w:lineRule="auto"/>
        <w:jc w:val="both"/>
        <w:rPr>
          <w:rFonts w:ascii="Verdana" w:hAnsi="Verdana" w:cs="Arial"/>
        </w:rPr>
      </w:pPr>
      <w:r w:rsidRPr="008831FC">
        <w:rPr>
          <w:rFonts w:ascii="Verdana" w:hAnsi="Verdana" w:cs="Arial"/>
        </w:rPr>
        <w:t xml:space="preserve">Al cierre </w:t>
      </w:r>
      <w:r w:rsidR="00F5193F">
        <w:rPr>
          <w:rFonts w:ascii="Verdana" w:hAnsi="Verdana" w:cs="Arial"/>
        </w:rPr>
        <w:t xml:space="preserve">de la vigencia </w:t>
      </w:r>
      <w:r w:rsidRPr="008831FC">
        <w:rPr>
          <w:rFonts w:ascii="Verdana" w:hAnsi="Verdana" w:cs="Arial"/>
        </w:rPr>
        <w:t xml:space="preserve">2025 se alcanzó el 84% de cumplimiento del indicador, con 278 personas en proceso de reincorporación que </w:t>
      </w:r>
      <w:r w:rsidR="00F5193F">
        <w:rPr>
          <w:rFonts w:ascii="Verdana" w:hAnsi="Verdana" w:cs="Arial"/>
        </w:rPr>
        <w:t xml:space="preserve">culminaron </w:t>
      </w:r>
      <w:r w:rsidRPr="008831FC">
        <w:rPr>
          <w:rFonts w:ascii="Verdana" w:hAnsi="Verdana" w:cs="Arial"/>
        </w:rPr>
        <w:t xml:space="preserve">integralmente el Plan de Acompañamiento y Asistencia Técnica Integral (PAATI), </w:t>
      </w:r>
      <w:r w:rsidR="00F5193F">
        <w:rPr>
          <w:rFonts w:ascii="Verdana" w:hAnsi="Verdana" w:cs="Arial"/>
        </w:rPr>
        <w:t xml:space="preserve">frente a </w:t>
      </w:r>
      <w:r w:rsidRPr="008831FC">
        <w:rPr>
          <w:rFonts w:ascii="Verdana" w:hAnsi="Verdana" w:cs="Arial"/>
        </w:rPr>
        <w:t xml:space="preserve">una meta proyectada de 330 personas. </w:t>
      </w:r>
    </w:p>
    <w:p w14:paraId="4151FAC2" w14:textId="77777777" w:rsidR="00F5193F" w:rsidRDefault="00F5193F" w:rsidP="008831FC">
      <w:pPr>
        <w:spacing w:after="0" w:line="276" w:lineRule="auto"/>
        <w:jc w:val="both"/>
        <w:rPr>
          <w:rFonts w:ascii="Verdana" w:hAnsi="Verdana" w:cs="Arial"/>
        </w:rPr>
      </w:pPr>
    </w:p>
    <w:p w14:paraId="656E86BB" w14:textId="134099D3" w:rsidR="008831FC" w:rsidRPr="008831FC" w:rsidRDefault="008831FC" w:rsidP="008831FC">
      <w:pPr>
        <w:spacing w:after="0" w:line="276" w:lineRule="auto"/>
        <w:jc w:val="both"/>
        <w:rPr>
          <w:rFonts w:ascii="Verdana" w:hAnsi="Verdana" w:cs="Arial"/>
        </w:rPr>
      </w:pPr>
      <w:r w:rsidRPr="008831FC">
        <w:rPr>
          <w:rFonts w:ascii="Verdana" w:hAnsi="Verdana" w:cs="Arial"/>
        </w:rPr>
        <w:t xml:space="preserve">Este resultado se materializó </w:t>
      </w:r>
      <w:r w:rsidR="00296284">
        <w:rPr>
          <w:rFonts w:ascii="Verdana" w:hAnsi="Verdana" w:cs="Arial"/>
        </w:rPr>
        <w:t xml:space="preserve">mediante </w:t>
      </w:r>
      <w:r w:rsidRPr="008831FC">
        <w:rPr>
          <w:rFonts w:ascii="Verdana" w:hAnsi="Verdana" w:cs="Arial"/>
        </w:rPr>
        <w:t xml:space="preserve">el fortalecimiento de 196 proyectos productivos individuales y colectivos, con una inversión de $2.223.860.165 </w:t>
      </w:r>
      <w:r w:rsidR="00296284">
        <w:rPr>
          <w:rFonts w:ascii="Verdana" w:hAnsi="Verdana" w:cs="Arial"/>
        </w:rPr>
        <w:t xml:space="preserve">provenientes </w:t>
      </w:r>
      <w:r w:rsidRPr="008831FC">
        <w:rPr>
          <w:rFonts w:ascii="Verdana" w:hAnsi="Verdana" w:cs="Arial"/>
        </w:rPr>
        <w:t xml:space="preserve">del Presupuesto General de la Nación, </w:t>
      </w:r>
      <w:r w:rsidR="00296284">
        <w:rPr>
          <w:rFonts w:ascii="Verdana" w:hAnsi="Verdana" w:cs="Arial"/>
        </w:rPr>
        <w:t xml:space="preserve">beneficiando </w:t>
      </w:r>
      <w:r w:rsidRPr="008831FC">
        <w:rPr>
          <w:rFonts w:ascii="Verdana" w:hAnsi="Verdana" w:cs="Arial"/>
        </w:rPr>
        <w:t>directa</w:t>
      </w:r>
      <w:r w:rsidR="00296284">
        <w:rPr>
          <w:rFonts w:ascii="Verdana" w:hAnsi="Verdana" w:cs="Arial"/>
        </w:rPr>
        <w:t xml:space="preserve">mente </w:t>
      </w:r>
      <w:r w:rsidRPr="008831FC">
        <w:rPr>
          <w:rFonts w:ascii="Verdana" w:hAnsi="Verdana" w:cs="Arial"/>
        </w:rPr>
        <w:t>a 75 mujeres y 203 hombres, incluyendo población perteneciente a grupos étnicos.</w:t>
      </w:r>
    </w:p>
    <w:p w14:paraId="5167284E" w14:textId="77777777" w:rsidR="008831FC" w:rsidRPr="008831FC" w:rsidRDefault="008831FC" w:rsidP="008831FC">
      <w:pPr>
        <w:spacing w:after="0" w:line="276" w:lineRule="auto"/>
        <w:jc w:val="both"/>
        <w:rPr>
          <w:rFonts w:ascii="Verdana" w:hAnsi="Verdana" w:cs="Arial"/>
        </w:rPr>
      </w:pPr>
    </w:p>
    <w:p w14:paraId="61BDF105" w14:textId="77777777" w:rsidR="00B3540D" w:rsidRDefault="00B3540D" w:rsidP="008831FC">
      <w:pPr>
        <w:spacing w:after="0" w:line="276" w:lineRule="auto"/>
        <w:jc w:val="both"/>
        <w:rPr>
          <w:rFonts w:ascii="Verdana" w:hAnsi="Verdana" w:cs="Arial"/>
        </w:rPr>
      </w:pPr>
      <w:r w:rsidRPr="00B3540D">
        <w:rPr>
          <w:rFonts w:ascii="Verdana" w:hAnsi="Verdana" w:cs="Arial"/>
        </w:rPr>
        <w:t>La implementación del PAATI permitió consolidar una cobertura territorial en 20 departamentos, con presencia en territorios estratégicos del proceso de reincorporación como Antioquia, Bogotá D.C., Meta y Valle del Cauca, entre otros.</w:t>
      </w:r>
    </w:p>
    <w:p w14:paraId="3BC4CDBD" w14:textId="77777777" w:rsidR="00B3540D" w:rsidRPr="00B3540D" w:rsidRDefault="00B3540D" w:rsidP="008831FC">
      <w:pPr>
        <w:spacing w:after="0" w:line="276" w:lineRule="auto"/>
        <w:jc w:val="both"/>
        <w:rPr>
          <w:rFonts w:ascii="Verdana" w:hAnsi="Verdana" w:cs="Arial"/>
        </w:rPr>
      </w:pPr>
    </w:p>
    <w:p w14:paraId="27132154" w14:textId="4BD4F0E2" w:rsidR="00604636" w:rsidRDefault="00B3540D" w:rsidP="00604636">
      <w:pPr>
        <w:spacing w:after="0" w:line="276" w:lineRule="auto"/>
        <w:jc w:val="both"/>
        <w:rPr>
          <w:rFonts w:ascii="Verdana" w:hAnsi="Verdana" w:cs="Arial"/>
        </w:rPr>
      </w:pPr>
      <w:r w:rsidRPr="00B3540D">
        <w:rPr>
          <w:rFonts w:ascii="Verdana" w:hAnsi="Verdana" w:cs="Arial"/>
        </w:rPr>
        <w:t>El cumplimiento del indicador fue posible gracias al trabajo articulado con cooperantes internacionales, entre ellos INNPULSA, la Organización Internacional para las Migraciones (OIM) y el Programa de las Naciones Unidas para el Desarrollo (PNUD). Asimismo, se fortalecieron los mecanismos de seguimiento técnico a los proyectos productivos, la depuración de bases de datos y los procesos de validación y reporte de información.</w:t>
      </w:r>
    </w:p>
    <w:p w14:paraId="05D04536" w14:textId="77777777" w:rsidR="003601FC" w:rsidRDefault="003601FC" w:rsidP="00604636">
      <w:pPr>
        <w:spacing w:after="0" w:line="276" w:lineRule="auto"/>
        <w:jc w:val="both"/>
        <w:rPr>
          <w:rFonts w:ascii="Verdana" w:hAnsi="Verdana" w:cs="Arial"/>
        </w:rPr>
      </w:pPr>
    </w:p>
    <w:p w14:paraId="35B9BB79" w14:textId="1A7354FA" w:rsidR="003601FC" w:rsidRPr="003601FC" w:rsidRDefault="003601FC" w:rsidP="00604636">
      <w:pPr>
        <w:spacing w:after="0" w:line="276" w:lineRule="auto"/>
        <w:jc w:val="both"/>
        <w:rPr>
          <w:rFonts w:ascii="Verdana" w:hAnsi="Verdana" w:cs="Arial"/>
        </w:rPr>
      </w:pPr>
      <w:r w:rsidRPr="003601FC">
        <w:rPr>
          <w:rFonts w:ascii="Verdana" w:hAnsi="Verdana" w:cs="Arial"/>
        </w:rPr>
        <w:t>De igual manera, se desarrollaron espacios de capacitación dirigidos a los Grupos Territoriales y jornadas de rendición de cuentas, que contribuyeron a fortalecer la transparencia, el control social y la sostenibilidad de los procesos de reincorporación económica.</w:t>
      </w:r>
    </w:p>
    <w:p w14:paraId="4929F384" w14:textId="77777777" w:rsidR="003601FC" w:rsidRPr="00B3540D" w:rsidRDefault="003601FC" w:rsidP="00604636">
      <w:pPr>
        <w:spacing w:after="0" w:line="276" w:lineRule="auto"/>
        <w:jc w:val="both"/>
        <w:rPr>
          <w:rFonts w:ascii="Verdana" w:hAnsi="Verdana" w:cs="Arial"/>
        </w:rPr>
      </w:pPr>
    </w:p>
    <w:p w14:paraId="3DCC33CB" w14:textId="5893489C" w:rsidR="00024FF7" w:rsidRPr="00024FF7" w:rsidRDefault="00024FF7" w:rsidP="00024FF7">
      <w:pPr>
        <w:pStyle w:val="Descripcin"/>
        <w:keepNext/>
        <w:jc w:val="center"/>
        <w:rPr>
          <w:rFonts w:ascii="Verdana" w:eastAsia="Verdana" w:hAnsi="Verdana" w:cs="Arial"/>
          <w:i w:val="0"/>
          <w:iCs w:val="0"/>
          <w:color w:val="000000" w:themeColor="text1"/>
        </w:rPr>
      </w:pPr>
      <w:bookmarkStart w:id="10" w:name="_Toc225283119"/>
      <w:r w:rsidRPr="00024FF7">
        <w:rPr>
          <w:rFonts w:ascii="Verdana" w:eastAsia="Verdana" w:hAnsi="Verdana" w:cs="Arial"/>
          <w:i w:val="0"/>
          <w:iCs w:val="0"/>
          <w:color w:val="000000" w:themeColor="text1"/>
        </w:rPr>
        <w:t xml:space="preserve">Tabla </w:t>
      </w:r>
      <w:r w:rsidRPr="00024FF7">
        <w:rPr>
          <w:rFonts w:ascii="Verdana" w:eastAsia="Verdana" w:hAnsi="Verdana" w:cs="Arial"/>
          <w:i w:val="0"/>
          <w:iCs w:val="0"/>
          <w:color w:val="000000" w:themeColor="text1"/>
        </w:rPr>
        <w:fldChar w:fldCharType="begin"/>
      </w:r>
      <w:r w:rsidRPr="00024FF7">
        <w:rPr>
          <w:rFonts w:ascii="Verdana" w:eastAsia="Verdana" w:hAnsi="Verdana" w:cs="Arial"/>
          <w:i w:val="0"/>
          <w:iCs w:val="0"/>
          <w:color w:val="000000" w:themeColor="text1"/>
        </w:rPr>
        <w:instrText xml:space="preserve"> SEQ Tabla \* ARABIC </w:instrText>
      </w:r>
      <w:r w:rsidRPr="00024FF7">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7</w:t>
      </w:r>
      <w:r w:rsidRPr="00024FF7">
        <w:rPr>
          <w:rFonts w:ascii="Verdana" w:eastAsia="Verdana" w:hAnsi="Verdana" w:cs="Arial"/>
          <w:i w:val="0"/>
          <w:iCs w:val="0"/>
          <w:color w:val="000000" w:themeColor="text1"/>
        </w:rPr>
        <w:fldChar w:fldCharType="end"/>
      </w:r>
      <w:r w:rsidRPr="00024FF7">
        <w:rPr>
          <w:rFonts w:ascii="Verdana" w:eastAsia="Verdana" w:hAnsi="Verdana" w:cs="Arial"/>
          <w:i w:val="0"/>
          <w:iCs w:val="0"/>
          <w:color w:val="000000" w:themeColor="text1"/>
        </w:rPr>
        <w:t>. Detalle de las principales acciones del indicador C.207.N</w:t>
      </w:r>
      <w:bookmarkEnd w:id="10"/>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177D87" w:rsidRPr="00AB06F3" w14:paraId="02505176" w14:textId="77777777" w:rsidTr="005F457D">
        <w:trPr>
          <w:trHeight w:val="113"/>
        </w:trPr>
        <w:tc>
          <w:tcPr>
            <w:tcW w:w="1985" w:type="dxa"/>
            <w:tcMar>
              <w:left w:w="108" w:type="dxa"/>
              <w:right w:w="108" w:type="dxa"/>
            </w:tcMar>
          </w:tcPr>
          <w:p w14:paraId="49A3D5C6"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2D4CE785"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7A5AA3F1"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177D87" w:rsidRPr="00AB06F3" w14:paraId="49BCEB88" w14:textId="77777777" w:rsidTr="005F457D">
        <w:trPr>
          <w:trHeight w:val="1639"/>
        </w:trPr>
        <w:tc>
          <w:tcPr>
            <w:tcW w:w="1985" w:type="dxa"/>
            <w:tcMar>
              <w:left w:w="108" w:type="dxa"/>
              <w:right w:w="108" w:type="dxa"/>
            </w:tcMar>
          </w:tcPr>
          <w:p w14:paraId="5E51C78D" w14:textId="36C60BB2" w:rsidR="00177D87" w:rsidRPr="00AB06F3" w:rsidRDefault="001D5F26" w:rsidP="002B2B8D">
            <w:pPr>
              <w:spacing w:line="276" w:lineRule="auto"/>
              <w:jc w:val="both"/>
              <w:rPr>
                <w:rFonts w:ascii="Verdana" w:hAnsi="Verdana" w:cs="Arial"/>
              </w:rPr>
            </w:pPr>
            <w:r w:rsidRPr="001D5F26">
              <w:rPr>
                <w:rFonts w:ascii="Verdana" w:hAnsi="Verdana" w:cs="Arial"/>
                <w:sz w:val="18"/>
                <w:szCs w:val="18"/>
              </w:rPr>
              <w:lastRenderedPageBreak/>
              <w:t>C.207.N Sujetos y colectivos que han recibido en su totalidad el Plan de Acompañamiento y Asistencia Técnica Integral (PAATI)</w:t>
            </w:r>
          </w:p>
        </w:tc>
        <w:tc>
          <w:tcPr>
            <w:tcW w:w="4677" w:type="dxa"/>
            <w:tcMar>
              <w:left w:w="108" w:type="dxa"/>
              <w:right w:w="108" w:type="dxa"/>
            </w:tcMar>
          </w:tcPr>
          <w:p w14:paraId="02614219" w14:textId="71E9EA36" w:rsidR="00177D87" w:rsidRPr="00642FFA" w:rsidRDefault="002D15BC" w:rsidP="002B2B8D">
            <w:pPr>
              <w:spacing w:line="276" w:lineRule="auto"/>
              <w:jc w:val="both"/>
              <w:rPr>
                <w:rFonts w:ascii="Verdana" w:eastAsia="Verdana" w:hAnsi="Verdana" w:cs="Arial"/>
                <w:color w:val="000000" w:themeColor="text1"/>
                <w:sz w:val="18"/>
                <w:szCs w:val="18"/>
              </w:rPr>
            </w:pPr>
            <w:r w:rsidRPr="002D15BC">
              <w:rPr>
                <w:rFonts w:ascii="Verdana" w:hAnsi="Verdana" w:cs="Arial"/>
                <w:sz w:val="18"/>
                <w:szCs w:val="18"/>
              </w:rPr>
              <w:t>Se fortalecieron 196 proyectos productivos, tanto individuales como colectivos, beneficiando a 278 personas en proceso de reincorporación (75 mujeres y 203 hombres). De esta población, 84 personas pertenecen a grupos étnicos, de las cuales 40 son indígenas y 44 afrodescendientes.</w:t>
            </w:r>
          </w:p>
        </w:tc>
        <w:tc>
          <w:tcPr>
            <w:tcW w:w="1985" w:type="dxa"/>
            <w:tcMar>
              <w:left w:w="108" w:type="dxa"/>
              <w:right w:w="108" w:type="dxa"/>
            </w:tcMar>
          </w:tcPr>
          <w:p w14:paraId="68316357" w14:textId="2C0D15FE" w:rsidR="00177D87" w:rsidRPr="00E72DFD" w:rsidRDefault="00E72DFD" w:rsidP="002B2B8D">
            <w:pPr>
              <w:spacing w:line="276" w:lineRule="auto"/>
              <w:jc w:val="both"/>
              <w:rPr>
                <w:rFonts w:ascii="Verdana" w:eastAsia="Verdana" w:hAnsi="Verdana" w:cs="Arial"/>
                <w:color w:val="000000" w:themeColor="text1"/>
                <w:sz w:val="18"/>
                <w:szCs w:val="18"/>
              </w:rPr>
            </w:pPr>
            <w:r w:rsidRPr="00E72DFD">
              <w:rPr>
                <w:rFonts w:ascii="Verdana" w:hAnsi="Verdana" w:cs="Arial"/>
                <w:sz w:val="18"/>
                <w:szCs w:val="18"/>
              </w:rPr>
              <w:t xml:space="preserve">$2.223.860.165 </w:t>
            </w:r>
            <w:r w:rsidR="002B2B8D">
              <w:rPr>
                <w:rFonts w:ascii="Verdana" w:hAnsi="Verdana" w:cs="Arial"/>
                <w:sz w:val="18"/>
                <w:szCs w:val="18"/>
              </w:rPr>
              <w:t xml:space="preserve">Fuente: </w:t>
            </w:r>
            <w:r w:rsidRPr="00E72DFD">
              <w:rPr>
                <w:rFonts w:ascii="Verdana" w:hAnsi="Verdana" w:cs="Arial"/>
                <w:sz w:val="18"/>
                <w:szCs w:val="18"/>
              </w:rPr>
              <w:t>Presupuesto General de la Nación</w:t>
            </w:r>
          </w:p>
        </w:tc>
      </w:tr>
    </w:tbl>
    <w:p w14:paraId="5FD3DA50"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79901C1" w14:textId="77777777" w:rsidR="00177D87" w:rsidRDefault="00177D87" w:rsidP="00177D87">
      <w:pPr>
        <w:spacing w:after="0" w:line="276" w:lineRule="auto"/>
        <w:jc w:val="both"/>
        <w:rPr>
          <w:rFonts w:ascii="Verdana" w:hAnsi="Verdana" w:cs="Arial"/>
        </w:rPr>
      </w:pPr>
    </w:p>
    <w:p w14:paraId="63E4FA7D" w14:textId="2D2E5BAE" w:rsidR="00177D87" w:rsidRDefault="00177D87" w:rsidP="00164ED5">
      <w:pPr>
        <w:pStyle w:val="Prrafodelista"/>
        <w:numPr>
          <w:ilvl w:val="0"/>
          <w:numId w:val="15"/>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w:t>
      </w:r>
      <w:r w:rsidR="003A7552">
        <w:rPr>
          <w:rFonts w:ascii="Verdana" w:eastAsia="Verdana" w:hAnsi="Verdana" w:cs="Arial"/>
          <w:color w:val="000000" w:themeColor="text1"/>
          <w:sz w:val="24"/>
          <w:szCs w:val="24"/>
        </w:rPr>
        <w:t xml:space="preserve">y </w:t>
      </w:r>
      <w:r w:rsidR="008D00FE">
        <w:rPr>
          <w:rFonts w:ascii="Verdana" w:hAnsi="Verdana"/>
          <w:color w:val="000000" w:themeColor="text1"/>
          <w:sz w:val="24"/>
          <w:szCs w:val="24"/>
        </w:rPr>
        <w:t>beneficiarios</w:t>
      </w:r>
    </w:p>
    <w:p w14:paraId="2B0FC57F" w14:textId="146A6F10" w:rsidR="00177D87" w:rsidRPr="00ED3980" w:rsidRDefault="00177D87" w:rsidP="00ED3980">
      <w:pPr>
        <w:spacing w:after="0" w:line="276" w:lineRule="auto"/>
        <w:rPr>
          <w:rFonts w:ascii="Verdana" w:eastAsia="Verdana" w:hAnsi="Verdana" w:cs="Arial"/>
          <w:color w:val="000000" w:themeColor="text1"/>
          <w:sz w:val="18"/>
          <w:szCs w:val="18"/>
        </w:rPr>
      </w:pPr>
    </w:p>
    <w:p w14:paraId="4A2A8407" w14:textId="17AE9841" w:rsidR="00ED3980" w:rsidRDefault="00ED3980" w:rsidP="00ED3980">
      <w:pPr>
        <w:pStyle w:val="Descripcin"/>
        <w:keepNext/>
        <w:jc w:val="center"/>
        <w:rPr>
          <w:rFonts w:ascii="Verdana" w:eastAsia="Verdana" w:hAnsi="Verdana" w:cs="Arial"/>
          <w:i w:val="0"/>
          <w:iCs w:val="0"/>
          <w:color w:val="000000" w:themeColor="text1"/>
        </w:rPr>
      </w:pPr>
      <w:bookmarkStart w:id="11" w:name="_Toc225283120"/>
      <w:r w:rsidRPr="00ED3980">
        <w:rPr>
          <w:rFonts w:ascii="Verdana" w:eastAsia="Verdana" w:hAnsi="Verdana" w:cs="Arial"/>
          <w:i w:val="0"/>
          <w:iCs w:val="0"/>
          <w:color w:val="000000" w:themeColor="text1"/>
        </w:rPr>
        <w:t xml:space="preserve">Tabla </w:t>
      </w:r>
      <w:r w:rsidRPr="00ED3980">
        <w:rPr>
          <w:rFonts w:ascii="Verdana" w:eastAsia="Verdana" w:hAnsi="Verdana" w:cs="Arial"/>
          <w:i w:val="0"/>
          <w:iCs w:val="0"/>
          <w:color w:val="000000" w:themeColor="text1"/>
        </w:rPr>
        <w:fldChar w:fldCharType="begin"/>
      </w:r>
      <w:r w:rsidRPr="00ED3980">
        <w:rPr>
          <w:rFonts w:ascii="Verdana" w:eastAsia="Verdana" w:hAnsi="Verdana" w:cs="Arial"/>
          <w:i w:val="0"/>
          <w:iCs w:val="0"/>
          <w:color w:val="000000" w:themeColor="text1"/>
        </w:rPr>
        <w:instrText xml:space="preserve"> SEQ Tabla \* ARABIC </w:instrText>
      </w:r>
      <w:r w:rsidRPr="00ED3980">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8</w:t>
      </w:r>
      <w:r w:rsidRPr="00ED3980">
        <w:rPr>
          <w:rFonts w:ascii="Verdana" w:eastAsia="Verdana" w:hAnsi="Verdana" w:cs="Arial"/>
          <w:i w:val="0"/>
          <w:iCs w:val="0"/>
          <w:color w:val="000000" w:themeColor="text1"/>
        </w:rPr>
        <w:fldChar w:fldCharType="end"/>
      </w:r>
      <w:r w:rsidRPr="00ED3980">
        <w:rPr>
          <w:rFonts w:ascii="Verdana" w:eastAsia="Verdana" w:hAnsi="Verdana" w:cs="Arial"/>
          <w:i w:val="0"/>
          <w:iCs w:val="0"/>
          <w:color w:val="000000" w:themeColor="text1"/>
        </w:rPr>
        <w:t>. Detalle de regionalización del indicador C.207.N</w:t>
      </w:r>
      <w:bookmarkEnd w:id="11"/>
    </w:p>
    <w:tbl>
      <w:tblPr>
        <w:tblStyle w:val="Tablaconcuadrcula1clara-nfasis4"/>
        <w:tblW w:w="0" w:type="auto"/>
        <w:jc w:val="center"/>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2405"/>
        <w:gridCol w:w="1667"/>
        <w:gridCol w:w="1276"/>
        <w:gridCol w:w="1392"/>
        <w:gridCol w:w="2044"/>
      </w:tblGrid>
      <w:tr w:rsidR="003E0C63" w:rsidRPr="00330B02" w14:paraId="5037BD4A" w14:textId="77777777" w:rsidTr="00730E16">
        <w:trPr>
          <w:cnfStyle w:val="100000000000" w:firstRow="1" w:lastRow="0" w:firstColumn="0" w:lastColumn="0" w:oddVBand="0" w:evenVBand="0" w:oddHBand="0" w:evenHBand="0" w:firstRowFirstColumn="0" w:firstRowLastColumn="0" w:lastRowFirstColumn="0" w:lastRowLastColumn="0"/>
          <w:trHeight w:val="697"/>
          <w:tblHeader/>
          <w:jc w:val="center"/>
        </w:trPr>
        <w:tc>
          <w:tcPr>
            <w:cnfStyle w:val="001000000000" w:firstRow="0" w:lastRow="0" w:firstColumn="1" w:lastColumn="0" w:oddVBand="0" w:evenVBand="0" w:oddHBand="0" w:evenHBand="0" w:firstRowFirstColumn="0" w:firstRowLastColumn="0" w:lastRowFirstColumn="0" w:lastRowLastColumn="0"/>
            <w:tcW w:w="2405" w:type="dxa"/>
          </w:tcPr>
          <w:p w14:paraId="556753C0" w14:textId="77777777" w:rsidR="003E0C63" w:rsidRPr="00330B02" w:rsidRDefault="003E0C63" w:rsidP="005F457D">
            <w:pPr>
              <w:jc w:val="center"/>
              <w:rPr>
                <w:rFonts w:ascii="Verdana" w:hAnsi="Verdana"/>
                <w:b w:val="0"/>
                <w:color w:val="000000" w:themeColor="text1"/>
                <w:sz w:val="18"/>
                <w:szCs w:val="18"/>
              </w:rPr>
            </w:pPr>
          </w:p>
          <w:p w14:paraId="7804C8FC" w14:textId="77777777" w:rsidR="003E0C63" w:rsidRPr="00330B02" w:rsidRDefault="003E0C63" w:rsidP="005F457D">
            <w:pPr>
              <w:jc w:val="center"/>
              <w:rPr>
                <w:rFonts w:ascii="Verdana" w:hAnsi="Verdana"/>
                <w:b w:val="0"/>
                <w:sz w:val="18"/>
                <w:szCs w:val="18"/>
              </w:rPr>
            </w:pPr>
            <w:r w:rsidRPr="00330B02">
              <w:rPr>
                <w:rFonts w:ascii="Verdana" w:hAnsi="Verdana"/>
                <w:b w:val="0"/>
                <w:color w:val="000000" w:themeColor="text1"/>
                <w:sz w:val="18"/>
                <w:szCs w:val="18"/>
              </w:rPr>
              <w:t>Indicador del PMI</w:t>
            </w:r>
          </w:p>
        </w:tc>
        <w:tc>
          <w:tcPr>
            <w:tcW w:w="1667" w:type="dxa"/>
            <w:vAlign w:val="center"/>
          </w:tcPr>
          <w:p w14:paraId="6A9F7364" w14:textId="77777777" w:rsidR="003E0C63" w:rsidRPr="00330B02" w:rsidRDefault="003E0C63"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Departamento</w:t>
            </w:r>
          </w:p>
        </w:tc>
        <w:tc>
          <w:tcPr>
            <w:tcW w:w="1276" w:type="dxa"/>
            <w:vAlign w:val="center"/>
          </w:tcPr>
          <w:p w14:paraId="021AA94F" w14:textId="77777777" w:rsidR="003E0C63" w:rsidRPr="00330B02" w:rsidRDefault="003E0C63"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Municipio</w:t>
            </w:r>
          </w:p>
        </w:tc>
        <w:tc>
          <w:tcPr>
            <w:tcW w:w="1392" w:type="dxa"/>
            <w:vAlign w:val="center"/>
          </w:tcPr>
          <w:p w14:paraId="53DDF757" w14:textId="77777777" w:rsidR="003E0C63" w:rsidRPr="00330B02" w:rsidRDefault="003E0C63"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sz w:val="18"/>
                <w:szCs w:val="18"/>
              </w:rPr>
            </w:pPr>
            <w:r w:rsidRPr="680D215C">
              <w:rPr>
                <w:rFonts w:ascii="Verdana" w:hAnsi="Verdana"/>
                <w:b w:val="0"/>
                <w:bCs w:val="0"/>
                <w:sz w:val="18"/>
                <w:szCs w:val="18"/>
              </w:rPr>
              <w:t>Total Población Beneficiada</w:t>
            </w:r>
          </w:p>
        </w:tc>
        <w:tc>
          <w:tcPr>
            <w:tcW w:w="2044" w:type="dxa"/>
            <w:vAlign w:val="center"/>
          </w:tcPr>
          <w:p w14:paraId="0566B4EE" w14:textId="77777777" w:rsidR="003E0C63" w:rsidRPr="00330B02" w:rsidRDefault="003E0C63"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Clasificación poblacional</w:t>
            </w:r>
            <w:r w:rsidRPr="00330B02">
              <w:rPr>
                <w:rStyle w:val="Refdenotaalpie"/>
                <w:rFonts w:ascii="Verdana" w:hAnsi="Verdana"/>
                <w:b w:val="0"/>
                <w:sz w:val="18"/>
                <w:szCs w:val="18"/>
              </w:rPr>
              <w:footnoteReference w:id="2"/>
            </w:r>
          </w:p>
        </w:tc>
      </w:tr>
      <w:tr w:rsidR="007B38C0" w:rsidRPr="00330B02" w14:paraId="343BE76A" w14:textId="77777777" w:rsidTr="00730E16">
        <w:trPr>
          <w:trHeight w:val="1394"/>
          <w:jc w:val="center"/>
        </w:trPr>
        <w:tc>
          <w:tcPr>
            <w:cnfStyle w:val="001000000000" w:firstRow="0" w:lastRow="0" w:firstColumn="1" w:lastColumn="0" w:oddVBand="0" w:evenVBand="0" w:oddHBand="0" w:evenHBand="0" w:firstRowFirstColumn="0" w:firstRowLastColumn="0" w:lastRowFirstColumn="0" w:lastRowLastColumn="0"/>
            <w:tcW w:w="2405" w:type="dxa"/>
          </w:tcPr>
          <w:p w14:paraId="431C18B7" w14:textId="5CDE95B5" w:rsidR="007B38C0" w:rsidRPr="008D1BA1" w:rsidRDefault="007B38C0" w:rsidP="002B2B8D">
            <w:pPr>
              <w:jc w:val="both"/>
              <w:rPr>
                <w:rFonts w:ascii="Verdana" w:hAnsi="Verdana"/>
                <w:b w:val="0"/>
                <w:bCs w:val="0"/>
                <w:sz w:val="18"/>
                <w:szCs w:val="18"/>
              </w:rPr>
            </w:pPr>
            <w:r w:rsidRPr="008D1BA1">
              <w:rPr>
                <w:rFonts w:ascii="Verdana" w:hAnsi="Verdana" w:cs="Arial"/>
                <w:b w:val="0"/>
                <w:bCs w:val="0"/>
                <w:sz w:val="18"/>
                <w:szCs w:val="18"/>
              </w:rPr>
              <w:t>C.207.N Sujetos y colectivos que han recibido en su totalidad el Plan de Acompañamiento y Asistencia Técnica Integral (PAATI)</w:t>
            </w:r>
          </w:p>
        </w:tc>
        <w:tc>
          <w:tcPr>
            <w:tcW w:w="1667" w:type="dxa"/>
          </w:tcPr>
          <w:p w14:paraId="27ED0AC2" w14:textId="3E1E015B" w:rsidR="007B38C0" w:rsidRPr="008D1BA1" w:rsidRDefault="007B38C0"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8D1BA1">
              <w:rPr>
                <w:rFonts w:ascii="Verdana" w:hAnsi="Verdana" w:cs="Arial"/>
                <w:sz w:val="18"/>
                <w:szCs w:val="18"/>
              </w:rPr>
              <w:t>Los proyectos productivos se implementaron en municipios de los departamentos de Antioquia, Bogotá D.C., Meta, Valle del Cauca, Cundinamarca, Caquetá, Chocó, Tolima, Risaralda, Nariño, Caldas, Cauca, Quindío, Norte de Santander, Huila, Bolívar, Boyacá, Atlántico, Guaviare y Santander, con una cobertura territorial amplia y representativa del proceso de reincorporación</w:t>
            </w:r>
          </w:p>
        </w:tc>
        <w:tc>
          <w:tcPr>
            <w:tcW w:w="1276" w:type="dxa"/>
          </w:tcPr>
          <w:p w14:paraId="4BC28BFE" w14:textId="39AB37F0" w:rsidR="007B38C0" w:rsidRPr="008D1BA1" w:rsidRDefault="007B38C0"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8D1BA1">
              <w:rPr>
                <w:rFonts w:ascii="Verdana" w:hAnsi="Verdana"/>
                <w:sz w:val="18"/>
                <w:szCs w:val="18"/>
              </w:rPr>
              <w:t>No aplica.</w:t>
            </w:r>
          </w:p>
        </w:tc>
        <w:tc>
          <w:tcPr>
            <w:tcW w:w="1392" w:type="dxa"/>
            <w:vAlign w:val="center"/>
          </w:tcPr>
          <w:p w14:paraId="5BEDB0FC" w14:textId="77777777" w:rsidR="007B38C0" w:rsidRDefault="007B38C0" w:rsidP="002B2B8D">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642FFA">
              <w:rPr>
                <w:rFonts w:ascii="Verdana" w:hAnsi="Verdana" w:cs="Arial"/>
                <w:sz w:val="18"/>
                <w:szCs w:val="18"/>
              </w:rPr>
              <w:t>278 personas (75 mujeres y 203 hombres)</w:t>
            </w:r>
          </w:p>
          <w:p w14:paraId="5D9044DC" w14:textId="77777777" w:rsidR="007B38C0" w:rsidRPr="00330B02" w:rsidRDefault="007B38C0"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tc>
        <w:tc>
          <w:tcPr>
            <w:tcW w:w="2044" w:type="dxa"/>
          </w:tcPr>
          <w:p w14:paraId="2D751B2E" w14:textId="7D750584" w:rsidR="000E725F" w:rsidRPr="00EA7150" w:rsidDel="008A7147" w:rsidRDefault="000E725F"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EA7150">
              <w:rPr>
                <w:rFonts w:ascii="Verdana" w:hAnsi="Verdana" w:cs="Arial"/>
                <w:sz w:val="18"/>
                <w:szCs w:val="18"/>
              </w:rPr>
              <w:t>Antioquia (44</w:t>
            </w:r>
            <w:r w:rsidR="00300539">
              <w:rPr>
                <w:rFonts w:ascii="Verdana" w:hAnsi="Verdana" w:cs="Arial"/>
                <w:sz w:val="18"/>
                <w:szCs w:val="18"/>
              </w:rPr>
              <w:t xml:space="preserve"> personas</w:t>
            </w:r>
            <w:r w:rsidRPr="00EA7150">
              <w:rPr>
                <w:rFonts w:ascii="Verdana" w:hAnsi="Verdana" w:cs="Arial"/>
                <w:sz w:val="18"/>
                <w:szCs w:val="18"/>
              </w:rPr>
              <w:t>), Atlántico (1</w:t>
            </w:r>
            <w:r w:rsidR="00300539">
              <w:rPr>
                <w:rFonts w:ascii="Verdana" w:hAnsi="Verdana" w:cs="Arial"/>
                <w:sz w:val="18"/>
                <w:szCs w:val="18"/>
              </w:rPr>
              <w:t xml:space="preserve"> persona</w:t>
            </w:r>
            <w:r w:rsidRPr="00EA7150">
              <w:rPr>
                <w:rFonts w:ascii="Verdana" w:hAnsi="Verdana" w:cs="Arial"/>
                <w:sz w:val="18"/>
                <w:szCs w:val="18"/>
              </w:rPr>
              <w:t>), Bogotá D.C. (29</w:t>
            </w:r>
            <w:r w:rsidR="00A77398">
              <w:rPr>
                <w:rFonts w:ascii="Verdana" w:hAnsi="Verdana" w:cs="Arial"/>
                <w:sz w:val="18"/>
                <w:szCs w:val="18"/>
              </w:rPr>
              <w:t xml:space="preserve"> personas</w:t>
            </w:r>
            <w:r w:rsidRPr="00EA7150">
              <w:rPr>
                <w:rFonts w:ascii="Verdana" w:hAnsi="Verdana" w:cs="Arial"/>
                <w:sz w:val="18"/>
                <w:szCs w:val="18"/>
              </w:rPr>
              <w:t>), Bolívar (3</w:t>
            </w:r>
            <w:r w:rsidR="00300539">
              <w:rPr>
                <w:rFonts w:ascii="Verdana" w:hAnsi="Verdana" w:cs="Arial"/>
                <w:sz w:val="18"/>
                <w:szCs w:val="18"/>
              </w:rPr>
              <w:t xml:space="preserve"> personas</w:t>
            </w:r>
            <w:r w:rsidRPr="00EA7150">
              <w:rPr>
                <w:rFonts w:ascii="Verdana" w:hAnsi="Verdana" w:cs="Arial"/>
                <w:sz w:val="18"/>
                <w:szCs w:val="18"/>
              </w:rPr>
              <w:t>), Boyacá (1</w:t>
            </w:r>
            <w:r w:rsidR="00300539">
              <w:rPr>
                <w:rFonts w:ascii="Verdana" w:hAnsi="Verdana" w:cs="Arial"/>
                <w:sz w:val="18"/>
                <w:szCs w:val="18"/>
              </w:rPr>
              <w:t xml:space="preserve"> persona</w:t>
            </w:r>
            <w:r w:rsidRPr="00EA7150">
              <w:rPr>
                <w:rFonts w:ascii="Verdana" w:hAnsi="Verdana" w:cs="Arial"/>
                <w:sz w:val="18"/>
                <w:szCs w:val="18"/>
              </w:rPr>
              <w:t>), Caldas (4</w:t>
            </w:r>
            <w:r w:rsidR="00A77398">
              <w:rPr>
                <w:rFonts w:ascii="Verdana" w:hAnsi="Verdana" w:cs="Arial"/>
                <w:sz w:val="18"/>
                <w:szCs w:val="18"/>
              </w:rPr>
              <w:t xml:space="preserve"> personas</w:t>
            </w:r>
            <w:r w:rsidRPr="00EA7150">
              <w:rPr>
                <w:rFonts w:ascii="Verdana" w:hAnsi="Verdana" w:cs="Arial"/>
                <w:sz w:val="18"/>
                <w:szCs w:val="18"/>
              </w:rPr>
              <w:t>), Caquetá (15</w:t>
            </w:r>
            <w:r w:rsidR="00300539">
              <w:rPr>
                <w:rFonts w:ascii="Verdana" w:hAnsi="Verdana" w:cs="Arial"/>
                <w:sz w:val="18"/>
                <w:szCs w:val="18"/>
              </w:rPr>
              <w:t xml:space="preserve"> personas</w:t>
            </w:r>
            <w:r w:rsidRPr="00EA7150">
              <w:rPr>
                <w:rFonts w:ascii="Verdana" w:hAnsi="Verdana" w:cs="Arial"/>
                <w:sz w:val="18"/>
                <w:szCs w:val="18"/>
              </w:rPr>
              <w:t>), Cauca (1</w:t>
            </w:r>
            <w:r w:rsidR="00EB5D04">
              <w:rPr>
                <w:rFonts w:ascii="Verdana" w:hAnsi="Verdana" w:cs="Arial"/>
                <w:sz w:val="18"/>
                <w:szCs w:val="18"/>
              </w:rPr>
              <w:t>7</w:t>
            </w:r>
            <w:r w:rsidR="00A77398">
              <w:rPr>
                <w:rFonts w:ascii="Verdana" w:hAnsi="Verdana" w:cs="Arial"/>
                <w:sz w:val="18"/>
                <w:szCs w:val="18"/>
              </w:rPr>
              <w:t xml:space="preserve"> personas</w:t>
            </w:r>
            <w:r w:rsidR="00A77398" w:rsidRPr="00EA7150">
              <w:rPr>
                <w:rFonts w:ascii="Verdana" w:hAnsi="Verdana" w:cs="Arial"/>
                <w:sz w:val="18"/>
                <w:szCs w:val="18"/>
              </w:rPr>
              <w:t xml:space="preserve"> </w:t>
            </w:r>
            <w:r w:rsidR="00300539">
              <w:rPr>
                <w:rFonts w:ascii="Verdana" w:hAnsi="Verdana" w:cs="Arial"/>
                <w:sz w:val="18"/>
                <w:szCs w:val="18"/>
              </w:rPr>
              <w:t xml:space="preserve"> personas</w:t>
            </w:r>
            <w:r w:rsidRPr="00EA7150">
              <w:rPr>
                <w:rFonts w:ascii="Verdana" w:hAnsi="Verdana" w:cs="Arial"/>
                <w:sz w:val="18"/>
                <w:szCs w:val="18"/>
              </w:rPr>
              <w:t>), Chocó (39</w:t>
            </w:r>
            <w:r w:rsidR="00300539">
              <w:rPr>
                <w:rFonts w:ascii="Verdana" w:hAnsi="Verdana" w:cs="Arial"/>
                <w:sz w:val="18"/>
                <w:szCs w:val="18"/>
              </w:rPr>
              <w:t xml:space="preserve"> personas</w:t>
            </w:r>
            <w:r w:rsidRPr="00EA7150">
              <w:rPr>
                <w:rFonts w:ascii="Verdana" w:hAnsi="Verdana" w:cs="Arial"/>
                <w:sz w:val="18"/>
                <w:szCs w:val="18"/>
              </w:rPr>
              <w:t>), Cundinamarca (9</w:t>
            </w:r>
            <w:r w:rsidR="00EB5D04">
              <w:rPr>
                <w:rFonts w:ascii="Verdana" w:hAnsi="Verdana" w:cs="Arial"/>
                <w:sz w:val="18"/>
                <w:szCs w:val="18"/>
              </w:rPr>
              <w:t xml:space="preserve"> personas</w:t>
            </w:r>
            <w:r w:rsidRPr="00EA7150">
              <w:rPr>
                <w:rFonts w:ascii="Verdana" w:hAnsi="Verdana" w:cs="Arial"/>
                <w:sz w:val="18"/>
                <w:szCs w:val="18"/>
              </w:rPr>
              <w:t>), Guaviare (1</w:t>
            </w:r>
            <w:r w:rsidR="00300539">
              <w:rPr>
                <w:rFonts w:ascii="Verdana" w:hAnsi="Verdana" w:cs="Arial"/>
                <w:sz w:val="18"/>
                <w:szCs w:val="18"/>
              </w:rPr>
              <w:t xml:space="preserve"> persona</w:t>
            </w:r>
            <w:r w:rsidRPr="00EA7150">
              <w:rPr>
                <w:rFonts w:ascii="Verdana" w:hAnsi="Verdana" w:cs="Arial"/>
                <w:sz w:val="18"/>
                <w:szCs w:val="18"/>
              </w:rPr>
              <w:t>), Huila (6</w:t>
            </w:r>
            <w:r w:rsidR="00300539">
              <w:rPr>
                <w:rFonts w:ascii="Verdana" w:hAnsi="Verdana" w:cs="Arial"/>
                <w:sz w:val="18"/>
                <w:szCs w:val="18"/>
              </w:rPr>
              <w:t xml:space="preserve"> personas</w:t>
            </w:r>
            <w:r w:rsidRPr="00EA7150">
              <w:rPr>
                <w:rFonts w:ascii="Verdana" w:hAnsi="Verdana" w:cs="Arial"/>
                <w:sz w:val="18"/>
                <w:szCs w:val="18"/>
              </w:rPr>
              <w:t>), Meta (34</w:t>
            </w:r>
            <w:r w:rsidR="00300539">
              <w:rPr>
                <w:rFonts w:ascii="Verdana" w:hAnsi="Verdana" w:cs="Arial"/>
                <w:sz w:val="18"/>
                <w:szCs w:val="18"/>
              </w:rPr>
              <w:t xml:space="preserve"> personas</w:t>
            </w:r>
            <w:r w:rsidRPr="00EA7150">
              <w:rPr>
                <w:rFonts w:ascii="Verdana" w:hAnsi="Verdana" w:cs="Arial"/>
                <w:sz w:val="18"/>
                <w:szCs w:val="18"/>
              </w:rPr>
              <w:t>), Nariño (7</w:t>
            </w:r>
            <w:r w:rsidR="00300539">
              <w:rPr>
                <w:rFonts w:ascii="Verdana" w:hAnsi="Verdana" w:cs="Arial"/>
                <w:sz w:val="18"/>
                <w:szCs w:val="18"/>
              </w:rPr>
              <w:t xml:space="preserve"> personas</w:t>
            </w:r>
            <w:r w:rsidRPr="00EA7150">
              <w:rPr>
                <w:rFonts w:ascii="Verdana" w:hAnsi="Verdana" w:cs="Arial"/>
                <w:sz w:val="18"/>
                <w:szCs w:val="18"/>
              </w:rPr>
              <w:t>), Norte de Santander (2</w:t>
            </w:r>
            <w:r w:rsidR="00300539">
              <w:rPr>
                <w:rFonts w:ascii="Verdana" w:hAnsi="Verdana" w:cs="Arial"/>
                <w:sz w:val="18"/>
                <w:szCs w:val="18"/>
              </w:rPr>
              <w:t xml:space="preserve"> personas</w:t>
            </w:r>
            <w:r w:rsidRPr="00EA7150">
              <w:rPr>
                <w:rFonts w:ascii="Verdana" w:hAnsi="Verdana" w:cs="Arial"/>
                <w:sz w:val="18"/>
                <w:szCs w:val="18"/>
              </w:rPr>
              <w:t>), Quindío (2</w:t>
            </w:r>
            <w:r w:rsidR="00300539">
              <w:rPr>
                <w:rFonts w:ascii="Verdana" w:hAnsi="Verdana" w:cs="Arial"/>
                <w:sz w:val="18"/>
                <w:szCs w:val="18"/>
              </w:rPr>
              <w:t xml:space="preserve"> personas</w:t>
            </w:r>
            <w:r w:rsidRPr="00EA7150">
              <w:rPr>
                <w:rFonts w:ascii="Verdana" w:hAnsi="Verdana" w:cs="Arial"/>
                <w:sz w:val="18"/>
                <w:szCs w:val="18"/>
              </w:rPr>
              <w:t>), Risaralda (11</w:t>
            </w:r>
            <w:r w:rsidR="00300539">
              <w:rPr>
                <w:rFonts w:ascii="Verdana" w:hAnsi="Verdana" w:cs="Arial"/>
                <w:sz w:val="18"/>
                <w:szCs w:val="18"/>
              </w:rPr>
              <w:t xml:space="preserve"> personas</w:t>
            </w:r>
            <w:r w:rsidRPr="00EA7150">
              <w:rPr>
                <w:rFonts w:ascii="Verdana" w:hAnsi="Verdana" w:cs="Arial"/>
                <w:sz w:val="18"/>
                <w:szCs w:val="18"/>
              </w:rPr>
              <w:t>), Santander (1</w:t>
            </w:r>
            <w:r w:rsidR="00300539">
              <w:rPr>
                <w:rFonts w:ascii="Verdana" w:hAnsi="Verdana" w:cs="Arial"/>
                <w:sz w:val="18"/>
                <w:szCs w:val="18"/>
              </w:rPr>
              <w:t xml:space="preserve"> personas</w:t>
            </w:r>
            <w:r w:rsidRPr="00EA7150">
              <w:rPr>
                <w:rFonts w:ascii="Verdana" w:hAnsi="Verdana" w:cs="Arial"/>
                <w:sz w:val="18"/>
                <w:szCs w:val="18"/>
              </w:rPr>
              <w:t>), Tolima (30</w:t>
            </w:r>
            <w:r w:rsidR="00300539">
              <w:rPr>
                <w:rFonts w:ascii="Verdana" w:hAnsi="Verdana" w:cs="Arial"/>
                <w:sz w:val="18"/>
                <w:szCs w:val="18"/>
              </w:rPr>
              <w:t xml:space="preserve"> personas</w:t>
            </w:r>
            <w:r w:rsidRPr="00EA7150">
              <w:rPr>
                <w:rFonts w:ascii="Verdana" w:hAnsi="Verdana" w:cs="Arial"/>
                <w:sz w:val="18"/>
                <w:szCs w:val="18"/>
              </w:rPr>
              <w:t>), Valle del Cauca (22</w:t>
            </w:r>
            <w:r w:rsidR="00300539">
              <w:rPr>
                <w:rFonts w:ascii="Verdana" w:hAnsi="Verdana" w:cs="Arial"/>
                <w:sz w:val="18"/>
                <w:szCs w:val="18"/>
              </w:rPr>
              <w:t xml:space="preserve"> personas</w:t>
            </w:r>
            <w:r w:rsidRPr="00EA7150">
              <w:rPr>
                <w:rFonts w:ascii="Verdana" w:hAnsi="Verdana" w:cs="Arial"/>
                <w:sz w:val="18"/>
                <w:szCs w:val="18"/>
              </w:rPr>
              <w:t>)</w:t>
            </w:r>
            <w:r w:rsidR="00A866B5">
              <w:rPr>
                <w:rFonts w:ascii="Verdana" w:hAnsi="Verdana" w:cs="Arial"/>
                <w:sz w:val="18"/>
                <w:szCs w:val="18"/>
              </w:rPr>
              <w:t>.</w:t>
            </w:r>
          </w:p>
          <w:p w14:paraId="217C2FA1" w14:textId="1BF1FC9F" w:rsidR="007B38C0" w:rsidRPr="00330B02" w:rsidRDefault="007B38C0"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tc>
      </w:tr>
    </w:tbl>
    <w:p w14:paraId="60B00906" w14:textId="77777777" w:rsidR="003E0C63" w:rsidRDefault="003E0C63" w:rsidP="003E0C63"/>
    <w:p w14:paraId="1C5B3BA5" w14:textId="7310D0FF" w:rsidR="00177D87" w:rsidRPr="00AE7685" w:rsidRDefault="00177D87" w:rsidP="00164ED5">
      <w:pPr>
        <w:pStyle w:val="Prrafodelista"/>
        <w:numPr>
          <w:ilvl w:val="0"/>
          <w:numId w:val="15"/>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550672DF" w14:textId="48DA6DD8" w:rsidR="00AE7685" w:rsidRPr="00AE7685" w:rsidRDefault="00AE7685" w:rsidP="00AE7685">
      <w:pPr>
        <w:pStyle w:val="Descripcin"/>
        <w:keepNext/>
        <w:jc w:val="center"/>
        <w:rPr>
          <w:rFonts w:ascii="Verdana" w:eastAsia="Verdana" w:hAnsi="Verdana" w:cs="Arial"/>
          <w:i w:val="0"/>
          <w:iCs w:val="0"/>
          <w:color w:val="000000" w:themeColor="text1"/>
        </w:rPr>
      </w:pPr>
      <w:bookmarkStart w:id="12" w:name="_Toc225283121"/>
      <w:r w:rsidRPr="00AE7685">
        <w:rPr>
          <w:rFonts w:ascii="Verdana" w:eastAsia="Verdana" w:hAnsi="Verdana" w:cs="Arial"/>
          <w:i w:val="0"/>
          <w:iCs w:val="0"/>
          <w:color w:val="000000" w:themeColor="text1"/>
        </w:rPr>
        <w:lastRenderedPageBreak/>
        <w:t xml:space="preserve">Tabla </w:t>
      </w:r>
      <w:r w:rsidRPr="00AE7685">
        <w:rPr>
          <w:rFonts w:ascii="Verdana" w:eastAsia="Verdana" w:hAnsi="Verdana" w:cs="Arial"/>
          <w:i w:val="0"/>
          <w:iCs w:val="0"/>
          <w:color w:val="000000" w:themeColor="text1"/>
        </w:rPr>
        <w:fldChar w:fldCharType="begin"/>
      </w:r>
      <w:r w:rsidRPr="00AE7685">
        <w:rPr>
          <w:rFonts w:ascii="Verdana" w:eastAsia="Verdana" w:hAnsi="Verdana" w:cs="Arial"/>
          <w:i w:val="0"/>
          <w:iCs w:val="0"/>
          <w:color w:val="000000" w:themeColor="text1"/>
        </w:rPr>
        <w:instrText xml:space="preserve"> SEQ Tabla \* ARABIC </w:instrText>
      </w:r>
      <w:r w:rsidRPr="00AE7685">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9</w:t>
      </w:r>
      <w:r w:rsidRPr="00AE7685">
        <w:rPr>
          <w:rFonts w:ascii="Verdana" w:eastAsia="Verdana" w:hAnsi="Verdana" w:cs="Arial"/>
          <w:i w:val="0"/>
          <w:iCs w:val="0"/>
          <w:color w:val="000000" w:themeColor="text1"/>
        </w:rPr>
        <w:fldChar w:fldCharType="end"/>
      </w:r>
      <w:r w:rsidRPr="00AE7685">
        <w:rPr>
          <w:rFonts w:ascii="Verdana" w:eastAsia="Verdana" w:hAnsi="Verdana" w:cs="Arial"/>
          <w:i w:val="0"/>
          <w:iCs w:val="0"/>
          <w:color w:val="000000" w:themeColor="text1"/>
        </w:rPr>
        <w:t>. Desafíos y retos del indicador C.207.N</w:t>
      </w:r>
      <w:bookmarkEnd w:id="12"/>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10;"/>
      </w:tblPr>
      <w:tblGrid>
        <w:gridCol w:w="1408"/>
        <w:gridCol w:w="4541"/>
        <w:gridCol w:w="2879"/>
      </w:tblGrid>
      <w:tr w:rsidR="00177D87" w:rsidRPr="00AB06F3" w14:paraId="2BDD7ADF" w14:textId="77777777" w:rsidTr="002B2B8D">
        <w:trPr>
          <w:trHeight w:val="300"/>
          <w:tblHeader/>
        </w:trPr>
        <w:tc>
          <w:tcPr>
            <w:tcW w:w="1408" w:type="dxa"/>
            <w:tcMar>
              <w:left w:w="108" w:type="dxa"/>
              <w:right w:w="108" w:type="dxa"/>
            </w:tcMar>
          </w:tcPr>
          <w:p w14:paraId="730BF18B" w14:textId="77777777" w:rsidR="00177D87" w:rsidRPr="00864626" w:rsidRDefault="00177D87" w:rsidP="005F457D">
            <w:pPr>
              <w:spacing w:line="276" w:lineRule="auto"/>
              <w:jc w:val="center"/>
              <w:rPr>
                <w:rFonts w:ascii="Verdana" w:eastAsia="Verdana" w:hAnsi="Verdana" w:cs="Arial"/>
                <w:b/>
                <w:bCs/>
                <w:color w:val="000000" w:themeColor="text1"/>
                <w:sz w:val="18"/>
                <w:szCs w:val="18"/>
              </w:rPr>
            </w:pPr>
            <w:r w:rsidRPr="00864626">
              <w:rPr>
                <w:rFonts w:ascii="Verdana" w:eastAsia="Verdana" w:hAnsi="Verdana" w:cs="Arial"/>
                <w:b/>
                <w:bCs/>
                <w:color w:val="000000" w:themeColor="text1"/>
                <w:sz w:val="18"/>
                <w:szCs w:val="18"/>
              </w:rPr>
              <w:t>Tipo de Reto</w:t>
            </w:r>
          </w:p>
        </w:tc>
        <w:tc>
          <w:tcPr>
            <w:tcW w:w="4541" w:type="dxa"/>
            <w:tcMar>
              <w:left w:w="108" w:type="dxa"/>
              <w:right w:w="108" w:type="dxa"/>
            </w:tcMar>
          </w:tcPr>
          <w:p w14:paraId="2C3E6213" w14:textId="77777777" w:rsidR="00177D87" w:rsidRPr="00864626" w:rsidRDefault="00177D87" w:rsidP="005F457D">
            <w:pPr>
              <w:spacing w:line="276" w:lineRule="auto"/>
              <w:jc w:val="center"/>
              <w:rPr>
                <w:rFonts w:ascii="Verdana" w:eastAsia="Verdana" w:hAnsi="Verdana" w:cs="Arial"/>
                <w:b/>
                <w:bCs/>
                <w:color w:val="000000" w:themeColor="text1"/>
                <w:sz w:val="18"/>
                <w:szCs w:val="18"/>
              </w:rPr>
            </w:pPr>
            <w:r w:rsidRPr="00864626">
              <w:rPr>
                <w:rFonts w:ascii="Verdana" w:eastAsia="Verdana" w:hAnsi="Verdana" w:cs="Arial"/>
                <w:b/>
                <w:bCs/>
                <w:color w:val="000000" w:themeColor="text1"/>
                <w:sz w:val="18"/>
                <w:szCs w:val="18"/>
              </w:rPr>
              <w:t>Descripción del Reto</w:t>
            </w:r>
          </w:p>
        </w:tc>
        <w:tc>
          <w:tcPr>
            <w:tcW w:w="2879" w:type="dxa"/>
            <w:tcMar>
              <w:left w:w="108" w:type="dxa"/>
              <w:right w:w="108" w:type="dxa"/>
            </w:tcMar>
          </w:tcPr>
          <w:p w14:paraId="7045410D" w14:textId="77777777" w:rsidR="00177D87" w:rsidRPr="00864626" w:rsidRDefault="00177D87" w:rsidP="005F457D">
            <w:pPr>
              <w:spacing w:line="276" w:lineRule="auto"/>
              <w:jc w:val="center"/>
              <w:rPr>
                <w:rFonts w:ascii="Verdana" w:eastAsia="Verdana" w:hAnsi="Verdana" w:cs="Arial"/>
                <w:b/>
                <w:bCs/>
                <w:color w:val="000000" w:themeColor="text1"/>
                <w:sz w:val="18"/>
                <w:szCs w:val="18"/>
              </w:rPr>
            </w:pPr>
            <w:r w:rsidRPr="00864626">
              <w:rPr>
                <w:rFonts w:ascii="Verdana" w:eastAsia="Verdana" w:hAnsi="Verdana" w:cs="Arial"/>
                <w:b/>
                <w:bCs/>
                <w:color w:val="000000" w:themeColor="text1"/>
                <w:sz w:val="18"/>
                <w:szCs w:val="18"/>
              </w:rPr>
              <w:t>Medidas para mitigar el Reto</w:t>
            </w:r>
          </w:p>
        </w:tc>
      </w:tr>
      <w:tr w:rsidR="00177D87" w:rsidRPr="00AB06F3" w14:paraId="014B63E8" w14:textId="77777777" w:rsidTr="002B2B8D">
        <w:trPr>
          <w:trHeight w:val="300"/>
        </w:trPr>
        <w:tc>
          <w:tcPr>
            <w:tcW w:w="1408" w:type="dxa"/>
            <w:tcMar>
              <w:left w:w="108" w:type="dxa"/>
              <w:right w:w="108" w:type="dxa"/>
            </w:tcMar>
          </w:tcPr>
          <w:p w14:paraId="6ABF8D42" w14:textId="4718A2CA" w:rsidR="00177D87" w:rsidRPr="00864626" w:rsidRDefault="0051355E" w:rsidP="002B2B8D">
            <w:pPr>
              <w:spacing w:line="276" w:lineRule="auto"/>
              <w:jc w:val="both"/>
              <w:rPr>
                <w:rFonts w:ascii="Verdana" w:eastAsia="Verdana" w:hAnsi="Verdana" w:cs="Arial"/>
                <w:color w:val="000000" w:themeColor="text1"/>
                <w:sz w:val="18"/>
                <w:szCs w:val="18"/>
              </w:rPr>
            </w:pPr>
            <w:r w:rsidRPr="0051355E">
              <w:rPr>
                <w:rFonts w:ascii="Verdana" w:eastAsia="Verdana" w:hAnsi="Verdana" w:cs="Arial"/>
                <w:color w:val="000000" w:themeColor="text1"/>
                <w:sz w:val="18"/>
                <w:szCs w:val="18"/>
              </w:rPr>
              <w:t>Operativo e institucional</w:t>
            </w:r>
          </w:p>
        </w:tc>
        <w:tc>
          <w:tcPr>
            <w:tcW w:w="4541" w:type="dxa"/>
            <w:tcMar>
              <w:left w:w="108" w:type="dxa"/>
              <w:right w:w="108" w:type="dxa"/>
            </w:tcMar>
          </w:tcPr>
          <w:p w14:paraId="519B0B6C" w14:textId="32526812" w:rsidR="00177D87" w:rsidRPr="00260DA9" w:rsidRDefault="008364F6" w:rsidP="002B2B8D">
            <w:pPr>
              <w:spacing w:line="276" w:lineRule="auto"/>
              <w:jc w:val="both"/>
              <w:rPr>
                <w:rFonts w:ascii="Verdana" w:hAnsi="Verdana" w:cs="Arial"/>
                <w:sz w:val="18"/>
                <w:szCs w:val="18"/>
              </w:rPr>
            </w:pPr>
            <w:r w:rsidRPr="008364F6">
              <w:rPr>
                <w:rFonts w:ascii="Verdana" w:hAnsi="Verdana" w:cs="Arial"/>
                <w:sz w:val="18"/>
                <w:szCs w:val="18"/>
              </w:rPr>
              <w:t xml:space="preserve">1. Demoras en los tiempos de reporte de los proyectos desembolsados por parte del Fondo Colombia en Paz. </w:t>
            </w:r>
            <w:r w:rsidRPr="008364F6">
              <w:rPr>
                <w:rFonts w:ascii="Verdana" w:hAnsi="Verdana" w:cs="Arial"/>
                <w:sz w:val="18"/>
                <w:szCs w:val="18"/>
              </w:rPr>
              <w:br/>
              <w:t xml:space="preserve">2. Disminución de la población en proceso de reincorporación disponible para ser beneficiaria del PAATI. </w:t>
            </w:r>
            <w:r w:rsidRPr="008364F6">
              <w:rPr>
                <w:rFonts w:ascii="Verdana" w:hAnsi="Verdana" w:cs="Arial"/>
                <w:sz w:val="18"/>
                <w:szCs w:val="18"/>
              </w:rPr>
              <w:br/>
              <w:t xml:space="preserve">3. Desistimiento de algunas personas del proceso de acompañamiento y asistencia técnica. </w:t>
            </w:r>
            <w:r w:rsidRPr="008364F6">
              <w:rPr>
                <w:rFonts w:ascii="Verdana" w:hAnsi="Verdana" w:cs="Arial"/>
                <w:sz w:val="18"/>
                <w:szCs w:val="18"/>
              </w:rPr>
              <w:br/>
              <w:t>4. Incremento en los tiempos de contratación de cooperantes y operadores para el acompañamiento en la implementación del PAATI.</w:t>
            </w:r>
          </w:p>
        </w:tc>
        <w:tc>
          <w:tcPr>
            <w:tcW w:w="2879" w:type="dxa"/>
            <w:tcMar>
              <w:left w:w="108" w:type="dxa"/>
              <w:right w:w="108" w:type="dxa"/>
            </w:tcMar>
          </w:tcPr>
          <w:p w14:paraId="4411FE08" w14:textId="37141F5E" w:rsidR="00177D87" w:rsidRPr="00864626" w:rsidRDefault="008364F6" w:rsidP="002B2B8D">
            <w:pPr>
              <w:spacing w:line="276" w:lineRule="auto"/>
              <w:jc w:val="both"/>
              <w:rPr>
                <w:rFonts w:ascii="Verdana" w:eastAsia="Verdana" w:hAnsi="Verdana" w:cs="Arial"/>
                <w:color w:val="000000" w:themeColor="text1"/>
                <w:sz w:val="18"/>
                <w:szCs w:val="18"/>
              </w:rPr>
            </w:pPr>
            <w:r w:rsidRPr="008364F6">
              <w:rPr>
                <w:rFonts w:ascii="Verdana" w:hAnsi="Verdana" w:cs="Arial"/>
                <w:sz w:val="18"/>
                <w:szCs w:val="18"/>
              </w:rPr>
              <w:t>Se fortalecieron los mecanismos de seguimiento interinstitucional con las entidades y cooperantes involucrados; se priorizó la depuración y adecuada administración de los expedientes documentales; y se ajustaron los cronogramas operativos y de contratación, con el fin de mitigar los impactos en el cumplimiento del indicador.</w:t>
            </w:r>
          </w:p>
        </w:tc>
      </w:tr>
    </w:tbl>
    <w:p w14:paraId="41D982EF" w14:textId="29CFD08C" w:rsidR="00177D87" w:rsidRDefault="00177D8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 xml:space="preserve">Producto: </w:t>
      </w:r>
      <w:r w:rsidR="00E53B96" w:rsidRPr="00E53B96">
        <w:rPr>
          <w:rFonts w:ascii="Verdana" w:eastAsia="Verdana" w:hAnsi="Verdana" w:cs="Arial"/>
          <w:b/>
          <w:bCs/>
          <w:color w:val="000000" w:themeColor="text1"/>
          <w:sz w:val="24"/>
          <w:szCs w:val="24"/>
        </w:rPr>
        <w:t>Garantías para una reincorporación económica y social sostenible</w:t>
      </w:r>
    </w:p>
    <w:p w14:paraId="7BC87FD0" w14:textId="21FD771D" w:rsidR="00177D87" w:rsidRPr="00D94548" w:rsidRDefault="00177D87" w:rsidP="00D94548">
      <w:pPr>
        <w:spacing w:before="240" w:after="0" w:line="276" w:lineRule="auto"/>
        <w:rPr>
          <w:rFonts w:ascii="Verdana" w:eastAsia="Verdana" w:hAnsi="Verdana" w:cs="Arial"/>
          <w:color w:val="000000" w:themeColor="text1"/>
          <w:sz w:val="24"/>
          <w:szCs w:val="24"/>
        </w:rPr>
      </w:pPr>
      <w:r w:rsidRPr="009E02FB">
        <w:rPr>
          <w:rFonts w:ascii="Verdana" w:eastAsia="Verdana" w:hAnsi="Verdana" w:cs="Arial"/>
          <w:b/>
          <w:bCs/>
          <w:color w:val="000000" w:themeColor="text1"/>
          <w:sz w:val="24"/>
          <w:szCs w:val="24"/>
        </w:rPr>
        <w:t>C.2</w:t>
      </w:r>
      <w:r>
        <w:rPr>
          <w:rFonts w:ascii="Verdana" w:eastAsia="Verdana" w:hAnsi="Verdana" w:cs="Arial"/>
          <w:b/>
          <w:bCs/>
          <w:color w:val="000000" w:themeColor="text1"/>
          <w:sz w:val="24"/>
          <w:szCs w:val="24"/>
        </w:rPr>
        <w:t>08.N</w:t>
      </w:r>
      <w:r w:rsidR="00525AFC">
        <w:rPr>
          <w:rFonts w:ascii="Verdana" w:eastAsia="Verdana" w:hAnsi="Verdana" w:cs="Arial"/>
          <w:b/>
          <w:bCs/>
          <w:color w:val="000000" w:themeColor="text1"/>
          <w:sz w:val="24"/>
          <w:szCs w:val="24"/>
        </w:rPr>
        <w:t xml:space="preserve"> </w:t>
      </w:r>
      <w:r w:rsidR="00525AFC" w:rsidRPr="00525AFC">
        <w:rPr>
          <w:rFonts w:ascii="Verdana" w:eastAsia="Verdana" w:hAnsi="Verdana" w:cs="Arial"/>
          <w:color w:val="000000" w:themeColor="text1"/>
          <w:sz w:val="24"/>
          <w:szCs w:val="24"/>
        </w:rPr>
        <w:t>Avance en los planes de reincorporación individuales y colectivos</w:t>
      </w:r>
    </w:p>
    <w:p w14:paraId="59498F36" w14:textId="56B15F97" w:rsidR="00D94548" w:rsidRPr="00D94548" w:rsidRDefault="00D94548" w:rsidP="00D94548">
      <w:pPr>
        <w:pStyle w:val="Descripcin"/>
        <w:keepNext/>
        <w:jc w:val="center"/>
        <w:rPr>
          <w:rFonts w:ascii="Verdana" w:eastAsia="Verdana" w:hAnsi="Verdana" w:cs="Arial"/>
          <w:i w:val="0"/>
          <w:iCs w:val="0"/>
          <w:color w:val="000000" w:themeColor="text1"/>
        </w:rPr>
      </w:pPr>
      <w:bookmarkStart w:id="13" w:name="_Toc225283122"/>
      <w:r w:rsidRPr="00D94548">
        <w:rPr>
          <w:rFonts w:ascii="Verdana" w:eastAsia="Verdana" w:hAnsi="Verdana" w:cs="Arial"/>
          <w:i w:val="0"/>
          <w:iCs w:val="0"/>
          <w:color w:val="000000" w:themeColor="text1"/>
        </w:rPr>
        <w:t xml:space="preserve">Tabla </w:t>
      </w:r>
      <w:r w:rsidRPr="00D94548">
        <w:rPr>
          <w:rFonts w:ascii="Verdana" w:eastAsia="Verdana" w:hAnsi="Verdana" w:cs="Arial"/>
          <w:i w:val="0"/>
          <w:iCs w:val="0"/>
          <w:color w:val="000000" w:themeColor="text1"/>
        </w:rPr>
        <w:fldChar w:fldCharType="begin"/>
      </w:r>
      <w:r w:rsidRPr="00D94548">
        <w:rPr>
          <w:rFonts w:ascii="Verdana" w:eastAsia="Verdana" w:hAnsi="Verdana" w:cs="Arial"/>
          <w:i w:val="0"/>
          <w:iCs w:val="0"/>
          <w:color w:val="000000" w:themeColor="text1"/>
        </w:rPr>
        <w:instrText xml:space="preserve"> SEQ Tabla \* ARABIC </w:instrText>
      </w:r>
      <w:r w:rsidRPr="00D94548">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10</w:t>
      </w:r>
      <w:r w:rsidRPr="00D94548">
        <w:rPr>
          <w:rFonts w:ascii="Verdana" w:eastAsia="Verdana" w:hAnsi="Verdana" w:cs="Arial"/>
          <w:i w:val="0"/>
          <w:iCs w:val="0"/>
          <w:color w:val="000000" w:themeColor="text1"/>
        </w:rPr>
        <w:fldChar w:fldCharType="end"/>
      </w:r>
      <w:r w:rsidRPr="00D94548">
        <w:rPr>
          <w:rFonts w:ascii="Verdana" w:eastAsia="Verdana" w:hAnsi="Verdana" w:cs="Arial"/>
          <w:i w:val="0"/>
          <w:iCs w:val="0"/>
          <w:color w:val="000000" w:themeColor="text1"/>
        </w:rPr>
        <w:t>. Detalle de avance en el indicador C.208.N</w:t>
      </w:r>
      <w:bookmarkEnd w:id="13"/>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59"/>
        <w:gridCol w:w="1204"/>
        <w:gridCol w:w="1217"/>
        <w:gridCol w:w="1211"/>
        <w:gridCol w:w="1244"/>
      </w:tblGrid>
      <w:tr w:rsidR="00177D87" w:rsidRPr="00AB06F3" w14:paraId="77E39945" w14:textId="77777777" w:rsidTr="008364F6">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55DC5AAD" w14:textId="77777777" w:rsidR="00177D87" w:rsidRPr="00AB06F3" w:rsidRDefault="00177D87"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204" w:type="dxa"/>
            <w:tcMar>
              <w:left w:w="108" w:type="dxa"/>
              <w:right w:w="108" w:type="dxa"/>
            </w:tcMar>
            <w:vAlign w:val="center"/>
          </w:tcPr>
          <w:p w14:paraId="018F9277"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7BF29D1E"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25828974"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1BDFE868" w14:textId="77777777" w:rsidR="00177D87" w:rsidRPr="00AB06F3" w:rsidRDefault="00177D8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177D87" w:rsidRPr="00AB06F3" w14:paraId="46F9DE5C" w14:textId="77777777" w:rsidTr="008364F6">
        <w:trPr>
          <w:trHeight w:val="759"/>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717BF4CF" w14:textId="2EC8DA47" w:rsidR="00177D87" w:rsidRPr="008364F6" w:rsidRDefault="00D94548" w:rsidP="005F457D">
            <w:pPr>
              <w:spacing w:before="240" w:line="276" w:lineRule="auto"/>
              <w:rPr>
                <w:rFonts w:ascii="Verdana" w:eastAsia="Verdana" w:hAnsi="Verdana" w:cs="Arial"/>
                <w:b w:val="0"/>
                <w:bCs w:val="0"/>
                <w:color w:val="000000" w:themeColor="text1"/>
                <w:sz w:val="18"/>
                <w:szCs w:val="18"/>
              </w:rPr>
            </w:pPr>
            <w:r w:rsidRPr="00D94548">
              <w:rPr>
                <w:rFonts w:ascii="Verdana" w:eastAsia="Verdana" w:hAnsi="Verdana" w:cs="Arial"/>
                <w:b w:val="0"/>
                <w:bCs w:val="0"/>
                <w:color w:val="000000" w:themeColor="text1"/>
                <w:sz w:val="18"/>
                <w:szCs w:val="18"/>
              </w:rPr>
              <w:t>C.208.N Avance en los planes de reincorporación individuales y colectivos</w:t>
            </w:r>
          </w:p>
        </w:tc>
        <w:tc>
          <w:tcPr>
            <w:tcW w:w="1204" w:type="dxa"/>
            <w:tcMar>
              <w:left w:w="108" w:type="dxa"/>
              <w:right w:w="108" w:type="dxa"/>
            </w:tcMar>
            <w:vAlign w:val="center"/>
          </w:tcPr>
          <w:p w14:paraId="3B6B9612"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29690788" w14:textId="5F8FE61E"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w:t>
            </w:r>
            <w:r w:rsidR="003E6C64">
              <w:rPr>
                <w:rFonts w:ascii="Verdana" w:eastAsia="Verdana" w:hAnsi="Verdana" w:cs="Arial"/>
                <w:sz w:val="18"/>
                <w:szCs w:val="18"/>
              </w:rPr>
              <w:t>4</w:t>
            </w:r>
          </w:p>
        </w:tc>
        <w:tc>
          <w:tcPr>
            <w:tcW w:w="1211" w:type="dxa"/>
            <w:shd w:val="clear" w:color="auto" w:fill="FFFFFF" w:themeFill="background1"/>
            <w:tcMar>
              <w:left w:w="108" w:type="dxa"/>
              <w:right w:w="108" w:type="dxa"/>
            </w:tcMar>
            <w:vAlign w:val="center"/>
          </w:tcPr>
          <w:p w14:paraId="3D52C1D3" w14:textId="77777777" w:rsidR="00177D87" w:rsidRPr="00AB06F3"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51F54FCA" w14:textId="77777777" w:rsidR="00177D87" w:rsidRDefault="00177D8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4B02D6DE" w14:textId="03F9553C" w:rsidR="00177D87" w:rsidRPr="00AB06F3" w:rsidRDefault="003E6C64" w:rsidP="003E6C64">
            <w:pPr>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9</w:t>
            </w:r>
            <w:r w:rsidR="00413B4F">
              <w:rPr>
                <w:rFonts w:ascii="Verdana" w:eastAsia="Verdana" w:hAnsi="Verdana" w:cs="Arial"/>
                <w:color w:val="000000" w:themeColor="text1"/>
                <w:sz w:val="18"/>
                <w:szCs w:val="18"/>
              </w:rPr>
              <w:t>,</w:t>
            </w:r>
            <w:r>
              <w:rPr>
                <w:rFonts w:ascii="Verdana" w:eastAsia="Verdana" w:hAnsi="Verdana" w:cs="Arial"/>
                <w:color w:val="000000" w:themeColor="text1"/>
                <w:sz w:val="18"/>
                <w:szCs w:val="18"/>
              </w:rPr>
              <w:t>46</w:t>
            </w:r>
            <w:r w:rsidR="00177D87" w:rsidRPr="00AB06F3">
              <w:rPr>
                <w:rFonts w:ascii="Verdana" w:eastAsia="Verdana" w:hAnsi="Verdana" w:cs="Arial"/>
                <w:color w:val="000000" w:themeColor="text1"/>
                <w:sz w:val="18"/>
                <w:szCs w:val="18"/>
              </w:rPr>
              <w:t>%</w:t>
            </w:r>
          </w:p>
        </w:tc>
      </w:tr>
    </w:tbl>
    <w:p w14:paraId="02C4FFF4"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3EEE4B49" w14:textId="77777777" w:rsidR="00177D87" w:rsidRDefault="00177D87" w:rsidP="00177D87">
      <w:pPr>
        <w:spacing w:before="240" w:after="0" w:line="276" w:lineRule="auto"/>
        <w:rPr>
          <w:rFonts w:ascii="Verdana" w:eastAsia="Verdana" w:hAnsi="Verdana" w:cs="Arial"/>
          <w:sz w:val="18"/>
          <w:szCs w:val="18"/>
        </w:rPr>
      </w:pPr>
    </w:p>
    <w:p w14:paraId="56CB0742" w14:textId="77777777" w:rsidR="00177D87" w:rsidRPr="00A12308" w:rsidRDefault="00177D87" w:rsidP="00164ED5">
      <w:pPr>
        <w:pStyle w:val="Prrafodelista"/>
        <w:numPr>
          <w:ilvl w:val="0"/>
          <w:numId w:val="17"/>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45E263B7" w14:textId="7E94ABFC" w:rsidR="00177D87" w:rsidRDefault="00177D87" w:rsidP="00855690">
      <w:pPr>
        <w:spacing w:after="0" w:line="276" w:lineRule="auto"/>
        <w:jc w:val="both"/>
        <w:rPr>
          <w:rFonts w:ascii="Verdana" w:hAnsi="Verdana" w:cs="Arial"/>
        </w:rPr>
      </w:pPr>
    </w:p>
    <w:p w14:paraId="52AD75DF" w14:textId="77777777" w:rsidR="00FA65AD" w:rsidRPr="00BA309D" w:rsidRDefault="00EA4366" w:rsidP="00855690">
      <w:pPr>
        <w:spacing w:after="240" w:line="240" w:lineRule="auto"/>
        <w:jc w:val="both"/>
        <w:rPr>
          <w:rFonts w:ascii="Verdana" w:eastAsia="Times New Roman" w:hAnsi="Verdana" w:cs="Arial"/>
          <w:kern w:val="0"/>
          <w:lang w:eastAsia="es-CO"/>
          <w14:ligatures w14:val="none"/>
        </w:rPr>
      </w:pPr>
      <w:r w:rsidRPr="008831FC">
        <w:rPr>
          <w:rFonts w:ascii="Verdana" w:hAnsi="Verdana" w:cs="Arial"/>
        </w:rPr>
        <w:t xml:space="preserve">Al cierre de </w:t>
      </w:r>
      <w:r w:rsidR="00AC1730">
        <w:rPr>
          <w:rFonts w:ascii="Verdana" w:hAnsi="Verdana" w:cs="Arial"/>
        </w:rPr>
        <w:t xml:space="preserve">la vigencia </w:t>
      </w:r>
      <w:r w:rsidRPr="00BA309D">
        <w:rPr>
          <w:rFonts w:ascii="Verdana" w:hAnsi="Verdana" w:cs="Arial"/>
        </w:rPr>
        <w:t xml:space="preserve">2025 </w:t>
      </w:r>
      <w:r w:rsidR="00855690" w:rsidRPr="00BA309D">
        <w:rPr>
          <w:rFonts w:ascii="Verdana" w:eastAsia="Times New Roman" w:hAnsi="Verdana" w:cs="Arial"/>
          <w:kern w:val="0"/>
          <w:lang w:eastAsia="es-CO"/>
          <w14:ligatures w14:val="none"/>
        </w:rPr>
        <w:t>se reporta un avance de 9,46% en el indicador</w:t>
      </w:r>
      <w:r w:rsidR="00AC1730" w:rsidRPr="00BA309D">
        <w:rPr>
          <w:rFonts w:ascii="Verdana" w:eastAsia="Times New Roman" w:hAnsi="Verdana" w:cs="Arial"/>
          <w:kern w:val="0"/>
          <w:lang w:eastAsia="es-CO"/>
          <w14:ligatures w14:val="none"/>
        </w:rPr>
        <w:t>,</w:t>
      </w:r>
      <w:r w:rsidR="00855690" w:rsidRPr="00BA309D">
        <w:rPr>
          <w:rFonts w:ascii="Verdana" w:eastAsia="Times New Roman" w:hAnsi="Verdana" w:cs="Arial"/>
          <w:kern w:val="0"/>
          <w:lang w:eastAsia="es-CO"/>
          <w14:ligatures w14:val="none"/>
        </w:rPr>
        <w:t xml:space="preserve"> frente a una meta </w:t>
      </w:r>
      <w:r w:rsidR="00AC1730" w:rsidRPr="00BA309D">
        <w:rPr>
          <w:rFonts w:ascii="Verdana" w:eastAsia="Times New Roman" w:hAnsi="Verdana" w:cs="Arial"/>
          <w:kern w:val="0"/>
          <w:lang w:eastAsia="es-CO"/>
          <w14:ligatures w14:val="none"/>
        </w:rPr>
        <w:t xml:space="preserve">establecida </w:t>
      </w:r>
      <w:r w:rsidR="00855690" w:rsidRPr="00BA309D">
        <w:rPr>
          <w:rFonts w:ascii="Verdana" w:eastAsia="Times New Roman" w:hAnsi="Verdana" w:cs="Arial"/>
          <w:kern w:val="0"/>
          <w:lang w:eastAsia="es-CO"/>
          <w14:ligatures w14:val="none"/>
        </w:rPr>
        <w:t xml:space="preserve">de 10%. </w:t>
      </w:r>
      <w:r w:rsidR="00FA65AD" w:rsidRPr="00BA309D">
        <w:rPr>
          <w:rFonts w:ascii="Verdana" w:eastAsia="Times New Roman" w:hAnsi="Verdana" w:cs="Arial"/>
          <w:kern w:val="0"/>
          <w:lang w:eastAsia="es-CO"/>
          <w14:ligatures w14:val="none"/>
        </w:rPr>
        <w:t>El cálculo del avance se realizó sobre 10.248 planes de reincorporación individual que culminaron la etapa de evaluación, de un total de 10.894 personas que finalizaron el proceso de formulación de sus planes.</w:t>
      </w:r>
    </w:p>
    <w:p w14:paraId="1615B615" w14:textId="0746DABF" w:rsidR="00CD6C50" w:rsidRPr="00FB5371" w:rsidRDefault="00BA309D" w:rsidP="00855690">
      <w:pPr>
        <w:spacing w:after="240" w:line="240" w:lineRule="auto"/>
        <w:jc w:val="both"/>
        <w:rPr>
          <w:rFonts w:ascii="Verdana" w:eastAsia="Times New Roman" w:hAnsi="Verdana" w:cs="Arial"/>
          <w:kern w:val="0"/>
          <w:lang w:eastAsia="es-CO"/>
          <w14:ligatures w14:val="none"/>
        </w:rPr>
      </w:pPr>
      <w:r w:rsidRPr="00BA309D">
        <w:rPr>
          <w:rFonts w:ascii="Verdana" w:eastAsia="Times New Roman" w:hAnsi="Verdana" w:cs="Arial"/>
          <w:kern w:val="0"/>
          <w:lang w:eastAsia="es-CO"/>
          <w14:ligatures w14:val="none"/>
        </w:rPr>
        <w:t>La distribución poblacional de los planes evaluados corresponde a 2.800 mujeres, con un avance del 9,19%, y 7.448 hombres, con un avance del 9,56%. Asimismo, se identifican 1.985 personas con autorreconocimiento étnico (9,3% de avance), 126 personas OSIGD (9,5%) y 1.863 personas con discapacidad (8,7%).</w:t>
      </w:r>
    </w:p>
    <w:p w14:paraId="5D92AAA5" w14:textId="54333582" w:rsidR="00496906" w:rsidRPr="00FB5371" w:rsidRDefault="00496906" w:rsidP="00855690">
      <w:pPr>
        <w:spacing w:after="240" w:line="240" w:lineRule="auto"/>
        <w:jc w:val="both"/>
        <w:rPr>
          <w:rFonts w:ascii="Verdana" w:eastAsia="Times New Roman" w:hAnsi="Verdana" w:cs="Arial"/>
          <w:kern w:val="0"/>
          <w:lang w:eastAsia="es-CO"/>
          <w14:ligatures w14:val="none"/>
        </w:rPr>
      </w:pPr>
      <w:r w:rsidRPr="00FB5371">
        <w:rPr>
          <w:rFonts w:ascii="Verdana" w:eastAsia="Times New Roman" w:hAnsi="Verdana" w:cs="Arial"/>
          <w:kern w:val="0"/>
          <w:lang w:eastAsia="es-CO"/>
          <w14:ligatures w14:val="none"/>
        </w:rPr>
        <w:lastRenderedPageBreak/>
        <w:t>De este total, 3.161 planes de reincorporación registraban un avance promedio del 5% al cierre de la vigencia 2024. Durante 2025 se reportaron 38.411 acciones en estado “Cumplido”, 266 acciones “Finalizado con Avance” y 16.479 acciones “En proceso”, lo cual evidencia la continuidad en la implementación y seguimiento de los planes individuales de reincorporación.</w:t>
      </w:r>
    </w:p>
    <w:p w14:paraId="5B5B80F3" w14:textId="1ACB6E56" w:rsidR="00855690" w:rsidRPr="00FB5371" w:rsidRDefault="00496906" w:rsidP="00855690">
      <w:pPr>
        <w:spacing w:after="0" w:line="276" w:lineRule="auto"/>
        <w:jc w:val="both"/>
        <w:rPr>
          <w:rFonts w:ascii="Verdana" w:eastAsia="Times New Roman" w:hAnsi="Verdana" w:cs="Arial"/>
          <w:kern w:val="0"/>
          <w:lang w:eastAsia="es-CO"/>
          <w14:ligatures w14:val="none"/>
        </w:rPr>
      </w:pPr>
      <w:r w:rsidRPr="00FB5371">
        <w:rPr>
          <w:rFonts w:ascii="Verdana" w:eastAsia="Times New Roman" w:hAnsi="Verdana" w:cs="Arial"/>
          <w:kern w:val="0"/>
          <w:lang w:eastAsia="es-CO"/>
          <w14:ligatures w14:val="none"/>
        </w:rPr>
        <w:t>El incumplimiento de la meta en un 0,54% se explica principalmente por la implementación de un nuevo mecanismo de seguimiento y evaluación, el cual requirió un proceso de ajuste y apropiación institucional. Este proceso implicó una curva de aprendizaje en aspectos relacionados con la programación de la oferta institucional, así como con el registro adecuado de actividades y acciones ejecutadas.</w:t>
      </w:r>
    </w:p>
    <w:p w14:paraId="66F16DC6" w14:textId="77777777" w:rsidR="00FB5371" w:rsidRPr="00FB5371" w:rsidRDefault="00FB5371" w:rsidP="00855690">
      <w:pPr>
        <w:spacing w:after="0" w:line="276" w:lineRule="auto"/>
        <w:jc w:val="both"/>
        <w:rPr>
          <w:rFonts w:ascii="Verdana" w:eastAsia="Times New Roman" w:hAnsi="Verdana" w:cs="Arial"/>
          <w:kern w:val="0"/>
          <w:lang w:eastAsia="es-CO"/>
          <w14:ligatures w14:val="none"/>
        </w:rPr>
      </w:pPr>
    </w:p>
    <w:p w14:paraId="5BD32AEA" w14:textId="0E76DE1E" w:rsidR="00FB5371" w:rsidRPr="00FB5371" w:rsidRDefault="00FB5371" w:rsidP="00855690">
      <w:pPr>
        <w:spacing w:after="0" w:line="276" w:lineRule="auto"/>
        <w:jc w:val="both"/>
        <w:rPr>
          <w:rFonts w:ascii="Verdana" w:eastAsia="Times New Roman" w:hAnsi="Verdana" w:cs="Arial"/>
          <w:kern w:val="0"/>
          <w:lang w:eastAsia="es-CO"/>
          <w14:ligatures w14:val="none"/>
        </w:rPr>
      </w:pPr>
      <w:r w:rsidRPr="00FB5371">
        <w:rPr>
          <w:rFonts w:ascii="Verdana" w:eastAsia="Times New Roman" w:hAnsi="Verdana" w:cs="Arial"/>
          <w:kern w:val="0"/>
          <w:lang w:eastAsia="es-CO"/>
          <w14:ligatures w14:val="none"/>
        </w:rPr>
        <w:t>Con el fin de mejorar la precisión en la medición del indicador, se adelantará un proceso de verificación de los registros de seguimiento, que permita identificar y ponderar avances que no hayan quedado reflejados en los registros finales. Es importante señalar que el cálculo del indicador solo contempla registros de seguimiento finales, por lo que los avances intermedios no son considerados en la medición.</w:t>
      </w:r>
    </w:p>
    <w:p w14:paraId="5EDD7226" w14:textId="77777777" w:rsidR="00496906" w:rsidRPr="00855690" w:rsidRDefault="00496906" w:rsidP="00855690">
      <w:pPr>
        <w:spacing w:after="0" w:line="276" w:lineRule="auto"/>
        <w:jc w:val="both"/>
        <w:rPr>
          <w:rFonts w:ascii="Verdana" w:hAnsi="Verdana" w:cs="Arial"/>
        </w:rPr>
      </w:pPr>
    </w:p>
    <w:p w14:paraId="758286BA" w14:textId="0D7EC381" w:rsidR="00443FB3" w:rsidRPr="00443FB3" w:rsidRDefault="00443FB3" w:rsidP="00443FB3">
      <w:pPr>
        <w:pStyle w:val="Prrafodelista"/>
        <w:spacing w:after="0" w:line="276" w:lineRule="auto"/>
        <w:jc w:val="center"/>
        <w:rPr>
          <w:rFonts w:ascii="Verdana" w:hAnsi="Verdana" w:cs="Arial"/>
          <w:sz w:val="18"/>
          <w:szCs w:val="18"/>
        </w:rPr>
      </w:pPr>
      <w:bookmarkStart w:id="14" w:name="_Toc225283123"/>
      <w:r w:rsidRPr="00443FB3">
        <w:rPr>
          <w:rFonts w:ascii="Verdana" w:hAnsi="Verdana" w:cs="Arial"/>
          <w:sz w:val="18"/>
          <w:szCs w:val="18"/>
        </w:rPr>
        <w:t xml:space="preserve">Tabla </w:t>
      </w:r>
      <w:r w:rsidRPr="00443FB3">
        <w:rPr>
          <w:rFonts w:ascii="Verdana" w:hAnsi="Verdana" w:cs="Arial"/>
          <w:sz w:val="18"/>
          <w:szCs w:val="18"/>
        </w:rPr>
        <w:fldChar w:fldCharType="begin"/>
      </w:r>
      <w:r w:rsidRPr="00443FB3">
        <w:rPr>
          <w:rFonts w:ascii="Verdana" w:hAnsi="Verdana" w:cs="Arial"/>
          <w:sz w:val="18"/>
          <w:szCs w:val="18"/>
        </w:rPr>
        <w:instrText xml:space="preserve"> SEQ Tabla \* ARABIC </w:instrText>
      </w:r>
      <w:r w:rsidRPr="00443FB3">
        <w:rPr>
          <w:rFonts w:ascii="Verdana" w:hAnsi="Verdana" w:cs="Arial"/>
          <w:sz w:val="18"/>
          <w:szCs w:val="18"/>
        </w:rPr>
        <w:fldChar w:fldCharType="separate"/>
      </w:r>
      <w:r w:rsidR="0078027F">
        <w:rPr>
          <w:rFonts w:ascii="Verdana" w:hAnsi="Verdana" w:cs="Arial"/>
          <w:noProof/>
          <w:sz w:val="18"/>
          <w:szCs w:val="18"/>
        </w:rPr>
        <w:t>11</w:t>
      </w:r>
      <w:r w:rsidRPr="00443FB3">
        <w:rPr>
          <w:rFonts w:ascii="Verdana" w:hAnsi="Verdana" w:cs="Arial"/>
          <w:sz w:val="18"/>
          <w:szCs w:val="18"/>
        </w:rPr>
        <w:fldChar w:fldCharType="end"/>
      </w:r>
      <w:r w:rsidRPr="00443FB3">
        <w:rPr>
          <w:rFonts w:ascii="Verdana" w:hAnsi="Verdana" w:cs="Arial"/>
          <w:sz w:val="18"/>
          <w:szCs w:val="18"/>
        </w:rPr>
        <w:t>. Detalle de las principales acciones del indicador C.208.N</w:t>
      </w:r>
      <w:bookmarkEnd w:id="14"/>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3543"/>
        <w:gridCol w:w="3119"/>
      </w:tblGrid>
      <w:tr w:rsidR="00177D87" w:rsidRPr="00AB06F3" w14:paraId="53C8AE0E" w14:textId="77777777" w:rsidTr="002B2B8D">
        <w:trPr>
          <w:trHeight w:val="113"/>
        </w:trPr>
        <w:tc>
          <w:tcPr>
            <w:tcW w:w="1985" w:type="dxa"/>
            <w:tcMar>
              <w:left w:w="108" w:type="dxa"/>
              <w:right w:w="108" w:type="dxa"/>
            </w:tcMar>
          </w:tcPr>
          <w:p w14:paraId="51EF84B8"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3543" w:type="dxa"/>
            <w:tcMar>
              <w:left w:w="108" w:type="dxa"/>
              <w:right w:w="108" w:type="dxa"/>
            </w:tcMar>
          </w:tcPr>
          <w:p w14:paraId="6CC36879"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3119" w:type="dxa"/>
            <w:tcMar>
              <w:left w:w="108" w:type="dxa"/>
              <w:right w:w="108" w:type="dxa"/>
            </w:tcMar>
          </w:tcPr>
          <w:p w14:paraId="1F8BDDCC" w14:textId="77777777" w:rsidR="00177D87" w:rsidRPr="00436D99" w:rsidRDefault="00177D8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177D87" w:rsidRPr="00AB06F3" w14:paraId="46106823" w14:textId="77777777" w:rsidTr="002B2B8D">
        <w:trPr>
          <w:trHeight w:val="553"/>
        </w:trPr>
        <w:tc>
          <w:tcPr>
            <w:tcW w:w="1985" w:type="dxa"/>
            <w:tcMar>
              <w:left w:w="108" w:type="dxa"/>
              <w:right w:w="108" w:type="dxa"/>
            </w:tcMar>
          </w:tcPr>
          <w:p w14:paraId="0E0C9510" w14:textId="77777777" w:rsidR="00D94548" w:rsidRPr="00F10EE2" w:rsidRDefault="00D94548" w:rsidP="002B2B8D">
            <w:pPr>
              <w:spacing w:before="240" w:line="276" w:lineRule="auto"/>
              <w:jc w:val="both"/>
              <w:rPr>
                <w:rFonts w:ascii="Verdana" w:eastAsia="Verdana" w:hAnsi="Verdana" w:cs="Arial"/>
                <w:color w:val="000000" w:themeColor="text1"/>
                <w:sz w:val="18"/>
                <w:szCs w:val="18"/>
              </w:rPr>
            </w:pPr>
            <w:r w:rsidRPr="00F10EE2">
              <w:rPr>
                <w:rFonts w:ascii="Verdana" w:eastAsia="Verdana" w:hAnsi="Verdana" w:cs="Arial"/>
                <w:color w:val="000000" w:themeColor="text1"/>
                <w:sz w:val="18"/>
                <w:szCs w:val="18"/>
              </w:rPr>
              <w:t>C.208.N Avance en los planes de reincorporación individuales y colectivos</w:t>
            </w:r>
          </w:p>
          <w:p w14:paraId="54CA2BD9" w14:textId="4DE96676" w:rsidR="00177D87" w:rsidRPr="00F10EE2" w:rsidRDefault="00177D87" w:rsidP="002B2B8D">
            <w:pPr>
              <w:spacing w:line="276" w:lineRule="auto"/>
              <w:jc w:val="both"/>
              <w:rPr>
                <w:rFonts w:ascii="Verdana" w:hAnsi="Verdana" w:cs="Arial"/>
              </w:rPr>
            </w:pPr>
          </w:p>
        </w:tc>
        <w:tc>
          <w:tcPr>
            <w:tcW w:w="3543" w:type="dxa"/>
            <w:tcMar>
              <w:left w:w="108" w:type="dxa"/>
              <w:right w:w="108" w:type="dxa"/>
            </w:tcMar>
          </w:tcPr>
          <w:p w14:paraId="6B00F8B9" w14:textId="57524198" w:rsidR="00177D87" w:rsidRPr="00F10EE2" w:rsidRDefault="00160E16" w:rsidP="002B2B8D">
            <w:pPr>
              <w:tabs>
                <w:tab w:val="left" w:pos="318"/>
              </w:tabs>
              <w:spacing w:line="276" w:lineRule="auto"/>
              <w:ind w:left="34"/>
              <w:jc w:val="both"/>
              <w:rPr>
                <w:rFonts w:ascii="Verdana" w:eastAsia="Verdana" w:hAnsi="Verdana" w:cs="Arial"/>
                <w:color w:val="000000" w:themeColor="text1"/>
                <w:sz w:val="18"/>
                <w:szCs w:val="18"/>
              </w:rPr>
            </w:pPr>
            <w:r w:rsidRPr="00F10EE2">
              <w:rPr>
                <w:rFonts w:ascii="Verdana" w:eastAsia="Verdana" w:hAnsi="Verdana" w:cs="Arial"/>
                <w:color w:val="000000" w:themeColor="text1"/>
                <w:sz w:val="18"/>
                <w:szCs w:val="18"/>
              </w:rPr>
              <w:t>Se alcanzó un avance del 9,46% frente a la meta del 10%, calculado sobre 10.248 planes de reincorporación individual evaluados, lo que evidencia la continuidad y consolidación del proceso de seguimiento a la implementación de los planes.</w:t>
            </w:r>
          </w:p>
        </w:tc>
        <w:tc>
          <w:tcPr>
            <w:tcW w:w="3119" w:type="dxa"/>
            <w:tcMar>
              <w:left w:w="108" w:type="dxa"/>
              <w:right w:w="108" w:type="dxa"/>
            </w:tcMar>
          </w:tcPr>
          <w:p w14:paraId="6E9B9D19" w14:textId="55DE6EB8" w:rsidR="001A1749" w:rsidRPr="00F10EE2" w:rsidRDefault="00F10EE2" w:rsidP="002B2B8D">
            <w:pPr>
              <w:spacing w:line="276" w:lineRule="auto"/>
              <w:jc w:val="both"/>
              <w:rPr>
                <w:rFonts w:ascii="Verdana" w:eastAsia="Verdana" w:hAnsi="Verdana" w:cs="Arial"/>
                <w:color w:val="000000" w:themeColor="text1"/>
                <w:sz w:val="18"/>
                <w:szCs w:val="18"/>
              </w:rPr>
            </w:pPr>
            <w:r w:rsidRPr="696F6128">
              <w:rPr>
                <w:rFonts w:ascii="Verdana" w:eastAsia="Verdana" w:hAnsi="Verdana" w:cs="Arial"/>
                <w:color w:val="000000" w:themeColor="text1"/>
                <w:sz w:val="18"/>
                <w:szCs w:val="18"/>
              </w:rPr>
              <w:t>$126.345.914.069,8</w:t>
            </w:r>
            <w:r w:rsidR="2D193FE2" w:rsidRPr="696F6128">
              <w:rPr>
                <w:rFonts w:ascii="Verdana" w:eastAsia="Verdana" w:hAnsi="Verdana" w:cs="Arial"/>
                <w:color w:val="000000" w:themeColor="text1"/>
                <w:sz w:val="18"/>
                <w:szCs w:val="18"/>
              </w:rPr>
              <w:t>7</w:t>
            </w:r>
            <w:r w:rsidRPr="696F6128">
              <w:rPr>
                <w:rFonts w:ascii="Verdana" w:eastAsia="Verdana" w:hAnsi="Verdana" w:cs="Arial"/>
                <w:color w:val="000000" w:themeColor="text1"/>
                <w:sz w:val="18"/>
                <w:szCs w:val="18"/>
              </w:rPr>
              <w:t>, recursos reportados en el trazador presupuestal de paz, asociados a las acciones institucionales que contribuyen al desarrollo de los planes de reincorporación.</w:t>
            </w:r>
          </w:p>
          <w:p w14:paraId="103ECA3C" w14:textId="77777777" w:rsidR="00F10EE2" w:rsidRPr="00F10EE2" w:rsidRDefault="00F10EE2" w:rsidP="002B2B8D">
            <w:pPr>
              <w:spacing w:line="276" w:lineRule="auto"/>
              <w:jc w:val="both"/>
              <w:rPr>
                <w:rFonts w:ascii="Verdana" w:eastAsia="Verdana" w:hAnsi="Verdana" w:cs="Arial"/>
                <w:color w:val="000000" w:themeColor="text1"/>
                <w:sz w:val="18"/>
                <w:szCs w:val="18"/>
              </w:rPr>
            </w:pPr>
          </w:p>
          <w:p w14:paraId="0191AC9D" w14:textId="53E11FEF" w:rsidR="001A1749" w:rsidRPr="00F10EE2" w:rsidRDefault="001A1749" w:rsidP="002B2B8D">
            <w:pPr>
              <w:spacing w:line="276" w:lineRule="auto"/>
              <w:jc w:val="both"/>
              <w:rPr>
                <w:rFonts w:ascii="Verdana" w:eastAsia="Verdana" w:hAnsi="Verdana" w:cs="Arial"/>
                <w:color w:val="000000" w:themeColor="text1"/>
                <w:sz w:val="18"/>
                <w:szCs w:val="18"/>
              </w:rPr>
            </w:pPr>
            <w:r w:rsidRPr="696F6128">
              <w:rPr>
                <w:rFonts w:ascii="Verdana" w:eastAsia="Verdana" w:hAnsi="Verdana" w:cs="Arial"/>
                <w:color w:val="000000" w:themeColor="text1"/>
                <w:sz w:val="18"/>
                <w:szCs w:val="18"/>
              </w:rPr>
              <w:t>Fuente de inversión: 2.200.000.000</w:t>
            </w:r>
          </w:p>
          <w:p w14:paraId="4C97BB4E" w14:textId="77777777" w:rsidR="001A1749" w:rsidRPr="00F10EE2" w:rsidRDefault="001A1749" w:rsidP="002B2B8D">
            <w:pPr>
              <w:spacing w:line="276" w:lineRule="auto"/>
              <w:jc w:val="both"/>
              <w:rPr>
                <w:rFonts w:ascii="Verdana" w:eastAsia="Verdana" w:hAnsi="Verdana" w:cs="Arial"/>
                <w:color w:val="000000" w:themeColor="text1"/>
                <w:sz w:val="18"/>
                <w:szCs w:val="18"/>
              </w:rPr>
            </w:pPr>
          </w:p>
          <w:p w14:paraId="1F52C9B2" w14:textId="194C7CEC" w:rsidR="001A1749" w:rsidRPr="00F10EE2" w:rsidRDefault="001A1749" w:rsidP="002B2B8D">
            <w:pPr>
              <w:spacing w:line="276" w:lineRule="auto"/>
              <w:jc w:val="both"/>
              <w:rPr>
                <w:rFonts w:ascii="Verdana" w:eastAsia="Verdana" w:hAnsi="Verdana" w:cs="Arial"/>
                <w:color w:val="000000" w:themeColor="text1"/>
                <w:sz w:val="18"/>
                <w:szCs w:val="18"/>
              </w:rPr>
            </w:pPr>
            <w:r w:rsidRPr="696F6128">
              <w:rPr>
                <w:rFonts w:ascii="Verdana" w:eastAsia="Verdana" w:hAnsi="Verdana" w:cs="Arial"/>
                <w:color w:val="000000" w:themeColor="text1"/>
                <w:sz w:val="18"/>
                <w:szCs w:val="18"/>
              </w:rPr>
              <w:t>E</w:t>
            </w:r>
            <w:r w:rsidR="28E0981B" w:rsidRPr="696F6128">
              <w:rPr>
                <w:rFonts w:ascii="Verdana" w:eastAsia="Verdana" w:hAnsi="Verdana" w:cs="Arial"/>
                <w:color w:val="000000" w:themeColor="text1"/>
                <w:sz w:val="18"/>
                <w:szCs w:val="18"/>
              </w:rPr>
              <w:t>l</w:t>
            </w:r>
            <w:r w:rsidRPr="696F6128">
              <w:rPr>
                <w:rFonts w:ascii="Verdana" w:eastAsia="Verdana" w:hAnsi="Verdana" w:cs="Arial"/>
                <w:color w:val="000000" w:themeColor="text1"/>
                <w:sz w:val="18"/>
                <w:szCs w:val="18"/>
              </w:rPr>
              <w:t xml:space="preserve"> valor </w:t>
            </w:r>
            <w:r w:rsidR="00772902" w:rsidRPr="696F6128">
              <w:rPr>
                <w:rFonts w:ascii="Verdana" w:eastAsia="Verdana" w:hAnsi="Verdana" w:cs="Arial"/>
                <w:color w:val="000000" w:themeColor="text1"/>
                <w:sz w:val="18"/>
                <w:szCs w:val="18"/>
              </w:rPr>
              <w:t>por esta fuente de financiación está destinado en su totalidad a R</w:t>
            </w:r>
            <w:r w:rsidRPr="696F6128">
              <w:rPr>
                <w:rFonts w:ascii="Verdana" w:eastAsia="Verdana" w:hAnsi="Verdana" w:cs="Arial"/>
                <w:color w:val="000000" w:themeColor="text1"/>
                <w:sz w:val="18"/>
                <w:szCs w:val="18"/>
              </w:rPr>
              <w:t>eincorporación</w:t>
            </w:r>
            <w:r w:rsidR="2DF89BDD" w:rsidRPr="696F6128">
              <w:rPr>
                <w:rFonts w:ascii="Verdana" w:eastAsia="Verdana" w:hAnsi="Verdana" w:cs="Arial"/>
                <w:color w:val="000000" w:themeColor="text1"/>
                <w:sz w:val="18"/>
                <w:szCs w:val="18"/>
              </w:rPr>
              <w:t>.</w:t>
            </w:r>
          </w:p>
        </w:tc>
      </w:tr>
    </w:tbl>
    <w:p w14:paraId="04877289" w14:textId="77777777" w:rsidR="002B2B8D" w:rsidRDefault="002B2B8D" w:rsidP="002B2B8D">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83C15C4" w14:textId="77777777" w:rsidR="00177D87" w:rsidRPr="00696B9C" w:rsidRDefault="00177D87" w:rsidP="00177D87">
      <w:pPr>
        <w:spacing w:after="0" w:line="276" w:lineRule="auto"/>
        <w:jc w:val="both"/>
        <w:rPr>
          <w:rFonts w:ascii="Verdana" w:hAnsi="Verdana" w:cs="Arial"/>
        </w:rPr>
      </w:pPr>
    </w:p>
    <w:p w14:paraId="141BDD7E" w14:textId="2A1122B2" w:rsidR="00177D87" w:rsidRPr="00696B9C" w:rsidRDefault="00177D87" w:rsidP="00164ED5">
      <w:pPr>
        <w:pStyle w:val="Prrafodelista"/>
        <w:numPr>
          <w:ilvl w:val="0"/>
          <w:numId w:val="17"/>
        </w:numPr>
        <w:spacing w:after="0" w:line="276" w:lineRule="auto"/>
        <w:jc w:val="both"/>
        <w:rPr>
          <w:rFonts w:ascii="Verdana" w:eastAsia="Verdana" w:hAnsi="Verdana" w:cs="Arial"/>
          <w:sz w:val="24"/>
          <w:szCs w:val="24"/>
        </w:rPr>
      </w:pPr>
      <w:r w:rsidRPr="00696B9C">
        <w:rPr>
          <w:rFonts w:ascii="Verdana" w:eastAsia="Verdana" w:hAnsi="Verdana" w:cs="Arial"/>
          <w:sz w:val="24"/>
          <w:szCs w:val="24"/>
        </w:rPr>
        <w:t>Regionalización de las acciones y</w:t>
      </w:r>
      <w:r w:rsidR="00B82827" w:rsidRPr="00696B9C">
        <w:rPr>
          <w:rFonts w:ascii="Verdana" w:hAnsi="Verdana"/>
          <w:sz w:val="24"/>
          <w:szCs w:val="24"/>
        </w:rPr>
        <w:t xml:space="preserve"> </w:t>
      </w:r>
      <w:r w:rsidR="008D00FE" w:rsidRPr="00696B9C">
        <w:rPr>
          <w:rFonts w:ascii="Verdana" w:hAnsi="Verdana"/>
          <w:sz w:val="24"/>
          <w:szCs w:val="24"/>
        </w:rPr>
        <w:t>beneficiarios</w:t>
      </w:r>
    </w:p>
    <w:p w14:paraId="0C0CE3B9" w14:textId="77777777" w:rsidR="00177D87" w:rsidRPr="00696B9C" w:rsidRDefault="00177D87" w:rsidP="00E912EE">
      <w:pPr>
        <w:spacing w:after="0" w:line="276" w:lineRule="auto"/>
        <w:ind w:left="360"/>
        <w:jc w:val="both"/>
        <w:rPr>
          <w:rFonts w:ascii="Verdana" w:eastAsia="Verdana" w:hAnsi="Verdana" w:cs="Arial"/>
          <w:sz w:val="24"/>
          <w:szCs w:val="24"/>
        </w:rPr>
      </w:pPr>
    </w:p>
    <w:p w14:paraId="430E82BF" w14:textId="3A7CCA71" w:rsidR="00E912EE" w:rsidRPr="00696B9C" w:rsidRDefault="00E912EE" w:rsidP="00E912EE">
      <w:pPr>
        <w:spacing w:after="0" w:line="276" w:lineRule="auto"/>
        <w:ind w:left="360"/>
        <w:jc w:val="both"/>
        <w:rPr>
          <w:rFonts w:ascii="Verdana" w:eastAsia="Verdana" w:hAnsi="Verdana" w:cs="Arial"/>
          <w:sz w:val="24"/>
          <w:szCs w:val="24"/>
        </w:rPr>
      </w:pPr>
      <w:r w:rsidRPr="00696B9C">
        <w:rPr>
          <w:rFonts w:ascii="Verdana" w:eastAsia="Verdana" w:hAnsi="Verdana" w:cs="Arial"/>
          <w:sz w:val="24"/>
          <w:szCs w:val="24"/>
        </w:rPr>
        <w:t>Se avanzó en la evaluación de 10.248 planes que se encuentran distribuidos territorialmente de la siguiente manera:</w:t>
      </w:r>
    </w:p>
    <w:p w14:paraId="2095D273" w14:textId="27BE1A95" w:rsidR="00E912EE" w:rsidRPr="00E912EE" w:rsidRDefault="00E912EE" w:rsidP="00E912EE">
      <w:pPr>
        <w:spacing w:after="0" w:line="276" w:lineRule="auto"/>
        <w:ind w:left="360"/>
        <w:jc w:val="both"/>
        <w:rPr>
          <w:rFonts w:ascii="Verdana" w:eastAsia="Verdana" w:hAnsi="Verdana" w:cs="Arial"/>
          <w:color w:val="000000" w:themeColor="text1"/>
          <w:sz w:val="24"/>
          <w:szCs w:val="24"/>
        </w:rPr>
      </w:pPr>
    </w:p>
    <w:p w14:paraId="104ABF1B" w14:textId="4546319A" w:rsidR="00D61555" w:rsidRPr="00D61555" w:rsidRDefault="008C4AF8" w:rsidP="00D61555">
      <w:pPr>
        <w:pStyle w:val="Descripcin"/>
        <w:keepNext/>
        <w:jc w:val="center"/>
      </w:pPr>
      <w:bookmarkStart w:id="15" w:name="_Toc225283124"/>
      <w:r w:rsidRPr="008C4AF8">
        <w:rPr>
          <w:rFonts w:ascii="Verdana" w:eastAsia="Verdana" w:hAnsi="Verdana" w:cs="Arial"/>
          <w:i w:val="0"/>
          <w:iCs w:val="0"/>
          <w:color w:val="000000" w:themeColor="text1"/>
        </w:rPr>
        <w:lastRenderedPageBreak/>
        <w:t xml:space="preserve">Tabla </w:t>
      </w:r>
      <w:r w:rsidRPr="008C4AF8">
        <w:rPr>
          <w:rFonts w:ascii="Verdana" w:eastAsia="Verdana" w:hAnsi="Verdana" w:cs="Arial"/>
          <w:i w:val="0"/>
          <w:iCs w:val="0"/>
          <w:color w:val="000000" w:themeColor="text1"/>
        </w:rPr>
        <w:fldChar w:fldCharType="begin"/>
      </w:r>
      <w:r w:rsidRPr="008C4AF8">
        <w:rPr>
          <w:rFonts w:ascii="Verdana" w:eastAsia="Verdana" w:hAnsi="Verdana" w:cs="Arial"/>
          <w:i w:val="0"/>
          <w:iCs w:val="0"/>
          <w:color w:val="000000" w:themeColor="text1"/>
        </w:rPr>
        <w:instrText xml:space="preserve"> SEQ Tabla \* ARABIC </w:instrText>
      </w:r>
      <w:r w:rsidRPr="008C4AF8">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12</w:t>
      </w:r>
      <w:r w:rsidRPr="008C4AF8">
        <w:rPr>
          <w:rFonts w:ascii="Verdana" w:eastAsia="Verdana" w:hAnsi="Verdana" w:cs="Arial"/>
          <w:i w:val="0"/>
          <w:iCs w:val="0"/>
          <w:color w:val="000000" w:themeColor="text1"/>
        </w:rPr>
        <w:fldChar w:fldCharType="end"/>
      </w:r>
      <w:r w:rsidRPr="008C4AF8">
        <w:rPr>
          <w:rFonts w:ascii="Verdana" w:eastAsia="Verdana" w:hAnsi="Verdana" w:cs="Arial"/>
          <w:i w:val="0"/>
          <w:iCs w:val="0"/>
          <w:color w:val="000000" w:themeColor="text1"/>
        </w:rPr>
        <w:t>. Detalle de regionalización del indicador C.208.N</w:t>
      </w:r>
      <w:bookmarkEnd w:id="15"/>
    </w:p>
    <w:tbl>
      <w:tblPr>
        <w:tblStyle w:val="Tablaconcuadrcula1clara-nfasis4"/>
        <w:tblpPr w:leftFromText="141" w:rightFromText="141" w:vertAnchor="text" w:tblpXSpec="center" w:tblpY="1"/>
        <w:tblOverlap w:val="never"/>
        <w:tblW w:w="0" w:type="auto"/>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
      </w:tblPr>
      <w:tblGrid>
        <w:gridCol w:w="1667"/>
        <w:gridCol w:w="1808"/>
        <w:gridCol w:w="1392"/>
        <w:gridCol w:w="2933"/>
      </w:tblGrid>
      <w:tr w:rsidR="00B362D9" w:rsidRPr="004A6D7F" w14:paraId="58FE7F59" w14:textId="77777777" w:rsidTr="00696B9C">
        <w:trPr>
          <w:cnfStyle w:val="100000000000" w:firstRow="1" w:lastRow="0" w:firstColumn="0" w:lastColumn="0" w:oddVBand="0" w:evenVBand="0" w:oddHBand="0" w:evenHBand="0" w:firstRowFirstColumn="0" w:firstRowLastColumn="0" w:lastRowFirstColumn="0" w:lastRowLastColumn="0"/>
          <w:trHeight w:val="697"/>
          <w:tblHeader/>
        </w:trPr>
        <w:tc>
          <w:tcPr>
            <w:cnfStyle w:val="001000000000" w:firstRow="0" w:lastRow="0" w:firstColumn="1" w:lastColumn="0" w:oddVBand="0" w:evenVBand="0" w:oddHBand="0" w:evenHBand="0" w:firstRowFirstColumn="0" w:firstRowLastColumn="0" w:lastRowFirstColumn="0" w:lastRowLastColumn="0"/>
            <w:tcW w:w="1663" w:type="dxa"/>
            <w:vAlign w:val="center"/>
          </w:tcPr>
          <w:p w14:paraId="593F1008" w14:textId="77777777" w:rsidR="00B362D9" w:rsidRPr="002B2B8D" w:rsidRDefault="00B362D9" w:rsidP="00D61555">
            <w:pPr>
              <w:jc w:val="center"/>
              <w:rPr>
                <w:rFonts w:ascii="Verdana" w:hAnsi="Verdana"/>
                <w:bCs w:val="0"/>
                <w:sz w:val="18"/>
                <w:szCs w:val="18"/>
              </w:rPr>
            </w:pPr>
            <w:r w:rsidRPr="002B2B8D">
              <w:rPr>
                <w:rFonts w:ascii="Verdana" w:hAnsi="Verdana"/>
                <w:bCs w:val="0"/>
                <w:sz w:val="18"/>
                <w:szCs w:val="18"/>
              </w:rPr>
              <w:t>Departamento</w:t>
            </w:r>
          </w:p>
        </w:tc>
        <w:tc>
          <w:tcPr>
            <w:tcW w:w="1808" w:type="dxa"/>
            <w:vAlign w:val="center"/>
          </w:tcPr>
          <w:p w14:paraId="6356F2EC" w14:textId="77777777" w:rsidR="00B362D9" w:rsidRPr="002B2B8D" w:rsidRDefault="00B362D9" w:rsidP="00D61555">
            <w:pPr>
              <w:jc w:val="center"/>
              <w:cnfStyle w:val="100000000000" w:firstRow="1" w:lastRow="0" w:firstColumn="0" w:lastColumn="0" w:oddVBand="0" w:evenVBand="0" w:oddHBand="0" w:evenHBand="0" w:firstRowFirstColumn="0" w:firstRowLastColumn="0" w:lastRowFirstColumn="0" w:lastRowLastColumn="0"/>
              <w:rPr>
                <w:rFonts w:ascii="Verdana" w:hAnsi="Verdana"/>
                <w:bCs w:val="0"/>
                <w:sz w:val="18"/>
                <w:szCs w:val="18"/>
              </w:rPr>
            </w:pPr>
            <w:r w:rsidRPr="002B2B8D">
              <w:rPr>
                <w:rFonts w:ascii="Verdana" w:hAnsi="Verdana"/>
                <w:bCs w:val="0"/>
                <w:sz w:val="18"/>
                <w:szCs w:val="18"/>
              </w:rPr>
              <w:t>Municipio</w:t>
            </w:r>
          </w:p>
        </w:tc>
        <w:tc>
          <w:tcPr>
            <w:tcW w:w="1388" w:type="dxa"/>
            <w:vAlign w:val="center"/>
          </w:tcPr>
          <w:p w14:paraId="19B236C8" w14:textId="77777777" w:rsidR="00B362D9" w:rsidRPr="002B2B8D" w:rsidRDefault="00B362D9" w:rsidP="00D61555">
            <w:pPr>
              <w:jc w:val="center"/>
              <w:cnfStyle w:val="100000000000" w:firstRow="1" w:lastRow="0" w:firstColumn="0" w:lastColumn="0" w:oddVBand="0" w:evenVBand="0" w:oddHBand="0" w:evenHBand="0" w:firstRowFirstColumn="0" w:firstRowLastColumn="0" w:lastRowFirstColumn="0" w:lastRowLastColumn="0"/>
              <w:rPr>
                <w:rFonts w:ascii="Verdana" w:hAnsi="Verdana"/>
                <w:bCs w:val="0"/>
                <w:sz w:val="18"/>
                <w:szCs w:val="18"/>
              </w:rPr>
            </w:pPr>
            <w:r w:rsidRPr="002B2B8D">
              <w:rPr>
                <w:rFonts w:ascii="Verdana" w:hAnsi="Verdana"/>
                <w:bCs w:val="0"/>
                <w:sz w:val="18"/>
                <w:szCs w:val="18"/>
              </w:rPr>
              <w:t>Total Población Beneficiada</w:t>
            </w:r>
          </w:p>
        </w:tc>
        <w:tc>
          <w:tcPr>
            <w:tcW w:w="2933" w:type="dxa"/>
            <w:vAlign w:val="center"/>
          </w:tcPr>
          <w:p w14:paraId="64EC5179" w14:textId="642F0EC7" w:rsidR="00B362D9" w:rsidRPr="002B2B8D" w:rsidRDefault="00B362D9" w:rsidP="00D61555">
            <w:pPr>
              <w:jc w:val="center"/>
              <w:cnfStyle w:val="100000000000" w:firstRow="1" w:lastRow="0" w:firstColumn="0" w:lastColumn="0" w:oddVBand="0" w:evenVBand="0" w:oddHBand="0" w:evenHBand="0" w:firstRowFirstColumn="0" w:firstRowLastColumn="0" w:lastRowFirstColumn="0" w:lastRowLastColumn="0"/>
              <w:rPr>
                <w:rFonts w:ascii="Verdana" w:hAnsi="Verdana"/>
                <w:bCs w:val="0"/>
                <w:sz w:val="18"/>
                <w:szCs w:val="18"/>
              </w:rPr>
            </w:pPr>
            <w:r w:rsidRPr="002B2B8D">
              <w:rPr>
                <w:rFonts w:ascii="Verdana" w:hAnsi="Verdana"/>
                <w:bCs w:val="0"/>
                <w:sz w:val="18"/>
                <w:szCs w:val="18"/>
              </w:rPr>
              <w:t>Clasificación poblacional</w:t>
            </w:r>
          </w:p>
        </w:tc>
      </w:tr>
      <w:tr w:rsidR="00B362D9" w:rsidRPr="004A6D7F" w14:paraId="6D3055CE" w14:textId="77777777" w:rsidTr="00696B9C">
        <w:trPr>
          <w:trHeight w:val="539"/>
        </w:trPr>
        <w:tc>
          <w:tcPr>
            <w:cnfStyle w:val="001000000000" w:firstRow="0" w:lastRow="0" w:firstColumn="1" w:lastColumn="0" w:oddVBand="0" w:evenVBand="0" w:oddHBand="0" w:evenHBand="0" w:firstRowFirstColumn="0" w:firstRowLastColumn="0" w:lastRowFirstColumn="0" w:lastRowLastColumn="0"/>
            <w:tcW w:w="1663" w:type="dxa"/>
          </w:tcPr>
          <w:p w14:paraId="0ECF2B51" w14:textId="0E86A3EE" w:rsidR="00B362D9" w:rsidRPr="00D62CEF" w:rsidRDefault="00B362D9" w:rsidP="002B2B8D">
            <w:pPr>
              <w:jc w:val="both"/>
              <w:rPr>
                <w:rFonts w:ascii="Verdana" w:hAnsi="Verdana" w:cs="Arial"/>
                <w:b w:val="0"/>
                <w:sz w:val="18"/>
                <w:szCs w:val="18"/>
              </w:rPr>
            </w:pPr>
            <w:r w:rsidRPr="00D62CEF">
              <w:rPr>
                <w:rFonts w:ascii="Verdana" w:hAnsi="Verdana" w:cs="Arial"/>
                <w:b w:val="0"/>
                <w:sz w:val="18"/>
                <w:szCs w:val="18"/>
              </w:rPr>
              <w:t>Extranjero</w:t>
            </w:r>
          </w:p>
        </w:tc>
        <w:tc>
          <w:tcPr>
            <w:tcW w:w="1808" w:type="dxa"/>
          </w:tcPr>
          <w:p w14:paraId="3CBD74B4" w14:textId="5E4B98FB" w:rsidR="00B362D9" w:rsidRPr="008D1BA1"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8D1BA1">
              <w:rPr>
                <w:rFonts w:ascii="Verdana" w:hAnsi="Verdana" w:cs="Arial"/>
                <w:sz w:val="18"/>
                <w:szCs w:val="18"/>
              </w:rPr>
              <w:t>Extranjero</w:t>
            </w:r>
          </w:p>
        </w:tc>
        <w:tc>
          <w:tcPr>
            <w:tcW w:w="1388" w:type="dxa"/>
          </w:tcPr>
          <w:p w14:paraId="7C940BFE" w14:textId="1538C5E1" w:rsidR="00B362D9" w:rsidRPr="008D1BA1"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8D1BA1">
              <w:rPr>
                <w:rFonts w:ascii="Verdana" w:hAnsi="Verdana" w:cs="Arial"/>
                <w:sz w:val="18"/>
                <w:szCs w:val="18"/>
              </w:rPr>
              <w:t>59</w:t>
            </w:r>
          </w:p>
        </w:tc>
        <w:tc>
          <w:tcPr>
            <w:tcW w:w="2933" w:type="dxa"/>
          </w:tcPr>
          <w:p w14:paraId="0E6253AA" w14:textId="3E0C036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14 mujeres, 45 hombres, 4 jóvenes, 23 étnicos, 9 discapacidad</w:t>
            </w:r>
          </w:p>
        </w:tc>
      </w:tr>
      <w:tr w:rsidR="00B362D9" w:rsidRPr="004A6D7F" w14:paraId="7C9EA129" w14:textId="77777777" w:rsidTr="00696B9C">
        <w:trPr>
          <w:trHeight w:val="296"/>
        </w:trPr>
        <w:tc>
          <w:tcPr>
            <w:cnfStyle w:val="001000000000" w:firstRow="0" w:lastRow="0" w:firstColumn="1" w:lastColumn="0" w:oddVBand="0" w:evenVBand="0" w:oddHBand="0" w:evenHBand="0" w:firstRowFirstColumn="0" w:firstRowLastColumn="0" w:lastRowFirstColumn="0" w:lastRowLastColumn="0"/>
            <w:tcW w:w="1663" w:type="dxa"/>
          </w:tcPr>
          <w:p w14:paraId="3288FE20" w14:textId="6DEB8F3C" w:rsidR="00B362D9" w:rsidRPr="00D62CEF" w:rsidRDefault="00B362D9" w:rsidP="002B2B8D">
            <w:pPr>
              <w:jc w:val="both"/>
              <w:rPr>
                <w:rFonts w:ascii="Verdana" w:hAnsi="Verdana" w:cs="Arial"/>
                <w:b w:val="0"/>
                <w:sz w:val="18"/>
                <w:szCs w:val="18"/>
              </w:rPr>
            </w:pPr>
            <w:r w:rsidRPr="00D62CEF">
              <w:rPr>
                <w:rFonts w:ascii="Verdana" w:hAnsi="Verdana" w:cs="Arial"/>
                <w:b w:val="0"/>
                <w:sz w:val="18"/>
                <w:szCs w:val="18"/>
              </w:rPr>
              <w:t>Amazonas</w:t>
            </w:r>
          </w:p>
        </w:tc>
        <w:tc>
          <w:tcPr>
            <w:tcW w:w="1808" w:type="dxa"/>
          </w:tcPr>
          <w:p w14:paraId="4C89E71E" w14:textId="12B6F40C" w:rsidR="00B362D9" w:rsidRPr="008D1BA1"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8D1BA1">
              <w:rPr>
                <w:rFonts w:ascii="Verdana" w:hAnsi="Verdana" w:cs="Arial"/>
                <w:sz w:val="18"/>
                <w:szCs w:val="18"/>
              </w:rPr>
              <w:t>Ver detalle en formato de desagregación</w:t>
            </w:r>
          </w:p>
        </w:tc>
        <w:tc>
          <w:tcPr>
            <w:tcW w:w="1388" w:type="dxa"/>
          </w:tcPr>
          <w:p w14:paraId="61744D67" w14:textId="1B673438" w:rsidR="00B362D9" w:rsidRPr="008D1BA1"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8D1BA1">
              <w:rPr>
                <w:rFonts w:ascii="Verdana" w:hAnsi="Verdana" w:cs="Arial"/>
                <w:sz w:val="18"/>
                <w:szCs w:val="18"/>
              </w:rPr>
              <w:t>6</w:t>
            </w:r>
          </w:p>
        </w:tc>
        <w:tc>
          <w:tcPr>
            <w:tcW w:w="2933" w:type="dxa"/>
          </w:tcPr>
          <w:p w14:paraId="45CA4AA6" w14:textId="614AFBE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 mujeres, 5 hombres, 2 étnicos</w:t>
            </w:r>
          </w:p>
        </w:tc>
      </w:tr>
      <w:tr w:rsidR="00B362D9" w:rsidRPr="004A6D7F" w14:paraId="464235F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3AE0B897" w14:textId="513B30D4" w:rsidR="00B362D9" w:rsidRPr="007D130A" w:rsidRDefault="00B362D9" w:rsidP="002B2B8D">
            <w:pPr>
              <w:jc w:val="both"/>
              <w:rPr>
                <w:rFonts w:ascii="Verdana" w:hAnsi="Verdana" w:cs="Arial"/>
                <w:b w:val="0"/>
                <w:sz w:val="18"/>
                <w:szCs w:val="18"/>
              </w:rPr>
            </w:pPr>
            <w:r w:rsidRPr="007D130A">
              <w:rPr>
                <w:rFonts w:ascii="Verdana" w:hAnsi="Verdana" w:cs="Arial"/>
                <w:b w:val="0"/>
                <w:sz w:val="18"/>
                <w:szCs w:val="18"/>
              </w:rPr>
              <w:t>Antioquia</w:t>
            </w:r>
          </w:p>
        </w:tc>
        <w:tc>
          <w:tcPr>
            <w:tcW w:w="1808" w:type="dxa"/>
          </w:tcPr>
          <w:p w14:paraId="5A1639E4" w14:textId="29BD0502" w:rsidR="00B362D9" w:rsidRPr="007D130A"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8"/>
                <w:szCs w:val="18"/>
              </w:rPr>
            </w:pPr>
            <w:r w:rsidRPr="007D130A">
              <w:rPr>
                <w:rFonts w:ascii="Verdana" w:hAnsi="Verdana" w:cs="Arial"/>
                <w:bCs/>
                <w:sz w:val="18"/>
                <w:szCs w:val="18"/>
              </w:rPr>
              <w:t>Ver detalle en formato de desagregación</w:t>
            </w:r>
          </w:p>
        </w:tc>
        <w:tc>
          <w:tcPr>
            <w:tcW w:w="1388" w:type="dxa"/>
          </w:tcPr>
          <w:p w14:paraId="21B7D325" w14:textId="63B159E0" w:rsidR="00B362D9" w:rsidRPr="007D130A"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8"/>
                <w:szCs w:val="18"/>
              </w:rPr>
            </w:pPr>
            <w:r w:rsidRPr="007D130A">
              <w:rPr>
                <w:rFonts w:ascii="Verdana" w:hAnsi="Verdana" w:cs="Arial"/>
                <w:bCs/>
                <w:sz w:val="18"/>
                <w:szCs w:val="18"/>
              </w:rPr>
              <w:t>1141</w:t>
            </w:r>
          </w:p>
        </w:tc>
        <w:tc>
          <w:tcPr>
            <w:tcW w:w="2933" w:type="dxa"/>
          </w:tcPr>
          <w:p w14:paraId="242BFAD3" w14:textId="25D1D45F" w:rsidR="00B362D9" w:rsidRPr="007D130A"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18"/>
                <w:szCs w:val="18"/>
              </w:rPr>
            </w:pPr>
            <w:r w:rsidRPr="007D130A">
              <w:rPr>
                <w:rFonts w:ascii="Verdana" w:hAnsi="Verdana" w:cs="Arial"/>
                <w:bCs/>
                <w:sz w:val="18"/>
                <w:szCs w:val="18"/>
              </w:rPr>
              <w:t>303 mujeres, 838 hombres, 115 jóvenes, 121 étnicos, 183 discapacidad</w:t>
            </w:r>
          </w:p>
        </w:tc>
      </w:tr>
      <w:tr w:rsidR="00B362D9" w:rsidRPr="004A6D7F" w14:paraId="58B3961A"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0B1088E" w14:textId="7DCD0CDC" w:rsidR="00B362D9" w:rsidRPr="00D62CEF" w:rsidRDefault="00B362D9" w:rsidP="002B2B8D">
            <w:pPr>
              <w:jc w:val="both"/>
              <w:rPr>
                <w:rFonts w:ascii="Verdana" w:eastAsia="Verdana" w:hAnsi="Verdana" w:cs="Arial"/>
                <w:b w:val="0"/>
                <w:color w:val="000000" w:themeColor="text1"/>
                <w:sz w:val="18"/>
                <w:szCs w:val="18"/>
              </w:rPr>
            </w:pPr>
            <w:r w:rsidRPr="009A1EBE">
              <w:rPr>
                <w:rFonts w:ascii="Verdana" w:eastAsia="Calibri" w:hAnsi="Verdana" w:cs="Calibri"/>
                <w:b w:val="0"/>
                <w:color w:val="000000" w:themeColor="text1"/>
                <w:sz w:val="18"/>
                <w:szCs w:val="18"/>
              </w:rPr>
              <w:t>Arauca</w:t>
            </w:r>
          </w:p>
        </w:tc>
        <w:tc>
          <w:tcPr>
            <w:tcW w:w="1808" w:type="dxa"/>
          </w:tcPr>
          <w:p w14:paraId="22A1E89C" w14:textId="6D4302E4" w:rsidR="00B362D9" w:rsidRPr="00691EB2"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691EB2">
              <w:rPr>
                <w:rFonts w:ascii="Verdana" w:eastAsia="Verdana" w:hAnsi="Verdana" w:cs="Arial"/>
                <w:color w:val="000000" w:themeColor="text1"/>
                <w:sz w:val="18"/>
                <w:szCs w:val="18"/>
              </w:rPr>
              <w:t>Ver detalle en formato de desagregación</w:t>
            </w:r>
          </w:p>
        </w:tc>
        <w:tc>
          <w:tcPr>
            <w:tcW w:w="1388" w:type="dxa"/>
          </w:tcPr>
          <w:p w14:paraId="386564EB" w14:textId="69F63B5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211</w:t>
            </w:r>
          </w:p>
        </w:tc>
        <w:tc>
          <w:tcPr>
            <w:tcW w:w="2933" w:type="dxa"/>
          </w:tcPr>
          <w:p w14:paraId="24DD4BD9" w14:textId="26506A9A"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69 mujeres, 142 hombres, 24 jóvenes, 35 étnicos, 65 discapacidad</w:t>
            </w:r>
          </w:p>
        </w:tc>
      </w:tr>
      <w:tr w:rsidR="00B362D9" w:rsidRPr="004A6D7F" w14:paraId="37B96F68"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0A28BD4" w14:textId="76166D89" w:rsidR="00B362D9" w:rsidRPr="00D62CEF" w:rsidRDefault="00B362D9" w:rsidP="002B2B8D">
            <w:pPr>
              <w:jc w:val="both"/>
              <w:rPr>
                <w:rFonts w:ascii="Verdana" w:hAnsi="Verdana"/>
                <w:b w:val="0"/>
                <w:color w:val="EE0000"/>
                <w:sz w:val="18"/>
                <w:szCs w:val="18"/>
              </w:rPr>
            </w:pPr>
            <w:r w:rsidRPr="00D62CEF">
              <w:rPr>
                <w:rFonts w:ascii="Verdana" w:eastAsia="Calibri" w:hAnsi="Verdana" w:cs="Calibri"/>
                <w:b w:val="0"/>
                <w:color w:val="000000" w:themeColor="text1"/>
                <w:sz w:val="18"/>
                <w:szCs w:val="18"/>
              </w:rPr>
              <w:t>Archipiélago de San Andrés. Providencia y Santa Catalina</w:t>
            </w:r>
          </w:p>
        </w:tc>
        <w:tc>
          <w:tcPr>
            <w:tcW w:w="1808" w:type="dxa"/>
          </w:tcPr>
          <w:p w14:paraId="16DB146B" w14:textId="1BD8F72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DAAFC86" w14:textId="05B04DF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w:t>
            </w:r>
          </w:p>
        </w:tc>
        <w:tc>
          <w:tcPr>
            <w:tcW w:w="2933" w:type="dxa"/>
          </w:tcPr>
          <w:p w14:paraId="53A68E99" w14:textId="57AC0C7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 hombres, 1 étnicos, 1 discapacidad</w:t>
            </w:r>
          </w:p>
        </w:tc>
      </w:tr>
      <w:tr w:rsidR="00B362D9" w:rsidRPr="004A6D7F" w14:paraId="6E8BE53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7C04D8E" w14:textId="7E6633B9"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Atlántico</w:t>
            </w:r>
          </w:p>
        </w:tc>
        <w:tc>
          <w:tcPr>
            <w:tcW w:w="1808" w:type="dxa"/>
          </w:tcPr>
          <w:p w14:paraId="176C07C5" w14:textId="3AE89E3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672D979" w14:textId="41D5BE3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57</w:t>
            </w:r>
          </w:p>
        </w:tc>
        <w:tc>
          <w:tcPr>
            <w:tcW w:w="2933" w:type="dxa"/>
          </w:tcPr>
          <w:p w14:paraId="1F0DC6AF" w14:textId="3FF01C34"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24 mujeres, 33 hombres, 3 jóvenes, 12 étnicos, 11 discapacidad</w:t>
            </w:r>
          </w:p>
        </w:tc>
      </w:tr>
      <w:tr w:rsidR="00B362D9" w:rsidRPr="004A6D7F" w14:paraId="35B544B3"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30D1907" w14:textId="7976BBE5"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Bogotá D.C.</w:t>
            </w:r>
          </w:p>
        </w:tc>
        <w:tc>
          <w:tcPr>
            <w:tcW w:w="1808" w:type="dxa"/>
          </w:tcPr>
          <w:p w14:paraId="4885F58A" w14:textId="5B134B8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Bogotá</w:t>
            </w:r>
          </w:p>
        </w:tc>
        <w:tc>
          <w:tcPr>
            <w:tcW w:w="1388" w:type="dxa"/>
          </w:tcPr>
          <w:p w14:paraId="56297A5C" w14:textId="0E46811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589</w:t>
            </w:r>
          </w:p>
        </w:tc>
        <w:tc>
          <w:tcPr>
            <w:tcW w:w="2933" w:type="dxa"/>
          </w:tcPr>
          <w:p w14:paraId="1048035A" w14:textId="41D34EE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227 mujeres, 362 hombres, 26 jóvenes, 48 étnicos, 83 discapacidad</w:t>
            </w:r>
          </w:p>
        </w:tc>
      </w:tr>
      <w:tr w:rsidR="00B362D9" w:rsidRPr="004A6D7F" w14:paraId="2A9FA36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D2E687B" w14:textId="628613C9"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Bolívar</w:t>
            </w:r>
          </w:p>
        </w:tc>
        <w:tc>
          <w:tcPr>
            <w:tcW w:w="1808" w:type="dxa"/>
          </w:tcPr>
          <w:p w14:paraId="686AF4DF" w14:textId="4F3B9BC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A410612" w14:textId="5EA3AF9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229</w:t>
            </w:r>
          </w:p>
        </w:tc>
        <w:tc>
          <w:tcPr>
            <w:tcW w:w="2933" w:type="dxa"/>
          </w:tcPr>
          <w:p w14:paraId="5B92D26E" w14:textId="4893391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56 mujeres, 173 hombres, 16 jóvenes, 51 étnicos, 56 discapacidad</w:t>
            </w:r>
          </w:p>
        </w:tc>
      </w:tr>
      <w:tr w:rsidR="00B362D9" w:rsidRPr="004A6D7F" w14:paraId="6B5D9F48"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75AEC16" w14:textId="5303463C"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Boyacá</w:t>
            </w:r>
          </w:p>
        </w:tc>
        <w:tc>
          <w:tcPr>
            <w:tcW w:w="1808" w:type="dxa"/>
          </w:tcPr>
          <w:p w14:paraId="661FBF4A" w14:textId="497A5F1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AFA55AB" w14:textId="00C5C0D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45</w:t>
            </w:r>
          </w:p>
        </w:tc>
        <w:tc>
          <w:tcPr>
            <w:tcW w:w="2933" w:type="dxa"/>
          </w:tcPr>
          <w:p w14:paraId="20B56E85" w14:textId="3D83612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11 mujeres, 34 hombres, 1 jóvenes, 2 étnicos, 4 discapacidad</w:t>
            </w:r>
          </w:p>
        </w:tc>
      </w:tr>
      <w:tr w:rsidR="00B362D9" w:rsidRPr="004A6D7F" w14:paraId="3EDBBEB2"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9F72BFA" w14:textId="7433E538"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Caldas</w:t>
            </w:r>
          </w:p>
        </w:tc>
        <w:tc>
          <w:tcPr>
            <w:tcW w:w="1808" w:type="dxa"/>
          </w:tcPr>
          <w:p w14:paraId="7A5F0C21" w14:textId="769E402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B6146ED" w14:textId="064FB07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65</w:t>
            </w:r>
          </w:p>
        </w:tc>
        <w:tc>
          <w:tcPr>
            <w:tcW w:w="2933" w:type="dxa"/>
          </w:tcPr>
          <w:p w14:paraId="4DEAAC2B" w14:textId="3A311A1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10 mujeres, 55 hombres, 2 jóvenes, 17 étnicos, 13 discapacidad</w:t>
            </w:r>
          </w:p>
        </w:tc>
      </w:tr>
      <w:tr w:rsidR="00B362D9" w:rsidRPr="004A6D7F" w14:paraId="62F2E0C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72D3E0D8" w14:textId="08C20CC5" w:rsidR="00B362D9" w:rsidRPr="0083676C" w:rsidRDefault="00B362D9" w:rsidP="002B2B8D">
            <w:pPr>
              <w:jc w:val="both"/>
              <w:rPr>
                <w:rFonts w:ascii="Verdana" w:hAnsi="Verdana"/>
                <w:b w:val="0"/>
                <w:color w:val="EE0000"/>
                <w:sz w:val="18"/>
                <w:szCs w:val="18"/>
              </w:rPr>
            </w:pPr>
            <w:r w:rsidRPr="0083676C">
              <w:rPr>
                <w:rFonts w:ascii="Verdana" w:eastAsia="Calibri" w:hAnsi="Verdana" w:cs="Calibri"/>
                <w:b w:val="0"/>
                <w:color w:val="000000" w:themeColor="text1"/>
                <w:sz w:val="18"/>
                <w:szCs w:val="18"/>
              </w:rPr>
              <w:t>Caquetá</w:t>
            </w:r>
          </w:p>
        </w:tc>
        <w:tc>
          <w:tcPr>
            <w:tcW w:w="1808" w:type="dxa"/>
          </w:tcPr>
          <w:p w14:paraId="4565A7BE" w14:textId="3F4D245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7E105CE" w14:textId="53214F0A"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674</w:t>
            </w:r>
          </w:p>
        </w:tc>
        <w:tc>
          <w:tcPr>
            <w:tcW w:w="2933" w:type="dxa"/>
          </w:tcPr>
          <w:p w14:paraId="3EA88B40" w14:textId="3FE2226D"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170 mujeres, 504 hombres, 65 jóvenes, 52 étnicos, 167 discapacidad</w:t>
            </w:r>
          </w:p>
        </w:tc>
      </w:tr>
      <w:tr w:rsidR="00B362D9" w:rsidRPr="004A6D7F" w14:paraId="7E265C77"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8C2BE72" w14:textId="0655D12E"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Casanare</w:t>
            </w:r>
          </w:p>
        </w:tc>
        <w:tc>
          <w:tcPr>
            <w:tcW w:w="1808" w:type="dxa"/>
          </w:tcPr>
          <w:p w14:paraId="4210FAA6" w14:textId="0D78FB00"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06C86FA" w14:textId="1F9B1B2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98</w:t>
            </w:r>
          </w:p>
        </w:tc>
        <w:tc>
          <w:tcPr>
            <w:tcW w:w="2933" w:type="dxa"/>
          </w:tcPr>
          <w:p w14:paraId="7E82E209" w14:textId="1C6D647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24 mujeres, 74 hombres, 2 jóvenes, 15 discapacidad</w:t>
            </w:r>
          </w:p>
        </w:tc>
      </w:tr>
      <w:tr w:rsidR="00B362D9" w:rsidRPr="004A6D7F" w14:paraId="6214E02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4E19DF87" w14:textId="2BB3CCAC"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Cauca</w:t>
            </w:r>
          </w:p>
        </w:tc>
        <w:tc>
          <w:tcPr>
            <w:tcW w:w="1808" w:type="dxa"/>
          </w:tcPr>
          <w:p w14:paraId="51A116D5" w14:textId="5348EC6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BF5CC96" w14:textId="752CF36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935</w:t>
            </w:r>
          </w:p>
        </w:tc>
        <w:tc>
          <w:tcPr>
            <w:tcW w:w="2933" w:type="dxa"/>
          </w:tcPr>
          <w:p w14:paraId="0FB65CDA" w14:textId="5881E7B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196 mujeres, 739 hombres, 99 jóvenes, 390 étnicos, 103 discapacidad</w:t>
            </w:r>
          </w:p>
        </w:tc>
      </w:tr>
      <w:tr w:rsidR="00B362D9" w:rsidRPr="004A6D7F" w14:paraId="3CD66FFA"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71FF22D" w14:textId="0AA448A8"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Cesar</w:t>
            </w:r>
          </w:p>
        </w:tc>
        <w:tc>
          <w:tcPr>
            <w:tcW w:w="1808" w:type="dxa"/>
          </w:tcPr>
          <w:p w14:paraId="6F9A5082" w14:textId="34C50C5D"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0E0F72DB" w14:textId="72F3D8A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218</w:t>
            </w:r>
          </w:p>
        </w:tc>
        <w:tc>
          <w:tcPr>
            <w:tcW w:w="2933" w:type="dxa"/>
          </w:tcPr>
          <w:p w14:paraId="01B5F721" w14:textId="0FCB361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66 mujeres, 152 hombres, 14 jóvenes, 75 étnicos, 54 discapacidad</w:t>
            </w:r>
          </w:p>
        </w:tc>
      </w:tr>
      <w:tr w:rsidR="00B362D9" w:rsidRPr="004A6D7F" w14:paraId="125F2A6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18B84AD8" w14:textId="01E7E043"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Chocó</w:t>
            </w:r>
          </w:p>
        </w:tc>
        <w:tc>
          <w:tcPr>
            <w:tcW w:w="1808" w:type="dxa"/>
          </w:tcPr>
          <w:p w14:paraId="711C0FBD" w14:textId="1FCC090D"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5C94CC9B" w14:textId="239DB91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222</w:t>
            </w:r>
          </w:p>
        </w:tc>
        <w:tc>
          <w:tcPr>
            <w:tcW w:w="2933" w:type="dxa"/>
          </w:tcPr>
          <w:p w14:paraId="537A3564" w14:textId="74D1CF7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40 mujeres, 182 hombres, 28 jóvenes, 108 étnicos, 27 discapacidad</w:t>
            </w:r>
          </w:p>
        </w:tc>
      </w:tr>
      <w:tr w:rsidR="00B362D9" w:rsidRPr="004A6D7F" w14:paraId="3B247F9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6E1A111F" w14:textId="3010DF99"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Cundinamarca</w:t>
            </w:r>
          </w:p>
        </w:tc>
        <w:tc>
          <w:tcPr>
            <w:tcW w:w="1808" w:type="dxa"/>
          </w:tcPr>
          <w:p w14:paraId="790FD6E2" w14:textId="7183EAA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FB3896B" w14:textId="585D705B"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316</w:t>
            </w:r>
          </w:p>
        </w:tc>
        <w:tc>
          <w:tcPr>
            <w:tcW w:w="2933" w:type="dxa"/>
          </w:tcPr>
          <w:p w14:paraId="55ABCEAC" w14:textId="13AC330B"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90 mujeres, 226 hombres, 16 jóvenes, 12 étnicos, 38 discapacidad</w:t>
            </w:r>
          </w:p>
        </w:tc>
      </w:tr>
      <w:tr w:rsidR="00B362D9" w:rsidRPr="004A6D7F" w14:paraId="0D3AC109"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DD08715" w14:textId="502EFA9F"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Córdoba</w:t>
            </w:r>
          </w:p>
        </w:tc>
        <w:tc>
          <w:tcPr>
            <w:tcW w:w="1808" w:type="dxa"/>
          </w:tcPr>
          <w:p w14:paraId="23DB2286" w14:textId="45765A1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8C825C1" w14:textId="13A17CB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87</w:t>
            </w:r>
          </w:p>
        </w:tc>
        <w:tc>
          <w:tcPr>
            <w:tcW w:w="2933" w:type="dxa"/>
          </w:tcPr>
          <w:p w14:paraId="215D23FF" w14:textId="353A7CBB"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20 mujeres, 67 hombres, 13 jóvenes, 10 étnicos, 14 discapacidad</w:t>
            </w:r>
          </w:p>
        </w:tc>
      </w:tr>
      <w:tr w:rsidR="00B362D9" w:rsidRPr="004A6D7F" w14:paraId="0DFE3614"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AB1689D" w14:textId="1FCFDC44"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lastRenderedPageBreak/>
              <w:t>Guainía</w:t>
            </w:r>
          </w:p>
        </w:tc>
        <w:tc>
          <w:tcPr>
            <w:tcW w:w="1808" w:type="dxa"/>
          </w:tcPr>
          <w:p w14:paraId="53071086" w14:textId="1BA70CF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5111B514" w14:textId="6CF039F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15</w:t>
            </w:r>
          </w:p>
        </w:tc>
        <w:tc>
          <w:tcPr>
            <w:tcW w:w="2933" w:type="dxa"/>
          </w:tcPr>
          <w:p w14:paraId="2F5C9649" w14:textId="56ECAC7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 mujeres, 11 hombres, 1 jóvenes, 8 étnicos, 3 discapacidad</w:t>
            </w:r>
          </w:p>
        </w:tc>
      </w:tr>
      <w:tr w:rsidR="00B362D9" w:rsidRPr="004A6D7F" w14:paraId="5286C7C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36755804" w14:textId="50A2500A"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Guaviare</w:t>
            </w:r>
          </w:p>
        </w:tc>
        <w:tc>
          <w:tcPr>
            <w:tcW w:w="1808" w:type="dxa"/>
          </w:tcPr>
          <w:p w14:paraId="4EBE6F90" w14:textId="6570956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7ACAC68B" w14:textId="650EF87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415</w:t>
            </w:r>
          </w:p>
        </w:tc>
        <w:tc>
          <w:tcPr>
            <w:tcW w:w="2933" w:type="dxa"/>
          </w:tcPr>
          <w:p w14:paraId="502FBD87" w14:textId="0A601BD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146 mujeres, 269 hombres, 45 jóvenes, 97 étnicos, 58 discapacidad</w:t>
            </w:r>
          </w:p>
        </w:tc>
      </w:tr>
      <w:tr w:rsidR="00B362D9" w:rsidRPr="004A6D7F" w14:paraId="1F8F163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6A535CF0" w14:textId="2419030A"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Huila</w:t>
            </w:r>
          </w:p>
        </w:tc>
        <w:tc>
          <w:tcPr>
            <w:tcW w:w="1808" w:type="dxa"/>
          </w:tcPr>
          <w:p w14:paraId="1B21553B" w14:textId="043973FB"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8CF7D71" w14:textId="1924092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477</w:t>
            </w:r>
          </w:p>
        </w:tc>
        <w:tc>
          <w:tcPr>
            <w:tcW w:w="2933" w:type="dxa"/>
          </w:tcPr>
          <w:p w14:paraId="7B0C3D0D" w14:textId="167F3C9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117 mujeres, 360 hombres, 45 jóvenes, 54 étnicos, 91 discapacidad</w:t>
            </w:r>
          </w:p>
        </w:tc>
      </w:tr>
      <w:tr w:rsidR="00B362D9" w:rsidRPr="004A6D7F" w14:paraId="1221F374"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7EBDE322" w14:textId="2A441B2A"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La Guajira</w:t>
            </w:r>
          </w:p>
        </w:tc>
        <w:tc>
          <w:tcPr>
            <w:tcW w:w="1808" w:type="dxa"/>
          </w:tcPr>
          <w:p w14:paraId="55BF89B5" w14:textId="2B231AF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3012D66C" w14:textId="60A1262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281</w:t>
            </w:r>
          </w:p>
        </w:tc>
        <w:tc>
          <w:tcPr>
            <w:tcW w:w="2933" w:type="dxa"/>
          </w:tcPr>
          <w:p w14:paraId="5DB8B5C3" w14:textId="2141A74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93 mujeres, 188 hombres, 12 jóvenes, 97 étnicos, 83 discapacidad</w:t>
            </w:r>
          </w:p>
        </w:tc>
      </w:tr>
      <w:tr w:rsidR="00B362D9" w:rsidRPr="004A6D7F" w14:paraId="68E255BA"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51C9823" w14:textId="6EBADAA1"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Magdalena</w:t>
            </w:r>
          </w:p>
        </w:tc>
        <w:tc>
          <w:tcPr>
            <w:tcW w:w="1808" w:type="dxa"/>
          </w:tcPr>
          <w:p w14:paraId="350523F9" w14:textId="050B18C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141D635" w14:textId="025075F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33</w:t>
            </w:r>
          </w:p>
        </w:tc>
        <w:tc>
          <w:tcPr>
            <w:tcW w:w="2933" w:type="dxa"/>
          </w:tcPr>
          <w:p w14:paraId="75C3856B" w14:textId="63CA538E"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 mujeres, 24 hombres, 2 jóvenes, 4 étnicos, 5 discapacidad</w:t>
            </w:r>
          </w:p>
        </w:tc>
      </w:tr>
      <w:tr w:rsidR="00B362D9" w:rsidRPr="004A6D7F" w14:paraId="28AEFE0D"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63492F01" w14:textId="63F44BB9"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Meta</w:t>
            </w:r>
          </w:p>
        </w:tc>
        <w:tc>
          <w:tcPr>
            <w:tcW w:w="1808" w:type="dxa"/>
          </w:tcPr>
          <w:p w14:paraId="099D141B" w14:textId="5437BF7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6A190202" w14:textId="4BF98EF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1358</w:t>
            </w:r>
          </w:p>
        </w:tc>
        <w:tc>
          <w:tcPr>
            <w:tcW w:w="2933" w:type="dxa"/>
          </w:tcPr>
          <w:p w14:paraId="5C6EFB63" w14:textId="3FED931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479 mujeres, 879 hombres, 88 jóvenes, 170 étnicos, 284 discapacidad</w:t>
            </w:r>
          </w:p>
        </w:tc>
      </w:tr>
      <w:tr w:rsidR="00B362D9" w:rsidRPr="004A6D7F" w14:paraId="1FC12AC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44040F06" w14:textId="18307D2D"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Nariño</w:t>
            </w:r>
          </w:p>
        </w:tc>
        <w:tc>
          <w:tcPr>
            <w:tcW w:w="1808" w:type="dxa"/>
          </w:tcPr>
          <w:p w14:paraId="6AC12A2D" w14:textId="3454F20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0F7BE7C1" w14:textId="605AEDF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343</w:t>
            </w:r>
          </w:p>
        </w:tc>
        <w:tc>
          <w:tcPr>
            <w:tcW w:w="2933" w:type="dxa"/>
          </w:tcPr>
          <w:p w14:paraId="1F767DB4" w14:textId="1B67E96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109 mujeres, 234 hombres, 38 jóvenes, 220 étnicos, 37 discapacidad</w:t>
            </w:r>
          </w:p>
        </w:tc>
      </w:tr>
      <w:tr w:rsidR="00B362D9" w:rsidRPr="004A6D7F" w14:paraId="0F65F619"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6F305AD" w14:textId="7C712778"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Norte de Santander</w:t>
            </w:r>
          </w:p>
        </w:tc>
        <w:tc>
          <w:tcPr>
            <w:tcW w:w="1808" w:type="dxa"/>
          </w:tcPr>
          <w:p w14:paraId="542D8182" w14:textId="39D502A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70CE32E3" w14:textId="65B5F8D6"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375</w:t>
            </w:r>
          </w:p>
        </w:tc>
        <w:tc>
          <w:tcPr>
            <w:tcW w:w="2933" w:type="dxa"/>
          </w:tcPr>
          <w:p w14:paraId="3183266D" w14:textId="111828D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60 mujeres, 315 hombres, 30 jóvenes, 6 étnicos, 57 discapacidad</w:t>
            </w:r>
          </w:p>
        </w:tc>
      </w:tr>
      <w:tr w:rsidR="00B362D9" w:rsidRPr="004A6D7F" w14:paraId="57F2390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489FB087" w14:textId="66E2DC86"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Putumayo</w:t>
            </w:r>
          </w:p>
        </w:tc>
        <w:tc>
          <w:tcPr>
            <w:tcW w:w="1808" w:type="dxa"/>
          </w:tcPr>
          <w:p w14:paraId="3143FAEB" w14:textId="7A5890B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17FDD4FA" w14:textId="45686A4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359</w:t>
            </w:r>
          </w:p>
        </w:tc>
        <w:tc>
          <w:tcPr>
            <w:tcW w:w="2933" w:type="dxa"/>
          </w:tcPr>
          <w:p w14:paraId="7FE038DB" w14:textId="51C24CB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74 mujeres, 285 hombres, 55 jóvenes, 96 étnicos, 58 discapacidad</w:t>
            </w:r>
          </w:p>
        </w:tc>
      </w:tr>
      <w:tr w:rsidR="00B362D9" w:rsidRPr="004A6D7F" w14:paraId="0B93ECF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E839063" w14:textId="1F611DBC"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Quindío</w:t>
            </w:r>
          </w:p>
        </w:tc>
        <w:tc>
          <w:tcPr>
            <w:tcW w:w="1808" w:type="dxa"/>
          </w:tcPr>
          <w:p w14:paraId="0846E908" w14:textId="32B4B17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3667AD3" w14:textId="0AF22A6A"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41</w:t>
            </w:r>
          </w:p>
        </w:tc>
        <w:tc>
          <w:tcPr>
            <w:tcW w:w="2933" w:type="dxa"/>
          </w:tcPr>
          <w:p w14:paraId="2D82BCDB" w14:textId="0751DEA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13 mujeres, 28 hombres, 2 jóvenes, 6 étnicos, 9 discapacidad</w:t>
            </w:r>
          </w:p>
        </w:tc>
      </w:tr>
      <w:tr w:rsidR="00B362D9" w:rsidRPr="004A6D7F" w14:paraId="0202BBBE"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D869B28" w14:textId="6AD784B5"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Risaralda</w:t>
            </w:r>
          </w:p>
        </w:tc>
        <w:tc>
          <w:tcPr>
            <w:tcW w:w="1808" w:type="dxa"/>
          </w:tcPr>
          <w:p w14:paraId="0FFB3469" w14:textId="1DF0511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331662AF" w14:textId="65BF35B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82</w:t>
            </w:r>
          </w:p>
        </w:tc>
        <w:tc>
          <w:tcPr>
            <w:tcW w:w="2933" w:type="dxa"/>
          </w:tcPr>
          <w:p w14:paraId="7CD49270" w14:textId="737CA70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19 mujeres, 63 hombres, 2 jóvenes, 17 étnicos, 12 discapacidad</w:t>
            </w:r>
          </w:p>
        </w:tc>
      </w:tr>
      <w:tr w:rsidR="00B362D9" w:rsidRPr="004A6D7F" w14:paraId="5F2E84B7"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30E2656B" w14:textId="10200FC2"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Santander</w:t>
            </w:r>
          </w:p>
        </w:tc>
        <w:tc>
          <w:tcPr>
            <w:tcW w:w="1808" w:type="dxa"/>
          </w:tcPr>
          <w:p w14:paraId="7859962E" w14:textId="6BBE749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1FE35A86" w14:textId="350555D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231</w:t>
            </w:r>
          </w:p>
        </w:tc>
        <w:tc>
          <w:tcPr>
            <w:tcW w:w="2933" w:type="dxa"/>
          </w:tcPr>
          <w:p w14:paraId="70148B3D" w14:textId="28BB0D9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50 mujeres, 181 hombres, 10 jóvenes, 7 étnicos, 61 discapacidad</w:t>
            </w:r>
          </w:p>
        </w:tc>
      </w:tr>
      <w:tr w:rsidR="00B362D9" w:rsidRPr="004A6D7F" w14:paraId="441312F8"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04F80C5B" w14:textId="2B06518C"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Sucre</w:t>
            </w:r>
          </w:p>
        </w:tc>
        <w:tc>
          <w:tcPr>
            <w:tcW w:w="1808" w:type="dxa"/>
          </w:tcPr>
          <w:p w14:paraId="3AFEC544" w14:textId="048C712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5AE2A31C" w14:textId="5B369283"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201</w:t>
            </w:r>
          </w:p>
        </w:tc>
        <w:tc>
          <w:tcPr>
            <w:tcW w:w="2933" w:type="dxa"/>
          </w:tcPr>
          <w:p w14:paraId="4398481B" w14:textId="579F83A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35 mujeres, 166 hombres, 3 jóvenes, 28 étnicos, 33 discapacidad</w:t>
            </w:r>
          </w:p>
        </w:tc>
      </w:tr>
      <w:tr w:rsidR="00B362D9" w:rsidRPr="004A6D7F" w14:paraId="4ECB482A"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C3F3072" w14:textId="1D89A1BD"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Tolima</w:t>
            </w:r>
          </w:p>
        </w:tc>
        <w:tc>
          <w:tcPr>
            <w:tcW w:w="1808" w:type="dxa"/>
          </w:tcPr>
          <w:p w14:paraId="7F326E3C" w14:textId="6772B72C"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4CBBF86B" w14:textId="7F0B41E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656</w:t>
            </w:r>
          </w:p>
        </w:tc>
        <w:tc>
          <w:tcPr>
            <w:tcW w:w="2933" w:type="dxa"/>
          </w:tcPr>
          <w:p w14:paraId="62360E31" w14:textId="6DEB4EA5"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162 mujeres, 494 hombres, 27 jóvenes, 63 étnicos, 157 discapacidad</w:t>
            </w:r>
          </w:p>
        </w:tc>
      </w:tr>
      <w:tr w:rsidR="00B362D9" w:rsidRPr="004A6D7F" w14:paraId="3BEDF23C"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729CC5DF" w14:textId="3F1EBAE9" w:rsidR="00B362D9" w:rsidRPr="0083676C" w:rsidRDefault="00B362D9" w:rsidP="002B2B8D">
            <w:pPr>
              <w:jc w:val="both"/>
              <w:rPr>
                <w:rFonts w:ascii="Verdana" w:hAnsi="Verdana"/>
                <w:b w:val="0"/>
                <w:bCs w:val="0"/>
                <w:color w:val="EE0000"/>
                <w:sz w:val="18"/>
                <w:szCs w:val="18"/>
              </w:rPr>
            </w:pPr>
            <w:r w:rsidRPr="0083676C">
              <w:rPr>
                <w:rFonts w:ascii="Verdana" w:eastAsia="Calibri" w:hAnsi="Verdana" w:cs="Calibri"/>
                <w:b w:val="0"/>
                <w:bCs w:val="0"/>
                <w:color w:val="000000" w:themeColor="text1"/>
                <w:sz w:val="18"/>
                <w:szCs w:val="18"/>
              </w:rPr>
              <w:t>Valle del Cauca</w:t>
            </w:r>
          </w:p>
        </w:tc>
        <w:tc>
          <w:tcPr>
            <w:tcW w:w="1808" w:type="dxa"/>
          </w:tcPr>
          <w:p w14:paraId="035FF33A" w14:textId="5396F598"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1302AB40" w14:textId="183736E2"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397</w:t>
            </w:r>
          </w:p>
        </w:tc>
        <w:tc>
          <w:tcPr>
            <w:tcW w:w="2933" w:type="dxa"/>
          </w:tcPr>
          <w:p w14:paraId="68706C0C" w14:textId="19414289"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97 mujeres, 300 hombres, 24 jóvenes, 130 étnicos, 70 discapacidad</w:t>
            </w:r>
          </w:p>
        </w:tc>
      </w:tr>
      <w:tr w:rsidR="00B362D9" w:rsidRPr="004A6D7F" w14:paraId="4C80F579"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261CFFA8" w14:textId="77A251B7" w:rsidR="00B362D9" w:rsidRPr="00690C15" w:rsidRDefault="00B362D9" w:rsidP="002B2B8D">
            <w:pPr>
              <w:jc w:val="both"/>
              <w:rPr>
                <w:rFonts w:ascii="Verdana" w:hAnsi="Verdana"/>
                <w:b w:val="0"/>
                <w:bCs w:val="0"/>
                <w:color w:val="EE0000"/>
                <w:sz w:val="18"/>
                <w:szCs w:val="18"/>
              </w:rPr>
            </w:pPr>
            <w:r w:rsidRPr="00690C15">
              <w:rPr>
                <w:rFonts w:ascii="Verdana" w:eastAsia="Calibri" w:hAnsi="Verdana" w:cs="Calibri"/>
                <w:b w:val="0"/>
                <w:bCs w:val="0"/>
                <w:color w:val="000000" w:themeColor="text1"/>
                <w:sz w:val="18"/>
                <w:szCs w:val="18"/>
              </w:rPr>
              <w:t>Vaupés</w:t>
            </w:r>
          </w:p>
        </w:tc>
        <w:tc>
          <w:tcPr>
            <w:tcW w:w="1808" w:type="dxa"/>
          </w:tcPr>
          <w:p w14:paraId="41888C80" w14:textId="08B2EF67"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2E82D461" w14:textId="2B060CF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12</w:t>
            </w:r>
          </w:p>
        </w:tc>
        <w:tc>
          <w:tcPr>
            <w:tcW w:w="2933" w:type="dxa"/>
          </w:tcPr>
          <w:p w14:paraId="6C1A6AD2" w14:textId="222B4AA0"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4 mujeres, 8 hombres, 1 jóvenes, 12 étnicos, 1 discapacidad</w:t>
            </w:r>
          </w:p>
        </w:tc>
      </w:tr>
      <w:tr w:rsidR="00B362D9" w:rsidRPr="004A6D7F" w14:paraId="184E4EF6" w14:textId="77777777" w:rsidTr="00696B9C">
        <w:trPr>
          <w:trHeight w:val="360"/>
        </w:trPr>
        <w:tc>
          <w:tcPr>
            <w:cnfStyle w:val="001000000000" w:firstRow="0" w:lastRow="0" w:firstColumn="1" w:lastColumn="0" w:oddVBand="0" w:evenVBand="0" w:oddHBand="0" w:evenHBand="0" w:firstRowFirstColumn="0" w:firstRowLastColumn="0" w:lastRowFirstColumn="0" w:lastRowLastColumn="0"/>
            <w:tcW w:w="1663" w:type="dxa"/>
          </w:tcPr>
          <w:p w14:paraId="5FEECF54" w14:textId="5509D1E5" w:rsidR="00B362D9" w:rsidRPr="00690C15" w:rsidRDefault="00B362D9" w:rsidP="002B2B8D">
            <w:pPr>
              <w:jc w:val="both"/>
              <w:rPr>
                <w:rFonts w:ascii="Verdana" w:hAnsi="Verdana"/>
                <w:b w:val="0"/>
                <w:bCs w:val="0"/>
                <w:color w:val="EE0000"/>
                <w:sz w:val="18"/>
                <w:szCs w:val="18"/>
              </w:rPr>
            </w:pPr>
            <w:r w:rsidRPr="00690C15">
              <w:rPr>
                <w:rFonts w:ascii="Verdana" w:eastAsia="Calibri" w:hAnsi="Verdana" w:cs="Calibri"/>
                <w:b w:val="0"/>
                <w:bCs w:val="0"/>
                <w:color w:val="000000" w:themeColor="text1"/>
                <w:sz w:val="18"/>
                <w:szCs w:val="18"/>
              </w:rPr>
              <w:t>Vichada</w:t>
            </w:r>
          </w:p>
        </w:tc>
        <w:tc>
          <w:tcPr>
            <w:tcW w:w="1808" w:type="dxa"/>
          </w:tcPr>
          <w:p w14:paraId="6794B316" w14:textId="6158A46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Ver detalle en formato de desagregación</w:t>
            </w:r>
          </w:p>
        </w:tc>
        <w:tc>
          <w:tcPr>
            <w:tcW w:w="1388" w:type="dxa"/>
          </w:tcPr>
          <w:p w14:paraId="4EA75092" w14:textId="709185AF"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19</w:t>
            </w:r>
          </w:p>
        </w:tc>
        <w:tc>
          <w:tcPr>
            <w:tcW w:w="2933" w:type="dxa"/>
          </w:tcPr>
          <w:p w14:paraId="03CADB5E" w14:textId="19C289E1" w:rsidR="00B362D9" w:rsidRPr="004A6D7F" w:rsidRDefault="00B362D9" w:rsidP="002B2B8D">
            <w:pPr>
              <w:jc w:val="both"/>
              <w:cnfStyle w:val="000000000000" w:firstRow="0" w:lastRow="0" w:firstColumn="0" w:lastColumn="0" w:oddVBand="0" w:evenVBand="0" w:oddHBand="0" w:evenHBand="0" w:firstRowFirstColumn="0" w:firstRowLastColumn="0" w:lastRowFirstColumn="0" w:lastRowLastColumn="0"/>
              <w:rPr>
                <w:rFonts w:ascii="Verdana" w:hAnsi="Verdana"/>
                <w:color w:val="EE0000"/>
                <w:sz w:val="18"/>
                <w:szCs w:val="18"/>
              </w:rPr>
            </w:pPr>
            <w:r w:rsidRPr="004A6D7F">
              <w:rPr>
                <w:rFonts w:ascii="Verdana" w:eastAsia="Calibri" w:hAnsi="Verdana" w:cs="Calibri"/>
                <w:color w:val="000000" w:themeColor="text1"/>
                <w:sz w:val="18"/>
                <w:szCs w:val="18"/>
              </w:rPr>
              <w:t>8 mujeres, 11 hombres, 4 jóvenes, 11 étnicos, 1 discapacidad</w:t>
            </w:r>
          </w:p>
        </w:tc>
      </w:tr>
    </w:tbl>
    <w:p w14:paraId="49BBCF2B"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DA2EC8E" w14:textId="1D8D5379" w:rsidR="00177D87" w:rsidRPr="00005CEA" w:rsidRDefault="00177D87" w:rsidP="00177D87">
      <w:pPr>
        <w:pStyle w:val="Prrafodelista"/>
        <w:spacing w:after="0" w:line="276" w:lineRule="auto"/>
        <w:jc w:val="both"/>
        <w:rPr>
          <w:rFonts w:ascii="Verdana" w:eastAsia="Calibri" w:hAnsi="Verdana" w:cs="Arial"/>
        </w:rPr>
      </w:pPr>
    </w:p>
    <w:p w14:paraId="0E59D197" w14:textId="77777777" w:rsidR="00177D87" w:rsidRDefault="00177D87" w:rsidP="00164ED5">
      <w:pPr>
        <w:pStyle w:val="Prrafodelista"/>
        <w:numPr>
          <w:ilvl w:val="0"/>
          <w:numId w:val="17"/>
        </w:numPr>
        <w:spacing w:after="0" w:line="276" w:lineRule="auto"/>
        <w:jc w:val="both"/>
        <w:rPr>
          <w:rFonts w:ascii="Verdana" w:eastAsia="Calibri" w:hAnsi="Verdana" w:cs="Arial"/>
        </w:rPr>
      </w:pPr>
      <w:r w:rsidRPr="00AB06F3">
        <w:rPr>
          <w:rFonts w:ascii="Verdana" w:eastAsia="Verdana" w:hAnsi="Verdana" w:cs="Arial"/>
          <w:sz w:val="24"/>
          <w:szCs w:val="24"/>
        </w:rPr>
        <w:lastRenderedPageBreak/>
        <w:t>¿Qué desafíos y retos tuvimos para el cumplimiento del indicador PMI?</w:t>
      </w:r>
      <w:r w:rsidRPr="00AB06F3">
        <w:rPr>
          <w:rFonts w:ascii="Verdana" w:eastAsia="Calibri" w:hAnsi="Verdana" w:cs="Arial"/>
        </w:rPr>
        <w:t xml:space="preserve"> </w:t>
      </w:r>
    </w:p>
    <w:p w14:paraId="4A30A6C4" w14:textId="77777777" w:rsidR="008B198B" w:rsidRPr="008B198B" w:rsidRDefault="008B198B" w:rsidP="008B198B">
      <w:pPr>
        <w:spacing w:after="0" w:line="276" w:lineRule="auto"/>
        <w:jc w:val="both"/>
        <w:rPr>
          <w:rFonts w:ascii="Verdana" w:eastAsia="Calibri" w:hAnsi="Verdana" w:cs="Arial"/>
        </w:rPr>
      </w:pPr>
    </w:p>
    <w:p w14:paraId="0D4FE7E0" w14:textId="0074F2F5" w:rsidR="0025340B" w:rsidRPr="0025340B" w:rsidRDefault="0025340B" w:rsidP="0025340B">
      <w:pPr>
        <w:pStyle w:val="Descripcin"/>
        <w:keepNext/>
        <w:jc w:val="center"/>
        <w:rPr>
          <w:rFonts w:ascii="Verdana" w:eastAsia="Verdana" w:hAnsi="Verdana" w:cs="Arial"/>
          <w:i w:val="0"/>
          <w:iCs w:val="0"/>
          <w:color w:val="000000" w:themeColor="text1"/>
        </w:rPr>
      </w:pPr>
      <w:bookmarkStart w:id="16" w:name="_Toc225283125"/>
      <w:r w:rsidRPr="0025340B">
        <w:rPr>
          <w:rFonts w:ascii="Verdana" w:eastAsia="Verdana" w:hAnsi="Verdana" w:cs="Arial"/>
          <w:i w:val="0"/>
          <w:iCs w:val="0"/>
          <w:color w:val="000000" w:themeColor="text1"/>
        </w:rPr>
        <w:t xml:space="preserve">Tabla </w:t>
      </w:r>
      <w:r w:rsidRPr="0025340B">
        <w:rPr>
          <w:rFonts w:ascii="Verdana" w:eastAsia="Verdana" w:hAnsi="Verdana" w:cs="Arial"/>
          <w:i w:val="0"/>
          <w:iCs w:val="0"/>
          <w:color w:val="000000" w:themeColor="text1"/>
        </w:rPr>
        <w:fldChar w:fldCharType="begin"/>
      </w:r>
      <w:r w:rsidRPr="0025340B">
        <w:rPr>
          <w:rFonts w:ascii="Verdana" w:eastAsia="Verdana" w:hAnsi="Verdana" w:cs="Arial"/>
          <w:i w:val="0"/>
          <w:iCs w:val="0"/>
          <w:color w:val="000000" w:themeColor="text1"/>
        </w:rPr>
        <w:instrText xml:space="preserve"> SEQ Tabla \* ARABIC </w:instrText>
      </w:r>
      <w:r w:rsidRPr="0025340B">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13</w:t>
      </w:r>
      <w:r w:rsidRPr="0025340B">
        <w:rPr>
          <w:rFonts w:ascii="Verdana" w:eastAsia="Verdana" w:hAnsi="Verdana" w:cs="Arial"/>
          <w:i w:val="0"/>
          <w:iCs w:val="0"/>
          <w:color w:val="000000" w:themeColor="text1"/>
        </w:rPr>
        <w:fldChar w:fldCharType="end"/>
      </w:r>
      <w:r w:rsidRPr="0025340B">
        <w:rPr>
          <w:rFonts w:ascii="Verdana" w:eastAsia="Verdana" w:hAnsi="Verdana" w:cs="Arial"/>
          <w:i w:val="0"/>
          <w:iCs w:val="0"/>
          <w:color w:val="000000" w:themeColor="text1"/>
        </w:rPr>
        <w:t>. Desafíos y retos del indicador C.208.N</w:t>
      </w:r>
      <w:bookmarkEnd w:id="16"/>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00177D87" w:rsidRPr="00AB06F3" w14:paraId="2322B3B3" w14:textId="77777777" w:rsidTr="005F457D">
        <w:trPr>
          <w:trHeight w:val="300"/>
          <w:tblHeader/>
        </w:trPr>
        <w:tc>
          <w:tcPr>
            <w:tcW w:w="1408" w:type="dxa"/>
            <w:tcMar>
              <w:left w:w="108" w:type="dxa"/>
              <w:right w:w="108" w:type="dxa"/>
            </w:tcMar>
          </w:tcPr>
          <w:p w14:paraId="38BA85BB" w14:textId="77777777" w:rsidR="00177D87" w:rsidRPr="00436D99" w:rsidRDefault="00177D8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66A936B1" w14:textId="77777777" w:rsidR="00177D87" w:rsidRPr="00436D99" w:rsidRDefault="00177D8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04A40364" w14:textId="77777777" w:rsidR="00177D87" w:rsidRPr="00436D99" w:rsidRDefault="00177D8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794E95" w:rsidRPr="00AB06F3" w14:paraId="443EF7C9" w14:textId="77777777" w:rsidTr="005F457D">
        <w:trPr>
          <w:trHeight w:val="300"/>
        </w:trPr>
        <w:tc>
          <w:tcPr>
            <w:tcW w:w="1408" w:type="dxa"/>
            <w:tcMar>
              <w:left w:w="108" w:type="dxa"/>
              <w:right w:w="108" w:type="dxa"/>
            </w:tcMar>
          </w:tcPr>
          <w:p w14:paraId="71DFD3F6" w14:textId="77777777" w:rsidR="00794E95" w:rsidRDefault="00F06003" w:rsidP="00164ED5">
            <w:pPr>
              <w:pStyle w:val="Prrafodelista"/>
              <w:numPr>
                <w:ilvl w:val="0"/>
                <w:numId w:val="21"/>
              </w:numPr>
              <w:tabs>
                <w:tab w:val="left" w:pos="311"/>
              </w:tabs>
              <w:spacing w:line="276" w:lineRule="auto"/>
              <w:ind w:left="27" w:hanging="27"/>
              <w:rPr>
                <w:rFonts w:ascii="Verdana" w:eastAsia="Verdana" w:hAnsi="Verdana" w:cs="Arial"/>
                <w:color w:val="000000" w:themeColor="text1"/>
                <w:sz w:val="18"/>
                <w:szCs w:val="18"/>
              </w:rPr>
            </w:pPr>
            <w:r w:rsidRPr="004A6D7F">
              <w:rPr>
                <w:rFonts w:ascii="Verdana" w:eastAsia="Verdana" w:hAnsi="Verdana" w:cs="Arial"/>
                <w:color w:val="000000" w:themeColor="text1"/>
                <w:sz w:val="18"/>
                <w:szCs w:val="18"/>
              </w:rPr>
              <w:t xml:space="preserve">y 2. </w:t>
            </w:r>
            <w:r w:rsidR="00794E95" w:rsidRPr="004A6D7F">
              <w:rPr>
                <w:rFonts w:ascii="Verdana" w:eastAsia="Verdana" w:hAnsi="Verdana" w:cs="Arial"/>
                <w:color w:val="000000" w:themeColor="text1"/>
                <w:sz w:val="18"/>
                <w:szCs w:val="18"/>
              </w:rPr>
              <w:t>Institucional</w:t>
            </w:r>
          </w:p>
          <w:p w14:paraId="05549F7D" w14:textId="4BD07727" w:rsidR="00F06003" w:rsidRPr="00A24F13" w:rsidRDefault="00F06003" w:rsidP="00A24F13">
            <w:pPr>
              <w:tabs>
                <w:tab w:val="left" w:pos="311"/>
              </w:tabs>
              <w:spacing w:line="276" w:lineRule="auto"/>
              <w:rPr>
                <w:rFonts w:ascii="Verdana" w:eastAsia="Verdana" w:hAnsi="Verdana" w:cs="Arial"/>
                <w:color w:val="000000" w:themeColor="text1"/>
                <w:sz w:val="18"/>
                <w:szCs w:val="18"/>
              </w:rPr>
            </w:pPr>
          </w:p>
        </w:tc>
        <w:tc>
          <w:tcPr>
            <w:tcW w:w="3265" w:type="dxa"/>
            <w:tcMar>
              <w:left w:w="108" w:type="dxa"/>
              <w:right w:w="108" w:type="dxa"/>
            </w:tcMar>
          </w:tcPr>
          <w:p w14:paraId="0B4AC8F7" w14:textId="1416B2CD" w:rsidR="00794E95" w:rsidRPr="00443628" w:rsidRDefault="00400BD7" w:rsidP="00164ED5">
            <w:pPr>
              <w:pStyle w:val="Prrafodelista"/>
              <w:numPr>
                <w:ilvl w:val="0"/>
                <w:numId w:val="22"/>
              </w:numPr>
              <w:tabs>
                <w:tab w:val="left" w:pos="180"/>
                <w:tab w:val="left" w:pos="322"/>
              </w:tabs>
              <w:spacing w:line="276" w:lineRule="auto"/>
              <w:ind w:left="0" w:firstLine="27"/>
              <w:rPr>
                <w:rFonts w:ascii="Verdana" w:eastAsia="Verdana" w:hAnsi="Verdana" w:cs="Arial"/>
                <w:color w:val="000000" w:themeColor="text1"/>
                <w:sz w:val="18"/>
                <w:szCs w:val="18"/>
              </w:rPr>
            </w:pPr>
            <w:r w:rsidRPr="00443628">
              <w:rPr>
                <w:rFonts w:ascii="Verdana" w:hAnsi="Verdana"/>
                <w:sz w:val="18"/>
                <w:szCs w:val="18"/>
              </w:rPr>
              <w:t>Creación e implementación de un mecanismo institucional de seguimiento y evaluación</w:t>
            </w:r>
            <w:r w:rsidR="0083383A">
              <w:rPr>
                <w:rFonts w:ascii="Verdana" w:hAnsi="Verdana"/>
                <w:sz w:val="18"/>
                <w:szCs w:val="18"/>
              </w:rPr>
              <w:t xml:space="preserve"> </w:t>
            </w:r>
            <w:r w:rsidR="0083383A" w:rsidRPr="0083383A">
              <w:rPr>
                <w:rFonts w:ascii="Verdana" w:hAnsi="Verdana"/>
                <w:sz w:val="18"/>
                <w:szCs w:val="18"/>
              </w:rPr>
              <w:t>de los planes de reincorporación individual</w:t>
            </w:r>
            <w:r w:rsidRPr="00443628">
              <w:rPr>
                <w:rFonts w:ascii="Verdana" w:hAnsi="Verdana"/>
                <w:sz w:val="18"/>
                <w:szCs w:val="18"/>
              </w:rPr>
              <w:t>.</w:t>
            </w:r>
          </w:p>
          <w:p w14:paraId="29F4AC95" w14:textId="2C2C0EF6" w:rsidR="00BB4AA1" w:rsidRPr="00A24F13" w:rsidRDefault="00BB4AA1" w:rsidP="00164ED5">
            <w:pPr>
              <w:pStyle w:val="Prrafodelista"/>
              <w:numPr>
                <w:ilvl w:val="0"/>
                <w:numId w:val="22"/>
              </w:numPr>
              <w:tabs>
                <w:tab w:val="left" w:pos="180"/>
                <w:tab w:val="left" w:pos="322"/>
              </w:tabs>
              <w:spacing w:line="276" w:lineRule="auto"/>
              <w:ind w:left="0" w:firstLine="27"/>
              <w:rPr>
                <w:rFonts w:ascii="Verdana" w:eastAsia="Verdana" w:hAnsi="Verdana" w:cs="Arial"/>
                <w:color w:val="000000" w:themeColor="text1"/>
                <w:sz w:val="18"/>
                <w:szCs w:val="18"/>
              </w:rPr>
            </w:pPr>
            <w:r w:rsidRPr="00443628">
              <w:rPr>
                <w:rFonts w:ascii="Verdana" w:hAnsi="Verdana"/>
                <w:sz w:val="18"/>
                <w:szCs w:val="18"/>
              </w:rPr>
              <w:t xml:space="preserve">Disponibilidad </w:t>
            </w:r>
            <w:r w:rsidR="00957545" w:rsidRPr="00957545">
              <w:rPr>
                <w:rFonts w:ascii="Verdana" w:hAnsi="Verdana"/>
                <w:sz w:val="18"/>
                <w:szCs w:val="18"/>
              </w:rPr>
              <w:t xml:space="preserve">y articulación </w:t>
            </w:r>
            <w:r w:rsidRPr="00443628">
              <w:rPr>
                <w:rFonts w:ascii="Verdana" w:hAnsi="Verdana"/>
                <w:sz w:val="18"/>
                <w:szCs w:val="18"/>
              </w:rPr>
              <w:t>de la oferta institucional</w:t>
            </w:r>
            <w:r w:rsidR="00957545">
              <w:rPr>
                <w:rFonts w:ascii="Verdana" w:hAnsi="Verdana"/>
                <w:sz w:val="18"/>
                <w:szCs w:val="18"/>
              </w:rPr>
              <w:t xml:space="preserve"> </w:t>
            </w:r>
            <w:r>
              <w:rPr>
                <w:rFonts w:ascii="Verdana" w:hAnsi="Verdana"/>
                <w:sz w:val="18"/>
                <w:szCs w:val="18"/>
              </w:rPr>
              <w:t>requerida</w:t>
            </w:r>
            <w:r w:rsidRPr="00443628">
              <w:rPr>
                <w:rFonts w:ascii="Verdana" w:hAnsi="Verdana"/>
                <w:sz w:val="18"/>
                <w:szCs w:val="18"/>
              </w:rPr>
              <w:t xml:space="preserve"> para garantizar el cumplimiento de las acciones contempladas en los planes de reincorporación individual.</w:t>
            </w:r>
          </w:p>
          <w:p w14:paraId="1A774080" w14:textId="4A8FA602" w:rsidR="00152A79" w:rsidRPr="00A24F13" w:rsidRDefault="00152A79" w:rsidP="00A24F13">
            <w:pPr>
              <w:tabs>
                <w:tab w:val="left" w:pos="180"/>
                <w:tab w:val="left" w:pos="322"/>
              </w:tabs>
              <w:spacing w:line="276" w:lineRule="auto"/>
              <w:rPr>
                <w:rFonts w:ascii="Verdana" w:eastAsia="Verdana" w:hAnsi="Verdana" w:cs="Arial"/>
                <w:color w:val="000000" w:themeColor="text1"/>
                <w:sz w:val="18"/>
                <w:szCs w:val="18"/>
              </w:rPr>
            </w:pPr>
          </w:p>
        </w:tc>
        <w:tc>
          <w:tcPr>
            <w:tcW w:w="4155" w:type="dxa"/>
            <w:tcMar>
              <w:left w:w="108" w:type="dxa"/>
              <w:right w:w="108" w:type="dxa"/>
            </w:tcMar>
          </w:tcPr>
          <w:p w14:paraId="6EA1489C" w14:textId="77777777" w:rsidR="00794E95" w:rsidRPr="00443628" w:rsidRDefault="006811F0" w:rsidP="00164ED5">
            <w:pPr>
              <w:pStyle w:val="Prrafodelista"/>
              <w:numPr>
                <w:ilvl w:val="0"/>
                <w:numId w:val="23"/>
              </w:numPr>
              <w:tabs>
                <w:tab w:val="left" w:pos="180"/>
              </w:tabs>
              <w:spacing w:line="276" w:lineRule="auto"/>
              <w:ind w:left="38" w:hanging="115"/>
              <w:jc w:val="both"/>
              <w:rPr>
                <w:rFonts w:ascii="Verdana" w:eastAsia="Verdana" w:hAnsi="Verdana" w:cs="Arial"/>
                <w:color w:val="000000" w:themeColor="text1"/>
                <w:sz w:val="18"/>
                <w:szCs w:val="18"/>
              </w:rPr>
            </w:pPr>
            <w:r w:rsidRPr="00443628">
              <w:rPr>
                <w:rFonts w:ascii="Verdana" w:hAnsi="Verdana"/>
                <w:sz w:val="18"/>
                <w:szCs w:val="18"/>
              </w:rPr>
              <w:t>Se definieron y documentaron las acciones necesarias para el diseño e implementación del mecanismo, mediante un trabajo articulado entre las diferentes áreas de la entidad, con el propósito de poner en marcha un sistema de seguimiento y evaluación que fortalezca la gestión y monitoreo de los planes de reincorporación individual</w:t>
            </w:r>
          </w:p>
          <w:p w14:paraId="18E9D649" w14:textId="77777777" w:rsidR="00A24F13" w:rsidRPr="00A24F13" w:rsidRDefault="00A24F13" w:rsidP="00164ED5">
            <w:pPr>
              <w:pStyle w:val="Prrafodelista"/>
              <w:numPr>
                <w:ilvl w:val="0"/>
                <w:numId w:val="23"/>
              </w:numPr>
              <w:tabs>
                <w:tab w:val="left" w:pos="180"/>
              </w:tabs>
              <w:spacing w:line="276" w:lineRule="auto"/>
              <w:ind w:left="38" w:hanging="115"/>
              <w:jc w:val="both"/>
              <w:rPr>
                <w:rFonts w:ascii="Verdana" w:eastAsia="Verdana" w:hAnsi="Verdana" w:cs="Arial"/>
                <w:color w:val="000000" w:themeColor="text1"/>
                <w:sz w:val="18"/>
                <w:szCs w:val="18"/>
              </w:rPr>
            </w:pPr>
            <w:r w:rsidRPr="00A24F13">
              <w:rPr>
                <w:rFonts w:ascii="Verdana" w:hAnsi="Verdana"/>
                <w:sz w:val="18"/>
                <w:szCs w:val="18"/>
              </w:rPr>
              <w:t>Se gestionó la articulación de acciones con diferentes entidades a través del Sistema Nacional de Reincorporación, con el fin de ampliar la oferta institucional y facilitar el cumplimiento de los compromisos establecidos en los planes.</w:t>
            </w:r>
          </w:p>
          <w:p w14:paraId="6BF229EA" w14:textId="044214A5" w:rsidR="00B91C17" w:rsidRPr="00A24F13" w:rsidRDefault="00B91C17" w:rsidP="00A24F13">
            <w:pPr>
              <w:tabs>
                <w:tab w:val="left" w:pos="180"/>
              </w:tabs>
              <w:spacing w:line="276" w:lineRule="auto"/>
              <w:ind w:left="-77"/>
              <w:jc w:val="both"/>
              <w:rPr>
                <w:rFonts w:ascii="Verdana" w:eastAsia="Verdana" w:hAnsi="Verdana" w:cs="Arial"/>
                <w:color w:val="000000" w:themeColor="text1"/>
                <w:sz w:val="18"/>
                <w:szCs w:val="18"/>
              </w:rPr>
            </w:pPr>
          </w:p>
        </w:tc>
      </w:tr>
      <w:tr w:rsidR="00A24F13" w:rsidRPr="00AB06F3" w14:paraId="1970ABEA" w14:textId="77777777" w:rsidTr="005F457D">
        <w:trPr>
          <w:trHeight w:val="300"/>
        </w:trPr>
        <w:tc>
          <w:tcPr>
            <w:tcW w:w="1408" w:type="dxa"/>
            <w:tcMar>
              <w:left w:w="108" w:type="dxa"/>
              <w:right w:w="108" w:type="dxa"/>
            </w:tcMar>
          </w:tcPr>
          <w:p w14:paraId="20BECE0D" w14:textId="77777777" w:rsidR="00A24F13" w:rsidRPr="00957545" w:rsidRDefault="00A24F13" w:rsidP="00A24F13">
            <w:pPr>
              <w:tabs>
                <w:tab w:val="left" w:pos="311"/>
              </w:tabs>
              <w:spacing w:line="276" w:lineRule="auto"/>
              <w:rPr>
                <w:rFonts w:ascii="Verdana" w:eastAsia="Verdana" w:hAnsi="Verdana" w:cs="Arial"/>
                <w:color w:val="000000" w:themeColor="text1"/>
                <w:sz w:val="18"/>
                <w:szCs w:val="18"/>
              </w:rPr>
            </w:pPr>
          </w:p>
          <w:p w14:paraId="52F38783" w14:textId="77777777" w:rsidR="00A24F13" w:rsidRPr="004009B8" w:rsidRDefault="00A24F13" w:rsidP="00164ED5">
            <w:pPr>
              <w:pStyle w:val="Prrafodelista"/>
              <w:numPr>
                <w:ilvl w:val="0"/>
                <w:numId w:val="31"/>
              </w:numPr>
              <w:tabs>
                <w:tab w:val="left" w:pos="311"/>
              </w:tabs>
              <w:spacing w:line="276" w:lineRule="auto"/>
              <w:rPr>
                <w:rFonts w:ascii="Verdana" w:eastAsia="Verdana" w:hAnsi="Verdana" w:cs="Arial"/>
                <w:color w:val="000000" w:themeColor="text1"/>
                <w:sz w:val="18"/>
                <w:szCs w:val="18"/>
              </w:rPr>
            </w:pPr>
            <w:r>
              <w:rPr>
                <w:rFonts w:ascii="Verdana" w:eastAsia="Verdana" w:hAnsi="Verdana" w:cs="Arial"/>
                <w:color w:val="000000" w:themeColor="text1"/>
                <w:sz w:val="18"/>
                <w:szCs w:val="18"/>
              </w:rPr>
              <w:t>Administrativo</w:t>
            </w:r>
          </w:p>
          <w:p w14:paraId="0AFDF6AC" w14:textId="77777777" w:rsidR="00A24F13" w:rsidRPr="00A24F13" w:rsidRDefault="00A24F13" w:rsidP="00A24F13">
            <w:pPr>
              <w:tabs>
                <w:tab w:val="left" w:pos="311"/>
              </w:tabs>
              <w:spacing w:line="276" w:lineRule="auto"/>
              <w:rPr>
                <w:rFonts w:ascii="Verdana" w:eastAsia="Verdana" w:hAnsi="Verdana" w:cs="Arial"/>
                <w:color w:val="000000" w:themeColor="text1"/>
                <w:sz w:val="18"/>
                <w:szCs w:val="18"/>
              </w:rPr>
            </w:pPr>
          </w:p>
        </w:tc>
        <w:tc>
          <w:tcPr>
            <w:tcW w:w="3265" w:type="dxa"/>
            <w:tcMar>
              <w:left w:w="108" w:type="dxa"/>
              <w:right w:w="108" w:type="dxa"/>
            </w:tcMar>
          </w:tcPr>
          <w:p w14:paraId="4BECD33D" w14:textId="61E26F87" w:rsidR="00A24F13" w:rsidRPr="00443628" w:rsidRDefault="00A24F13" w:rsidP="00164ED5">
            <w:pPr>
              <w:pStyle w:val="Prrafodelista"/>
              <w:numPr>
                <w:ilvl w:val="0"/>
                <w:numId w:val="22"/>
              </w:numPr>
              <w:tabs>
                <w:tab w:val="left" w:pos="180"/>
                <w:tab w:val="left" w:pos="322"/>
              </w:tabs>
              <w:spacing w:line="276" w:lineRule="auto"/>
              <w:ind w:left="0" w:firstLine="27"/>
              <w:rPr>
                <w:rFonts w:ascii="Verdana" w:hAnsi="Verdana"/>
                <w:sz w:val="18"/>
                <w:szCs w:val="18"/>
              </w:rPr>
            </w:pPr>
            <w:r w:rsidRPr="00443628">
              <w:rPr>
                <w:rFonts w:ascii="Verdana" w:eastAsia="Verdana" w:hAnsi="Verdana" w:cs="Arial"/>
                <w:color w:val="000000" w:themeColor="text1"/>
                <w:sz w:val="18"/>
                <w:szCs w:val="18"/>
              </w:rPr>
              <w:t>Programación y registro de cumplimiento de compromisos</w:t>
            </w:r>
            <w:r>
              <w:rPr>
                <w:rFonts w:ascii="Verdana" w:eastAsia="Verdana" w:hAnsi="Verdana" w:cs="Arial"/>
                <w:color w:val="000000" w:themeColor="text1"/>
                <w:sz w:val="18"/>
                <w:szCs w:val="18"/>
              </w:rPr>
              <w:t xml:space="preserve"> </w:t>
            </w:r>
            <w:r w:rsidRPr="002C061F">
              <w:rPr>
                <w:rFonts w:ascii="Verdana" w:eastAsia="Verdana" w:hAnsi="Verdana" w:cs="Arial"/>
                <w:color w:val="000000" w:themeColor="text1"/>
                <w:sz w:val="18"/>
                <w:szCs w:val="18"/>
              </w:rPr>
              <w:t xml:space="preserve">asociados </w:t>
            </w:r>
            <w:r w:rsidRPr="00443628">
              <w:rPr>
                <w:rFonts w:ascii="Verdana" w:eastAsia="Verdana" w:hAnsi="Verdana" w:cs="Arial"/>
                <w:color w:val="000000" w:themeColor="text1"/>
                <w:sz w:val="18"/>
                <w:szCs w:val="18"/>
              </w:rPr>
              <w:t>del ciclo anual de los planes de reincorporación individual</w:t>
            </w:r>
          </w:p>
        </w:tc>
        <w:tc>
          <w:tcPr>
            <w:tcW w:w="4155" w:type="dxa"/>
            <w:tcMar>
              <w:left w:w="108" w:type="dxa"/>
              <w:right w:w="108" w:type="dxa"/>
            </w:tcMar>
          </w:tcPr>
          <w:p w14:paraId="5770B22F" w14:textId="0DA66B90" w:rsidR="00A24F13" w:rsidRPr="00443628" w:rsidRDefault="00A24F13" w:rsidP="00164ED5">
            <w:pPr>
              <w:pStyle w:val="Prrafodelista"/>
              <w:numPr>
                <w:ilvl w:val="0"/>
                <w:numId w:val="23"/>
              </w:numPr>
              <w:tabs>
                <w:tab w:val="left" w:pos="180"/>
              </w:tabs>
              <w:spacing w:line="276" w:lineRule="auto"/>
              <w:ind w:left="38" w:hanging="115"/>
              <w:jc w:val="both"/>
              <w:rPr>
                <w:rFonts w:ascii="Verdana" w:hAnsi="Verdana"/>
                <w:sz w:val="18"/>
                <w:szCs w:val="18"/>
              </w:rPr>
            </w:pPr>
            <w:r w:rsidRPr="00443628">
              <w:rPr>
                <w:rFonts w:ascii="Verdana" w:hAnsi="Verdana"/>
                <w:sz w:val="18"/>
                <w:szCs w:val="18"/>
              </w:rPr>
              <w:t xml:space="preserve">Se </w:t>
            </w:r>
            <w:r>
              <w:rPr>
                <w:rFonts w:ascii="Verdana" w:hAnsi="Verdana"/>
                <w:sz w:val="18"/>
                <w:szCs w:val="18"/>
              </w:rPr>
              <w:t>d</w:t>
            </w:r>
            <w:r w:rsidRPr="00443628">
              <w:rPr>
                <w:rFonts w:ascii="Verdana" w:hAnsi="Verdana"/>
                <w:sz w:val="18"/>
                <w:szCs w:val="18"/>
              </w:rPr>
              <w:t>esarrollaron jornadas de socialización, herramientas pedagógicas e instrumentos técnicos que permitan a los grupos territoriales interiorizar y aplicar adecuadamente los lineamientos para la programación y el registro del cumplimiento de los compromisos del ciclo anual.</w:t>
            </w:r>
          </w:p>
        </w:tc>
      </w:tr>
    </w:tbl>
    <w:p w14:paraId="1D719276" w14:textId="2929FBDB" w:rsidR="00C41E57" w:rsidRDefault="00C41E5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 xml:space="preserve">Producto: </w:t>
      </w:r>
      <w:r w:rsidR="004A61D9" w:rsidRPr="004A61D9">
        <w:rPr>
          <w:rFonts w:ascii="Verdana" w:eastAsia="Verdana" w:hAnsi="Verdana" w:cs="Arial"/>
          <w:b/>
          <w:bCs/>
          <w:color w:val="000000" w:themeColor="text1"/>
          <w:sz w:val="24"/>
          <w:szCs w:val="24"/>
        </w:rPr>
        <w:t>Garantías para una reincorporación económica y social sostenible</w:t>
      </w:r>
    </w:p>
    <w:p w14:paraId="290C7064" w14:textId="58C9787D" w:rsidR="00C41E57" w:rsidRDefault="00C41E57" w:rsidP="00C41E57">
      <w:pPr>
        <w:spacing w:before="240" w:after="0" w:line="276" w:lineRule="auto"/>
        <w:rPr>
          <w:rFonts w:ascii="Verdana" w:eastAsia="Verdana" w:hAnsi="Verdana" w:cs="Arial"/>
          <w:color w:val="000000" w:themeColor="text1"/>
          <w:sz w:val="24"/>
          <w:szCs w:val="24"/>
        </w:rPr>
      </w:pPr>
      <w:r w:rsidRPr="009E02FB">
        <w:rPr>
          <w:rFonts w:ascii="Verdana" w:eastAsia="Verdana" w:hAnsi="Verdana" w:cs="Arial"/>
          <w:b/>
          <w:bCs/>
          <w:color w:val="000000" w:themeColor="text1"/>
          <w:sz w:val="24"/>
          <w:szCs w:val="24"/>
        </w:rPr>
        <w:t>C.2</w:t>
      </w:r>
      <w:r>
        <w:rPr>
          <w:rFonts w:ascii="Verdana" w:eastAsia="Verdana" w:hAnsi="Verdana" w:cs="Arial"/>
          <w:b/>
          <w:bCs/>
          <w:color w:val="000000" w:themeColor="text1"/>
          <w:sz w:val="24"/>
          <w:szCs w:val="24"/>
        </w:rPr>
        <w:t>10.N</w:t>
      </w:r>
      <w:r w:rsidR="001263BC">
        <w:rPr>
          <w:rFonts w:ascii="Verdana" w:eastAsia="Verdana" w:hAnsi="Verdana" w:cs="Arial"/>
          <w:b/>
          <w:bCs/>
          <w:color w:val="000000" w:themeColor="text1"/>
          <w:sz w:val="24"/>
          <w:szCs w:val="24"/>
        </w:rPr>
        <w:t xml:space="preserve"> </w:t>
      </w:r>
      <w:r w:rsidR="001263BC" w:rsidRPr="001263BC">
        <w:rPr>
          <w:rFonts w:ascii="Verdana" w:eastAsia="Verdana" w:hAnsi="Verdana" w:cs="Arial"/>
          <w:color w:val="000000" w:themeColor="text1"/>
          <w:sz w:val="24"/>
          <w:szCs w:val="24"/>
        </w:rPr>
        <w:t>Programa de Reunificación Familiar, implementado</w:t>
      </w:r>
    </w:p>
    <w:p w14:paraId="7B287DE9" w14:textId="77777777" w:rsidR="00A30DBC" w:rsidRDefault="00A30DBC" w:rsidP="00A30DBC">
      <w:pPr>
        <w:pStyle w:val="Descripcin"/>
        <w:keepNext/>
        <w:jc w:val="center"/>
        <w:rPr>
          <w:rFonts w:ascii="Verdana" w:eastAsia="Verdana" w:hAnsi="Verdana" w:cs="Arial"/>
          <w:i w:val="0"/>
          <w:iCs w:val="0"/>
          <w:color w:val="000000" w:themeColor="text1"/>
        </w:rPr>
      </w:pPr>
    </w:p>
    <w:p w14:paraId="212D5101" w14:textId="115F09CA" w:rsidR="00A30DBC" w:rsidRPr="00A30DBC" w:rsidRDefault="00A30DBC" w:rsidP="00A30DBC">
      <w:pPr>
        <w:pStyle w:val="Descripcin"/>
        <w:keepNext/>
        <w:jc w:val="center"/>
        <w:rPr>
          <w:rFonts w:ascii="Verdana" w:eastAsia="Verdana" w:hAnsi="Verdana" w:cs="Arial"/>
          <w:i w:val="0"/>
          <w:iCs w:val="0"/>
          <w:color w:val="000000" w:themeColor="text1"/>
        </w:rPr>
      </w:pPr>
      <w:bookmarkStart w:id="17" w:name="_Toc225283126"/>
      <w:r w:rsidRPr="00A30DBC">
        <w:rPr>
          <w:rFonts w:ascii="Verdana" w:eastAsia="Verdana" w:hAnsi="Verdana" w:cs="Arial"/>
          <w:i w:val="0"/>
          <w:iCs w:val="0"/>
          <w:color w:val="000000" w:themeColor="text1"/>
        </w:rPr>
        <w:t xml:space="preserve">Tabla </w:t>
      </w:r>
      <w:r w:rsidRPr="00A30DBC">
        <w:rPr>
          <w:rFonts w:ascii="Verdana" w:eastAsia="Verdana" w:hAnsi="Verdana" w:cs="Arial"/>
          <w:i w:val="0"/>
          <w:iCs w:val="0"/>
          <w:color w:val="000000" w:themeColor="text1"/>
        </w:rPr>
        <w:fldChar w:fldCharType="begin"/>
      </w:r>
      <w:r w:rsidRPr="00A30DBC">
        <w:rPr>
          <w:rFonts w:ascii="Verdana" w:eastAsia="Verdana" w:hAnsi="Verdana" w:cs="Arial"/>
          <w:i w:val="0"/>
          <w:iCs w:val="0"/>
          <w:color w:val="000000" w:themeColor="text1"/>
        </w:rPr>
        <w:instrText xml:space="preserve"> SEQ Tabla \* ARABIC </w:instrText>
      </w:r>
      <w:r w:rsidRPr="00A30DBC">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14</w:t>
      </w:r>
      <w:r w:rsidRPr="00A30DBC">
        <w:rPr>
          <w:rFonts w:ascii="Verdana" w:eastAsia="Verdana" w:hAnsi="Verdana" w:cs="Arial"/>
          <w:i w:val="0"/>
          <w:iCs w:val="0"/>
          <w:color w:val="000000" w:themeColor="text1"/>
        </w:rPr>
        <w:fldChar w:fldCharType="end"/>
      </w:r>
      <w:r w:rsidRPr="00A30DBC">
        <w:rPr>
          <w:rFonts w:ascii="Verdana" w:eastAsia="Verdana" w:hAnsi="Verdana" w:cs="Arial"/>
          <w:i w:val="0"/>
          <w:iCs w:val="0"/>
          <w:color w:val="000000" w:themeColor="text1"/>
        </w:rPr>
        <w:t>. Detalle de avance en el indicador C.210.N</w:t>
      </w:r>
      <w:bookmarkEnd w:id="17"/>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59"/>
        <w:gridCol w:w="1204"/>
        <w:gridCol w:w="1217"/>
        <w:gridCol w:w="1211"/>
        <w:gridCol w:w="1244"/>
      </w:tblGrid>
      <w:tr w:rsidR="00C41E57" w:rsidRPr="00AB06F3" w14:paraId="14FBFC3D" w14:textId="77777777" w:rsidTr="006974BB">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0D14EC11" w14:textId="77777777" w:rsidR="00C41E57" w:rsidRPr="00AB06F3" w:rsidRDefault="00C41E57"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204" w:type="dxa"/>
            <w:tcMar>
              <w:left w:w="108" w:type="dxa"/>
              <w:right w:w="108" w:type="dxa"/>
            </w:tcMar>
            <w:vAlign w:val="center"/>
          </w:tcPr>
          <w:p w14:paraId="76B10444"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7FFD9877"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3ECEFF7F"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262C8521"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C41E57" w:rsidRPr="00AB06F3" w14:paraId="24C54BB3" w14:textId="77777777" w:rsidTr="006974BB">
        <w:trPr>
          <w:trHeight w:val="626"/>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22085AF2" w14:textId="5F08A354" w:rsidR="00C41E57" w:rsidRPr="00AB06F3" w:rsidRDefault="001263BC" w:rsidP="006974BB">
            <w:pPr>
              <w:spacing w:before="240" w:line="276" w:lineRule="auto"/>
              <w:rPr>
                <w:rFonts w:ascii="Verdana" w:hAnsi="Verdana" w:cs="Arial"/>
                <w:b w:val="0"/>
                <w:bCs w:val="0"/>
              </w:rPr>
            </w:pPr>
            <w:r w:rsidRPr="001263BC">
              <w:rPr>
                <w:rFonts w:ascii="Verdana" w:eastAsia="Verdana" w:hAnsi="Verdana" w:cs="Arial"/>
                <w:b w:val="0"/>
                <w:bCs w:val="0"/>
                <w:color w:val="000000" w:themeColor="text1"/>
                <w:sz w:val="18"/>
                <w:szCs w:val="18"/>
              </w:rPr>
              <w:t>C.210.N Programa de Reunificación Familiar, implementado</w:t>
            </w:r>
          </w:p>
        </w:tc>
        <w:tc>
          <w:tcPr>
            <w:tcW w:w="1204" w:type="dxa"/>
            <w:tcMar>
              <w:left w:w="108" w:type="dxa"/>
              <w:right w:w="108" w:type="dxa"/>
            </w:tcMar>
            <w:vAlign w:val="center"/>
          </w:tcPr>
          <w:p w14:paraId="3595C4E4"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4DAF2389"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52F32E43"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366EB222" w14:textId="77777777" w:rsidR="006974BB" w:rsidRDefault="006974BB"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31E1213F" w14:textId="53A9DC21" w:rsidR="00C41E57" w:rsidRPr="00AB06F3" w:rsidRDefault="007D3B80"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1</w:t>
            </w:r>
            <w:r w:rsidR="001A390D">
              <w:rPr>
                <w:rFonts w:ascii="Verdana" w:eastAsia="Verdana" w:hAnsi="Verdana" w:cs="Arial"/>
                <w:color w:val="000000" w:themeColor="text1"/>
                <w:sz w:val="18"/>
                <w:szCs w:val="18"/>
              </w:rPr>
              <w:t>25</w:t>
            </w:r>
            <w:r w:rsidR="00C41E57" w:rsidRPr="00AB06F3">
              <w:rPr>
                <w:rFonts w:ascii="Verdana" w:eastAsia="Verdana" w:hAnsi="Verdana" w:cs="Arial"/>
                <w:color w:val="000000" w:themeColor="text1"/>
                <w:sz w:val="18"/>
                <w:szCs w:val="18"/>
              </w:rPr>
              <w:t xml:space="preserve">% </w:t>
            </w:r>
          </w:p>
        </w:tc>
      </w:tr>
    </w:tbl>
    <w:p w14:paraId="15C48FB5" w14:textId="77777777" w:rsidR="00600335" w:rsidRDefault="00600335" w:rsidP="00600335">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5081C1E" w14:textId="77777777" w:rsidR="00C41E57" w:rsidRDefault="00C41E57" w:rsidP="00C41E57">
      <w:pPr>
        <w:spacing w:before="240" w:after="0" w:line="276" w:lineRule="auto"/>
        <w:rPr>
          <w:rFonts w:ascii="Verdana" w:eastAsia="Verdana" w:hAnsi="Verdana" w:cs="Arial"/>
          <w:sz w:val="18"/>
          <w:szCs w:val="18"/>
        </w:rPr>
      </w:pPr>
    </w:p>
    <w:p w14:paraId="332B8CFB" w14:textId="77777777" w:rsidR="00C41E57" w:rsidRPr="00A12308" w:rsidRDefault="00C41E57" w:rsidP="00164ED5">
      <w:pPr>
        <w:pStyle w:val="Prrafodelista"/>
        <w:numPr>
          <w:ilvl w:val="0"/>
          <w:numId w:val="16"/>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28CC4A1C" w14:textId="77777777" w:rsidR="00C41E57" w:rsidRDefault="00C41E57" w:rsidP="00C41E57">
      <w:pPr>
        <w:pStyle w:val="Prrafodelista"/>
        <w:spacing w:after="0" w:line="276" w:lineRule="auto"/>
        <w:jc w:val="both"/>
        <w:rPr>
          <w:rFonts w:ascii="Verdana" w:eastAsia="Calibri" w:hAnsi="Verdana" w:cs="Arial"/>
        </w:rPr>
      </w:pPr>
      <w:r w:rsidRPr="00AB06F3">
        <w:rPr>
          <w:rFonts w:ascii="Verdana" w:eastAsia="Calibri" w:hAnsi="Verdana" w:cs="Arial"/>
        </w:rPr>
        <w:lastRenderedPageBreak/>
        <w:t xml:space="preserve">   </w:t>
      </w:r>
    </w:p>
    <w:p w14:paraId="04103133" w14:textId="77777777" w:rsidR="001422BA" w:rsidRDefault="00CF317F" w:rsidP="002B2B8D">
      <w:pPr>
        <w:spacing w:after="0" w:line="276" w:lineRule="auto"/>
        <w:jc w:val="both"/>
        <w:rPr>
          <w:rFonts w:ascii="Verdana" w:eastAsia="Calibri" w:hAnsi="Verdana" w:cs="Arial"/>
        </w:rPr>
      </w:pPr>
      <w:r w:rsidRPr="00CF317F">
        <w:rPr>
          <w:rFonts w:ascii="Verdana" w:eastAsia="Calibri" w:hAnsi="Verdana" w:cs="Arial"/>
        </w:rPr>
        <w:t xml:space="preserve">Al cierre de </w:t>
      </w:r>
      <w:r w:rsidR="005F26BB">
        <w:rPr>
          <w:rFonts w:ascii="Verdana" w:eastAsia="Calibri" w:hAnsi="Verdana" w:cs="Arial"/>
        </w:rPr>
        <w:t xml:space="preserve">la vigencia </w:t>
      </w:r>
      <w:r w:rsidRPr="00CF317F">
        <w:rPr>
          <w:rFonts w:ascii="Verdana" w:eastAsia="Calibri" w:hAnsi="Verdana" w:cs="Arial"/>
        </w:rPr>
        <w:t xml:space="preserve">2025, el indicador de reunificación familiar registró un cumplimiento del 100% respecto a los casos que cumplían criterios </w:t>
      </w:r>
      <w:r w:rsidR="005F26BB">
        <w:rPr>
          <w:rFonts w:ascii="Verdana" w:eastAsia="Calibri" w:hAnsi="Verdana" w:cs="Arial"/>
        </w:rPr>
        <w:t xml:space="preserve">técnicos </w:t>
      </w:r>
      <w:r w:rsidRPr="00CF317F">
        <w:rPr>
          <w:rFonts w:ascii="Verdana" w:eastAsia="Calibri" w:hAnsi="Verdana" w:cs="Arial"/>
        </w:rPr>
        <w:t xml:space="preserve">para su finalización </w:t>
      </w:r>
      <w:r w:rsidR="005F26BB">
        <w:rPr>
          <w:rFonts w:ascii="Verdana" w:eastAsia="Calibri" w:hAnsi="Verdana" w:cs="Arial"/>
        </w:rPr>
        <w:t>durante el período</w:t>
      </w:r>
      <w:r w:rsidRPr="00CF317F">
        <w:rPr>
          <w:rFonts w:ascii="Verdana" w:eastAsia="Calibri" w:hAnsi="Verdana" w:cs="Arial"/>
        </w:rPr>
        <w:t xml:space="preserve">. </w:t>
      </w:r>
      <w:r w:rsidR="00841067">
        <w:rPr>
          <w:rFonts w:ascii="Verdana" w:eastAsia="Calibri" w:hAnsi="Verdana" w:cs="Arial"/>
        </w:rPr>
        <w:t>En total, d</w:t>
      </w:r>
      <w:r w:rsidRPr="00CF317F">
        <w:rPr>
          <w:rFonts w:ascii="Verdana" w:eastAsia="Calibri" w:hAnsi="Verdana" w:cs="Arial"/>
        </w:rPr>
        <w:t xml:space="preserve">os casos con plan de acompañamiento </w:t>
      </w:r>
      <w:r w:rsidR="001422BA">
        <w:rPr>
          <w:rFonts w:ascii="Verdana" w:eastAsia="Calibri" w:hAnsi="Verdana" w:cs="Arial"/>
        </w:rPr>
        <w:t xml:space="preserve">finalizaron </w:t>
      </w:r>
      <w:r w:rsidRPr="00CF317F">
        <w:rPr>
          <w:rFonts w:ascii="Verdana" w:eastAsia="Calibri" w:hAnsi="Verdana" w:cs="Arial"/>
        </w:rPr>
        <w:t>integralmente la ruta de atención</w:t>
      </w:r>
      <w:r w:rsidR="001422BA">
        <w:rPr>
          <w:rFonts w:ascii="Verdana" w:eastAsia="Calibri" w:hAnsi="Verdana" w:cs="Arial"/>
        </w:rPr>
        <w:t xml:space="preserve">, </w:t>
      </w:r>
      <w:r w:rsidRPr="00CF317F">
        <w:rPr>
          <w:rFonts w:ascii="Verdana" w:eastAsia="Calibri" w:hAnsi="Verdana" w:cs="Arial"/>
        </w:rPr>
        <w:t>formaliza</w:t>
      </w:r>
      <w:r w:rsidR="001422BA">
        <w:rPr>
          <w:rFonts w:ascii="Verdana" w:eastAsia="Calibri" w:hAnsi="Verdana" w:cs="Arial"/>
        </w:rPr>
        <w:t xml:space="preserve">ndo </w:t>
      </w:r>
      <w:r w:rsidRPr="00CF317F">
        <w:rPr>
          <w:rFonts w:ascii="Verdana" w:eastAsia="Calibri" w:hAnsi="Verdana" w:cs="Arial"/>
        </w:rPr>
        <w:t xml:space="preserve">su cierre mediante acta </w:t>
      </w:r>
      <w:r w:rsidR="001422BA">
        <w:rPr>
          <w:rFonts w:ascii="Verdana" w:eastAsia="Calibri" w:hAnsi="Verdana" w:cs="Arial"/>
        </w:rPr>
        <w:t xml:space="preserve">suscrita </w:t>
      </w:r>
      <w:r w:rsidRPr="00CF317F">
        <w:rPr>
          <w:rFonts w:ascii="Verdana" w:eastAsia="Calibri" w:hAnsi="Verdana" w:cs="Arial"/>
        </w:rPr>
        <w:t xml:space="preserve">y registro en el </w:t>
      </w:r>
      <w:r w:rsidR="005458F3">
        <w:rPr>
          <w:rFonts w:ascii="Verdana" w:eastAsia="Calibri" w:hAnsi="Verdana" w:cs="Arial"/>
        </w:rPr>
        <w:t xml:space="preserve">Sistema de Información para la Reintegración y la Reincorporación </w:t>
      </w:r>
      <w:r w:rsidR="00EE468A">
        <w:rPr>
          <w:rFonts w:ascii="Verdana" w:eastAsia="Calibri" w:hAnsi="Verdana" w:cs="Arial"/>
        </w:rPr>
        <w:t>(</w:t>
      </w:r>
      <w:r w:rsidRPr="00CF317F">
        <w:rPr>
          <w:rFonts w:ascii="Verdana" w:eastAsia="Calibri" w:hAnsi="Verdana" w:cs="Arial"/>
        </w:rPr>
        <w:t>SIRR</w:t>
      </w:r>
      <w:r w:rsidR="00EE468A">
        <w:rPr>
          <w:rFonts w:ascii="Verdana" w:eastAsia="Calibri" w:hAnsi="Verdana" w:cs="Arial"/>
        </w:rPr>
        <w:t>)</w:t>
      </w:r>
      <w:r w:rsidRPr="00CF317F">
        <w:rPr>
          <w:rFonts w:ascii="Verdana" w:eastAsia="Calibri" w:hAnsi="Verdana" w:cs="Arial"/>
        </w:rPr>
        <w:t xml:space="preserve">. </w:t>
      </w:r>
    </w:p>
    <w:p w14:paraId="2A7E47DF" w14:textId="77777777" w:rsidR="001422BA" w:rsidRDefault="001422BA" w:rsidP="002B2B8D">
      <w:pPr>
        <w:spacing w:after="0" w:line="276" w:lineRule="auto"/>
        <w:jc w:val="both"/>
        <w:rPr>
          <w:rFonts w:ascii="Verdana" w:eastAsia="Calibri" w:hAnsi="Verdana" w:cs="Arial"/>
        </w:rPr>
      </w:pPr>
    </w:p>
    <w:p w14:paraId="4314BF89" w14:textId="77777777" w:rsidR="00A825B2" w:rsidRDefault="00CF317F" w:rsidP="002B2B8D">
      <w:pPr>
        <w:spacing w:after="0" w:line="276" w:lineRule="auto"/>
        <w:jc w:val="both"/>
        <w:rPr>
          <w:rFonts w:ascii="Verdana" w:eastAsia="Calibri" w:hAnsi="Verdana" w:cs="Arial"/>
        </w:rPr>
      </w:pPr>
      <w:r w:rsidRPr="00CF317F">
        <w:rPr>
          <w:rFonts w:ascii="Verdana" w:eastAsia="Calibri" w:hAnsi="Verdana" w:cs="Arial"/>
        </w:rPr>
        <w:t>De estos</w:t>
      </w:r>
      <w:r w:rsidR="001422BA">
        <w:rPr>
          <w:rFonts w:ascii="Verdana" w:eastAsia="Calibri" w:hAnsi="Verdana" w:cs="Arial"/>
        </w:rPr>
        <w:t xml:space="preserve"> casos</w:t>
      </w:r>
      <w:r w:rsidRPr="00CF317F">
        <w:rPr>
          <w:rFonts w:ascii="Verdana" w:eastAsia="Calibri" w:hAnsi="Verdana" w:cs="Arial"/>
        </w:rPr>
        <w:t xml:space="preserve">, uno finalizó por cumplimiento de tiempo y </w:t>
      </w:r>
      <w:r w:rsidR="00D46F88">
        <w:rPr>
          <w:rFonts w:ascii="Verdana" w:eastAsia="Calibri" w:hAnsi="Verdana" w:cs="Arial"/>
        </w:rPr>
        <w:t xml:space="preserve">los </w:t>
      </w:r>
      <w:r w:rsidRPr="00CF317F">
        <w:rPr>
          <w:rFonts w:ascii="Verdana" w:eastAsia="Calibri" w:hAnsi="Verdana" w:cs="Arial"/>
        </w:rPr>
        <w:t>objetivos</w:t>
      </w:r>
      <w:r w:rsidR="00D46F88">
        <w:rPr>
          <w:rFonts w:ascii="Verdana" w:eastAsia="Calibri" w:hAnsi="Verdana" w:cs="Arial"/>
        </w:rPr>
        <w:t xml:space="preserve"> establecidos</w:t>
      </w:r>
      <w:r w:rsidRPr="00CF317F">
        <w:rPr>
          <w:rFonts w:ascii="Verdana" w:eastAsia="Calibri" w:hAnsi="Verdana" w:cs="Arial"/>
        </w:rPr>
        <w:t xml:space="preserve">, </w:t>
      </w:r>
      <w:r w:rsidR="00872D27">
        <w:rPr>
          <w:rFonts w:ascii="Verdana" w:eastAsia="Calibri" w:hAnsi="Verdana" w:cs="Arial"/>
        </w:rPr>
        <w:t xml:space="preserve">mientras que el segundo finalizó </w:t>
      </w:r>
      <w:r w:rsidRPr="00CF317F">
        <w:rPr>
          <w:rFonts w:ascii="Verdana" w:eastAsia="Calibri" w:hAnsi="Verdana" w:cs="Arial"/>
        </w:rPr>
        <w:t xml:space="preserve">por cumplimiento de </w:t>
      </w:r>
      <w:r w:rsidR="00872D27">
        <w:rPr>
          <w:rFonts w:ascii="Verdana" w:eastAsia="Calibri" w:hAnsi="Verdana" w:cs="Arial"/>
        </w:rPr>
        <w:t xml:space="preserve">los </w:t>
      </w:r>
      <w:r w:rsidRPr="00CF317F">
        <w:rPr>
          <w:rFonts w:ascii="Verdana" w:eastAsia="Calibri" w:hAnsi="Verdana" w:cs="Arial"/>
        </w:rPr>
        <w:t>objetivos</w:t>
      </w:r>
      <w:r w:rsidR="00872D27">
        <w:rPr>
          <w:rFonts w:ascii="Verdana" w:eastAsia="Calibri" w:hAnsi="Verdana" w:cs="Arial"/>
        </w:rPr>
        <w:t xml:space="preserve"> definidos en el plan de acompañamiento. </w:t>
      </w:r>
      <w:r w:rsidRPr="00CF317F">
        <w:rPr>
          <w:rFonts w:ascii="Verdana" w:eastAsia="Calibri" w:hAnsi="Verdana" w:cs="Arial"/>
        </w:rPr>
        <w:t xml:space="preserve">Ambos corresponden a hombres en proceso de reincorporación; uno </w:t>
      </w:r>
      <w:r w:rsidR="00DE63AE">
        <w:rPr>
          <w:rFonts w:ascii="Verdana" w:eastAsia="Calibri" w:hAnsi="Verdana" w:cs="Arial"/>
        </w:rPr>
        <w:t xml:space="preserve">de los casos </w:t>
      </w:r>
      <w:r w:rsidRPr="00CF317F">
        <w:rPr>
          <w:rFonts w:ascii="Verdana" w:eastAsia="Calibri" w:hAnsi="Verdana" w:cs="Arial"/>
        </w:rPr>
        <w:t xml:space="preserve">involucra </w:t>
      </w:r>
      <w:r w:rsidR="00DE63AE">
        <w:rPr>
          <w:rFonts w:ascii="Verdana" w:eastAsia="Calibri" w:hAnsi="Verdana" w:cs="Arial"/>
        </w:rPr>
        <w:t xml:space="preserve">a una </w:t>
      </w:r>
      <w:r w:rsidRPr="00CF317F">
        <w:rPr>
          <w:rFonts w:ascii="Verdana" w:eastAsia="Calibri" w:hAnsi="Verdana" w:cs="Arial"/>
        </w:rPr>
        <w:t xml:space="preserve">persona con discapacidad y </w:t>
      </w:r>
      <w:r w:rsidR="00DE63AE">
        <w:rPr>
          <w:rFonts w:ascii="Verdana" w:eastAsia="Calibri" w:hAnsi="Verdana" w:cs="Arial"/>
        </w:rPr>
        <w:t xml:space="preserve">en ambos se registra </w:t>
      </w:r>
      <w:r w:rsidRPr="00CF317F">
        <w:rPr>
          <w:rFonts w:ascii="Verdana" w:eastAsia="Calibri" w:hAnsi="Verdana" w:cs="Arial"/>
        </w:rPr>
        <w:t>pertenencia étnica,</w:t>
      </w:r>
      <w:r w:rsidR="00A825B2">
        <w:rPr>
          <w:rFonts w:ascii="Verdana" w:eastAsia="Calibri" w:hAnsi="Verdana" w:cs="Arial"/>
        </w:rPr>
        <w:t xml:space="preserve"> incluyendo un caso de población </w:t>
      </w:r>
      <w:r w:rsidRPr="00CF317F">
        <w:rPr>
          <w:rFonts w:ascii="Verdana" w:eastAsia="Calibri" w:hAnsi="Verdana" w:cs="Arial"/>
        </w:rPr>
        <w:t xml:space="preserve">indígena. </w:t>
      </w:r>
    </w:p>
    <w:p w14:paraId="68B51DCE" w14:textId="77777777" w:rsidR="00A825B2" w:rsidRDefault="00A825B2" w:rsidP="002B2B8D">
      <w:pPr>
        <w:spacing w:after="0" w:line="276" w:lineRule="auto"/>
        <w:jc w:val="both"/>
        <w:rPr>
          <w:rFonts w:ascii="Verdana" w:eastAsia="Calibri" w:hAnsi="Verdana" w:cs="Arial"/>
        </w:rPr>
      </w:pPr>
    </w:p>
    <w:p w14:paraId="7A5A1728" w14:textId="33ED9155" w:rsidR="00CF317F" w:rsidRPr="00CF317F" w:rsidRDefault="00CF317F" w:rsidP="002B2B8D">
      <w:pPr>
        <w:spacing w:after="0" w:line="276" w:lineRule="auto"/>
        <w:jc w:val="both"/>
        <w:rPr>
          <w:rFonts w:ascii="Verdana" w:eastAsia="Calibri" w:hAnsi="Verdana" w:cs="Arial"/>
        </w:rPr>
      </w:pPr>
      <w:r w:rsidRPr="00CF317F">
        <w:rPr>
          <w:rFonts w:ascii="Verdana" w:eastAsia="Calibri" w:hAnsi="Verdana" w:cs="Arial"/>
        </w:rPr>
        <w:t xml:space="preserve">Frente a la meta trimestral programada del 80%, se alcanzó un </w:t>
      </w:r>
      <w:r w:rsidR="00A825B2">
        <w:rPr>
          <w:rFonts w:ascii="Verdana" w:eastAsia="Calibri" w:hAnsi="Verdana" w:cs="Arial"/>
        </w:rPr>
        <w:t xml:space="preserve">resultado del </w:t>
      </w:r>
      <w:r w:rsidRPr="00CF317F">
        <w:rPr>
          <w:rFonts w:ascii="Verdana" w:eastAsia="Calibri" w:hAnsi="Verdana" w:cs="Arial"/>
        </w:rPr>
        <w:t xml:space="preserve">100%, lo que representa un sobrecumplimiento del 20%, explicado </w:t>
      </w:r>
      <w:r w:rsidR="00A825B2">
        <w:rPr>
          <w:rFonts w:ascii="Verdana" w:eastAsia="Calibri" w:hAnsi="Verdana" w:cs="Arial"/>
        </w:rPr>
        <w:t xml:space="preserve">principalmente </w:t>
      </w:r>
      <w:r w:rsidRPr="00CF317F">
        <w:rPr>
          <w:rFonts w:ascii="Verdana" w:eastAsia="Calibri" w:hAnsi="Verdana" w:cs="Arial"/>
        </w:rPr>
        <w:t xml:space="preserve">por el </w:t>
      </w:r>
      <w:r w:rsidR="0086124F">
        <w:rPr>
          <w:rFonts w:ascii="Verdana" w:eastAsia="Calibri" w:hAnsi="Verdana" w:cs="Arial"/>
        </w:rPr>
        <w:t xml:space="preserve">proceso de </w:t>
      </w:r>
      <w:r w:rsidRPr="00CF317F">
        <w:rPr>
          <w:rFonts w:ascii="Verdana" w:eastAsia="Calibri" w:hAnsi="Verdana" w:cs="Arial"/>
        </w:rPr>
        <w:t>ajuste progresivo del Programa en su primer año de implementación.</w:t>
      </w:r>
    </w:p>
    <w:p w14:paraId="439943E5" w14:textId="77777777" w:rsidR="00EE468A" w:rsidRDefault="00EE468A" w:rsidP="002B2B8D">
      <w:pPr>
        <w:spacing w:after="0" w:line="276" w:lineRule="auto"/>
        <w:jc w:val="both"/>
        <w:rPr>
          <w:rFonts w:ascii="Verdana" w:eastAsia="Calibri" w:hAnsi="Verdana" w:cs="Arial"/>
        </w:rPr>
      </w:pPr>
    </w:p>
    <w:p w14:paraId="4019C7F8" w14:textId="77777777" w:rsidR="007B5E67" w:rsidRDefault="00CF317F" w:rsidP="002B2B8D">
      <w:pPr>
        <w:spacing w:after="0" w:line="276" w:lineRule="auto"/>
        <w:jc w:val="both"/>
        <w:rPr>
          <w:rFonts w:ascii="Verdana" w:eastAsia="Calibri" w:hAnsi="Verdana" w:cs="Arial"/>
        </w:rPr>
      </w:pPr>
      <w:r w:rsidRPr="00EE468A">
        <w:rPr>
          <w:rFonts w:ascii="Verdana" w:eastAsia="Calibri" w:hAnsi="Verdana" w:cs="Arial"/>
        </w:rPr>
        <w:t xml:space="preserve">Adicionalmente, se avanzó en la consolidación del Programa de Reunificación Familiar, </w:t>
      </w:r>
      <w:r w:rsidR="0086124F">
        <w:rPr>
          <w:rFonts w:ascii="Verdana" w:eastAsia="Calibri" w:hAnsi="Verdana" w:cs="Arial"/>
        </w:rPr>
        <w:t xml:space="preserve">alcanzando </w:t>
      </w:r>
      <w:r w:rsidRPr="00EE468A">
        <w:rPr>
          <w:rFonts w:ascii="Verdana" w:eastAsia="Calibri" w:hAnsi="Verdana" w:cs="Arial"/>
        </w:rPr>
        <w:t xml:space="preserve">una cobertura del 90% de los casos aceptados con plan de acompañamiento concertado y en ejecución. Esto se traduce en 403 planes activos </w:t>
      </w:r>
      <w:r w:rsidR="007B5E67">
        <w:rPr>
          <w:rFonts w:ascii="Verdana" w:eastAsia="Calibri" w:hAnsi="Verdana" w:cs="Arial"/>
        </w:rPr>
        <w:t xml:space="preserve">de reunificación familiar </w:t>
      </w:r>
      <w:r w:rsidRPr="00EE468A">
        <w:rPr>
          <w:rFonts w:ascii="Verdana" w:eastAsia="Calibri" w:hAnsi="Verdana" w:cs="Arial"/>
        </w:rPr>
        <w:t xml:space="preserve">sobre </w:t>
      </w:r>
      <w:r w:rsidR="007B5E67">
        <w:rPr>
          <w:rFonts w:ascii="Verdana" w:eastAsia="Calibri" w:hAnsi="Verdana" w:cs="Arial"/>
        </w:rPr>
        <w:t xml:space="preserve">un total de </w:t>
      </w:r>
      <w:r w:rsidRPr="00EE468A">
        <w:rPr>
          <w:rFonts w:ascii="Verdana" w:eastAsia="Calibri" w:hAnsi="Verdana" w:cs="Arial"/>
        </w:rPr>
        <w:t xml:space="preserve">447 casos aceptados, correspondientes a 352 personas en proceso de reincorporación (118 mujeres y 234 hombres). </w:t>
      </w:r>
    </w:p>
    <w:p w14:paraId="3C410C27" w14:textId="77777777" w:rsidR="007B5E67" w:rsidRDefault="007B5E67" w:rsidP="009E5C37">
      <w:pPr>
        <w:spacing w:after="0" w:line="276" w:lineRule="auto"/>
        <w:rPr>
          <w:rFonts w:ascii="Verdana" w:eastAsia="Calibri" w:hAnsi="Verdana" w:cs="Arial"/>
        </w:rPr>
      </w:pPr>
    </w:p>
    <w:p w14:paraId="08E5F13F" w14:textId="3CF6090A" w:rsidR="00A30DBC" w:rsidRPr="0046011F" w:rsidRDefault="007B5E67" w:rsidP="0035722A">
      <w:pPr>
        <w:spacing w:after="0" w:line="276" w:lineRule="auto"/>
        <w:jc w:val="both"/>
        <w:rPr>
          <w:rFonts w:ascii="Verdana" w:eastAsia="Calibri" w:hAnsi="Verdana" w:cs="Arial"/>
        </w:rPr>
      </w:pPr>
      <w:r>
        <w:rPr>
          <w:rFonts w:ascii="Verdana" w:eastAsia="Calibri" w:hAnsi="Verdana" w:cs="Arial"/>
        </w:rPr>
        <w:t xml:space="preserve">Si bien la </w:t>
      </w:r>
      <w:r w:rsidR="00CF317F" w:rsidRPr="00EE468A">
        <w:rPr>
          <w:rFonts w:ascii="Verdana" w:eastAsia="Calibri" w:hAnsi="Verdana" w:cs="Arial"/>
        </w:rPr>
        <w:t xml:space="preserve">dispersión geográfica y </w:t>
      </w:r>
      <w:r w:rsidR="00AE6DC9">
        <w:rPr>
          <w:rFonts w:ascii="Verdana" w:eastAsia="Calibri" w:hAnsi="Verdana" w:cs="Arial"/>
        </w:rPr>
        <w:t xml:space="preserve">las condiciones de </w:t>
      </w:r>
      <w:r w:rsidR="00CF317F" w:rsidRPr="00EE468A">
        <w:rPr>
          <w:rFonts w:ascii="Verdana" w:eastAsia="Calibri" w:hAnsi="Verdana" w:cs="Arial"/>
        </w:rPr>
        <w:t xml:space="preserve">seguridad en algunos territorios </w:t>
      </w:r>
      <w:r w:rsidR="00AE6DC9">
        <w:rPr>
          <w:rFonts w:ascii="Verdana" w:eastAsia="Calibri" w:hAnsi="Verdana" w:cs="Arial"/>
        </w:rPr>
        <w:t xml:space="preserve">representaron desafíos para el </w:t>
      </w:r>
      <w:r w:rsidR="00CF317F" w:rsidRPr="00EE468A">
        <w:rPr>
          <w:rFonts w:ascii="Verdana" w:eastAsia="Calibri" w:hAnsi="Verdana" w:cs="Arial"/>
        </w:rPr>
        <w:t xml:space="preserve">desarrollo de actividades presenciales, </w:t>
      </w:r>
      <w:r w:rsidR="0046011F" w:rsidRPr="0046011F">
        <w:rPr>
          <w:rFonts w:ascii="Verdana" w:eastAsia="Calibri" w:hAnsi="Verdana" w:cs="Arial"/>
        </w:rPr>
        <w:t>se garantizó la continuidad en la implementación de la ruta de atención mediante estrategias de acompañamiento ajustadas al contexto territorial. Este proceso permitió generar aprendizajes institucionales relevantes para fortalecer la planeación, seguimiento y ejecución del Programa de Reunificación Familiar durante la vigencia 2026.</w:t>
      </w:r>
    </w:p>
    <w:p w14:paraId="6576D07C" w14:textId="77777777" w:rsidR="0046011F" w:rsidRPr="00AB06F3" w:rsidRDefault="0046011F" w:rsidP="0046011F">
      <w:pPr>
        <w:spacing w:after="0" w:line="276" w:lineRule="auto"/>
        <w:rPr>
          <w:rFonts w:ascii="Verdana" w:hAnsi="Verdana" w:cs="Arial"/>
        </w:rPr>
      </w:pPr>
    </w:p>
    <w:p w14:paraId="152AFECF" w14:textId="77E166F0" w:rsidR="00A30DBC" w:rsidRPr="00A30DBC" w:rsidRDefault="00A30DBC" w:rsidP="00A30DBC">
      <w:pPr>
        <w:pStyle w:val="Descripcin"/>
        <w:keepNext/>
        <w:jc w:val="center"/>
        <w:rPr>
          <w:rFonts w:ascii="Verdana" w:eastAsia="Verdana" w:hAnsi="Verdana" w:cs="Arial"/>
          <w:i w:val="0"/>
          <w:iCs w:val="0"/>
          <w:color w:val="000000" w:themeColor="text1"/>
        </w:rPr>
      </w:pPr>
      <w:bookmarkStart w:id="18" w:name="_Toc225283127"/>
      <w:r w:rsidRPr="00A30DBC">
        <w:rPr>
          <w:rFonts w:ascii="Verdana" w:eastAsia="Verdana" w:hAnsi="Verdana" w:cs="Arial"/>
          <w:i w:val="0"/>
          <w:iCs w:val="0"/>
          <w:color w:val="000000" w:themeColor="text1"/>
        </w:rPr>
        <w:t xml:space="preserve">Tabla </w:t>
      </w:r>
      <w:r w:rsidRPr="00A30DBC">
        <w:rPr>
          <w:rFonts w:ascii="Verdana" w:eastAsia="Verdana" w:hAnsi="Verdana" w:cs="Arial"/>
          <w:i w:val="0"/>
          <w:iCs w:val="0"/>
          <w:color w:val="000000" w:themeColor="text1"/>
        </w:rPr>
        <w:fldChar w:fldCharType="begin"/>
      </w:r>
      <w:r w:rsidRPr="00A30DBC">
        <w:rPr>
          <w:rFonts w:ascii="Verdana" w:eastAsia="Verdana" w:hAnsi="Verdana" w:cs="Arial"/>
          <w:i w:val="0"/>
          <w:iCs w:val="0"/>
          <w:color w:val="000000" w:themeColor="text1"/>
        </w:rPr>
        <w:instrText xml:space="preserve"> SEQ Tabla \* ARABIC </w:instrText>
      </w:r>
      <w:r w:rsidRPr="00A30DBC">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15</w:t>
      </w:r>
      <w:r w:rsidRPr="00A30DBC">
        <w:rPr>
          <w:rFonts w:ascii="Verdana" w:eastAsia="Verdana" w:hAnsi="Verdana" w:cs="Arial"/>
          <w:i w:val="0"/>
          <w:iCs w:val="0"/>
          <w:color w:val="000000" w:themeColor="text1"/>
        </w:rPr>
        <w:fldChar w:fldCharType="end"/>
      </w:r>
      <w:r w:rsidRPr="00A30DBC">
        <w:rPr>
          <w:rFonts w:ascii="Verdana" w:eastAsia="Verdana" w:hAnsi="Verdana" w:cs="Arial"/>
          <w:i w:val="0"/>
          <w:iCs w:val="0"/>
          <w:color w:val="000000" w:themeColor="text1"/>
        </w:rPr>
        <w:t>. Detalle de las principales acciones del indicador C.210.N</w:t>
      </w:r>
      <w:bookmarkEnd w:id="18"/>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C41E57" w:rsidRPr="00AB06F3" w14:paraId="7C081FB1" w14:textId="77777777" w:rsidTr="005F457D">
        <w:trPr>
          <w:trHeight w:val="113"/>
        </w:trPr>
        <w:tc>
          <w:tcPr>
            <w:tcW w:w="1985" w:type="dxa"/>
            <w:tcMar>
              <w:left w:w="108" w:type="dxa"/>
              <w:right w:w="108" w:type="dxa"/>
            </w:tcMar>
          </w:tcPr>
          <w:p w14:paraId="044BF19A"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70804296"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038763B1"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C41E57" w:rsidRPr="00AB06F3" w14:paraId="485135D0" w14:textId="77777777" w:rsidTr="005F457D">
        <w:trPr>
          <w:trHeight w:val="1639"/>
        </w:trPr>
        <w:tc>
          <w:tcPr>
            <w:tcW w:w="1985" w:type="dxa"/>
            <w:tcMar>
              <w:left w:w="108" w:type="dxa"/>
              <w:right w:w="108" w:type="dxa"/>
            </w:tcMar>
          </w:tcPr>
          <w:p w14:paraId="5EB4B173" w14:textId="28528677" w:rsidR="00C41E57" w:rsidRPr="001263BC" w:rsidRDefault="001263BC" w:rsidP="001263BC">
            <w:pPr>
              <w:spacing w:before="240" w:line="276" w:lineRule="auto"/>
              <w:rPr>
                <w:rFonts w:ascii="Verdana" w:eastAsia="Verdana" w:hAnsi="Verdana" w:cs="Arial"/>
                <w:color w:val="000000" w:themeColor="text1"/>
                <w:sz w:val="18"/>
                <w:szCs w:val="18"/>
              </w:rPr>
            </w:pPr>
            <w:r w:rsidRPr="001263BC">
              <w:rPr>
                <w:rFonts w:ascii="Verdana" w:eastAsia="Verdana" w:hAnsi="Verdana" w:cs="Arial"/>
                <w:color w:val="000000" w:themeColor="text1"/>
                <w:sz w:val="18"/>
                <w:szCs w:val="18"/>
              </w:rPr>
              <w:lastRenderedPageBreak/>
              <w:t>C.210.N Programa de Reunificación Familiar, implementado</w:t>
            </w:r>
          </w:p>
        </w:tc>
        <w:tc>
          <w:tcPr>
            <w:tcW w:w="4677" w:type="dxa"/>
            <w:tcMar>
              <w:left w:w="108" w:type="dxa"/>
              <w:right w:w="108" w:type="dxa"/>
            </w:tcMar>
          </w:tcPr>
          <w:p w14:paraId="55087533" w14:textId="37324C14" w:rsidR="00C41E57" w:rsidRPr="00450A9E" w:rsidRDefault="00E73AEF" w:rsidP="00232A88">
            <w:pPr>
              <w:spacing w:line="276" w:lineRule="auto"/>
              <w:rPr>
                <w:rFonts w:ascii="Verdana" w:eastAsia="Verdana" w:hAnsi="Verdana" w:cs="Arial"/>
                <w:color w:val="000000" w:themeColor="text1"/>
                <w:sz w:val="18"/>
                <w:szCs w:val="18"/>
              </w:rPr>
            </w:pPr>
            <w:r w:rsidRPr="00E73AEF">
              <w:rPr>
                <w:rFonts w:ascii="Verdana" w:eastAsia="Verdana" w:hAnsi="Verdana" w:cs="Arial"/>
                <w:color w:val="000000" w:themeColor="text1"/>
                <w:sz w:val="18"/>
                <w:szCs w:val="18"/>
              </w:rPr>
              <w:t>Dos (2) casos del Programa de Reunificación Familiar con plan de acompañamiento finalizaron satisfactoriamente la ruta de atención, al cumplir integralmente los criterios técnicos establecidos. Su cierre fue formalizado mediante acta suscrita y registro en el Sistema de Información para la Reintegración y la Reincorporación (SIRR).</w:t>
            </w:r>
          </w:p>
        </w:tc>
        <w:tc>
          <w:tcPr>
            <w:tcW w:w="1985" w:type="dxa"/>
            <w:tcMar>
              <w:left w:w="108" w:type="dxa"/>
              <w:right w:w="108" w:type="dxa"/>
            </w:tcMar>
          </w:tcPr>
          <w:p w14:paraId="459B1332" w14:textId="77777777" w:rsidR="002557C0" w:rsidRPr="00AB06F3" w:rsidRDefault="002557C0" w:rsidP="002557C0">
            <w:pPr>
              <w:spacing w:line="276" w:lineRule="auto"/>
              <w:jc w:val="both"/>
              <w:rPr>
                <w:rFonts w:ascii="Verdana" w:eastAsia="Verdana" w:hAnsi="Verdana" w:cs="Arial"/>
                <w:color w:val="000000" w:themeColor="text1"/>
                <w:sz w:val="18"/>
                <w:szCs w:val="18"/>
              </w:rPr>
            </w:pPr>
            <w:r w:rsidRPr="0EF42651">
              <w:rPr>
                <w:rFonts w:ascii="Verdana" w:eastAsia="Verdana" w:hAnsi="Verdana" w:cs="Arial"/>
                <w:color w:val="000000" w:themeColor="text1"/>
                <w:sz w:val="18"/>
                <w:szCs w:val="18"/>
              </w:rPr>
              <w:t>Funcionamiento:</w:t>
            </w:r>
          </w:p>
          <w:p w14:paraId="4084F8FF" w14:textId="47D2C00A" w:rsidR="00C41E57" w:rsidRPr="00AB06F3" w:rsidRDefault="002557C0" w:rsidP="00C820C2">
            <w:pPr>
              <w:spacing w:line="276" w:lineRule="auto"/>
              <w:jc w:val="both"/>
              <w:rPr>
                <w:rFonts w:ascii="Verdana" w:eastAsia="Verdana" w:hAnsi="Verdana" w:cs="Arial"/>
                <w:color w:val="000000" w:themeColor="text1"/>
                <w:sz w:val="18"/>
                <w:szCs w:val="18"/>
              </w:rPr>
            </w:pPr>
            <w:r w:rsidRPr="0EF42651">
              <w:rPr>
                <w:rFonts w:ascii="Verdana" w:eastAsia="Verdana" w:hAnsi="Verdana" w:cs="Arial"/>
                <w:color w:val="000000" w:themeColor="text1"/>
                <w:sz w:val="18"/>
                <w:szCs w:val="18"/>
              </w:rPr>
              <w:t>$503.988.435</w:t>
            </w:r>
            <w:r w:rsidR="00C820C2">
              <w:rPr>
                <w:rFonts w:ascii="Verdana" w:eastAsia="Verdana" w:hAnsi="Verdana" w:cs="Arial"/>
                <w:color w:val="000000" w:themeColor="text1"/>
                <w:sz w:val="18"/>
                <w:szCs w:val="18"/>
              </w:rPr>
              <w:t xml:space="preserve"> </w:t>
            </w:r>
            <w:r w:rsidR="00C820C2" w:rsidRPr="00C820C2">
              <w:rPr>
                <w:rFonts w:ascii="Verdana" w:eastAsia="Verdana" w:hAnsi="Verdana" w:cs="Arial"/>
                <w:color w:val="000000" w:themeColor="text1"/>
                <w:sz w:val="18"/>
                <w:szCs w:val="18"/>
              </w:rPr>
              <w:t>destinados a la contratación de siete (7) profesionales psicosociales encargados de implementar las acciones del Programa de Reunificación Familiar en los Grupos Territoriales.</w:t>
            </w:r>
          </w:p>
        </w:tc>
      </w:tr>
    </w:tbl>
    <w:p w14:paraId="39558C12"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A6B0733" w14:textId="77777777" w:rsidR="00C41E57" w:rsidRPr="00AB06F3" w:rsidRDefault="00C41E57" w:rsidP="00C41E57">
      <w:pPr>
        <w:spacing w:after="0" w:line="276" w:lineRule="auto"/>
        <w:jc w:val="both"/>
        <w:rPr>
          <w:rFonts w:ascii="Verdana" w:hAnsi="Verdana" w:cs="Arial"/>
        </w:rPr>
      </w:pPr>
    </w:p>
    <w:p w14:paraId="07001A27" w14:textId="0716D088" w:rsidR="00C41E57" w:rsidRDefault="00C41E57" w:rsidP="00164ED5">
      <w:pPr>
        <w:pStyle w:val="Prrafodelista"/>
        <w:numPr>
          <w:ilvl w:val="0"/>
          <w:numId w:val="16"/>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w:t>
      </w:r>
      <w:r w:rsidR="008D00FE">
        <w:rPr>
          <w:rFonts w:ascii="Verdana" w:eastAsia="Verdana" w:hAnsi="Verdana" w:cs="Arial"/>
          <w:color w:val="000000" w:themeColor="text1"/>
          <w:sz w:val="24"/>
          <w:szCs w:val="24"/>
        </w:rPr>
        <w:t>y</w:t>
      </w:r>
      <w:r w:rsidRPr="00AB06F3">
        <w:rPr>
          <w:rFonts w:ascii="Verdana" w:eastAsia="Verdana" w:hAnsi="Verdana" w:cs="Arial"/>
          <w:color w:val="000000" w:themeColor="text1"/>
          <w:sz w:val="24"/>
          <w:szCs w:val="24"/>
        </w:rPr>
        <w:t xml:space="preserve"> </w:t>
      </w:r>
      <w:r w:rsidR="008D00FE">
        <w:rPr>
          <w:rFonts w:ascii="Verdana" w:hAnsi="Verdana"/>
          <w:color w:val="000000" w:themeColor="text1"/>
          <w:sz w:val="24"/>
          <w:szCs w:val="24"/>
        </w:rPr>
        <w:t>beneficiarios</w:t>
      </w:r>
    </w:p>
    <w:p w14:paraId="29F80FDA" w14:textId="77777777" w:rsidR="00C41E57" w:rsidRDefault="00C41E57" w:rsidP="00C41E57">
      <w:pPr>
        <w:pStyle w:val="Prrafodelista"/>
        <w:spacing w:after="0" w:line="276" w:lineRule="auto"/>
        <w:jc w:val="both"/>
        <w:rPr>
          <w:rFonts w:ascii="Verdana" w:eastAsia="Verdana" w:hAnsi="Verdana" w:cs="Arial"/>
          <w:color w:val="000000" w:themeColor="text1"/>
          <w:sz w:val="24"/>
          <w:szCs w:val="24"/>
        </w:rPr>
      </w:pPr>
    </w:p>
    <w:p w14:paraId="5CDF2439" w14:textId="5136205B" w:rsidR="009F6F35" w:rsidRPr="009F6F35" w:rsidRDefault="009F6F35" w:rsidP="009F6F35">
      <w:pPr>
        <w:pStyle w:val="Descripcin"/>
        <w:keepNext/>
        <w:jc w:val="center"/>
        <w:rPr>
          <w:rFonts w:ascii="Verdana" w:eastAsia="Verdana" w:hAnsi="Verdana" w:cs="Arial"/>
          <w:i w:val="0"/>
          <w:iCs w:val="0"/>
          <w:color w:val="000000" w:themeColor="text1"/>
        </w:rPr>
      </w:pPr>
      <w:bookmarkStart w:id="19" w:name="_Toc225283128"/>
      <w:r w:rsidRPr="009F6F35">
        <w:rPr>
          <w:rFonts w:ascii="Verdana" w:eastAsia="Verdana" w:hAnsi="Verdana" w:cs="Arial"/>
          <w:i w:val="0"/>
          <w:iCs w:val="0"/>
          <w:color w:val="000000" w:themeColor="text1"/>
        </w:rPr>
        <w:t xml:space="preserve">Tabla </w:t>
      </w:r>
      <w:r w:rsidRPr="009F6F35">
        <w:rPr>
          <w:rFonts w:ascii="Verdana" w:eastAsia="Verdana" w:hAnsi="Verdana" w:cs="Arial"/>
          <w:i w:val="0"/>
          <w:iCs w:val="0"/>
          <w:color w:val="000000" w:themeColor="text1"/>
        </w:rPr>
        <w:fldChar w:fldCharType="begin"/>
      </w:r>
      <w:r w:rsidRPr="009F6F35">
        <w:rPr>
          <w:rFonts w:ascii="Verdana" w:eastAsia="Verdana" w:hAnsi="Verdana" w:cs="Arial"/>
          <w:i w:val="0"/>
          <w:iCs w:val="0"/>
          <w:color w:val="000000" w:themeColor="text1"/>
        </w:rPr>
        <w:instrText xml:space="preserve"> SEQ Tabla \* ARABIC </w:instrText>
      </w:r>
      <w:r w:rsidRPr="009F6F35">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16</w:t>
      </w:r>
      <w:r w:rsidRPr="009F6F35">
        <w:rPr>
          <w:rFonts w:ascii="Verdana" w:eastAsia="Verdana" w:hAnsi="Verdana" w:cs="Arial"/>
          <w:i w:val="0"/>
          <w:iCs w:val="0"/>
          <w:color w:val="000000" w:themeColor="text1"/>
        </w:rPr>
        <w:fldChar w:fldCharType="end"/>
      </w:r>
      <w:r w:rsidRPr="009F6F35">
        <w:rPr>
          <w:rFonts w:ascii="Verdana" w:eastAsia="Verdana" w:hAnsi="Verdana" w:cs="Arial"/>
          <w:i w:val="0"/>
          <w:iCs w:val="0"/>
          <w:color w:val="000000" w:themeColor="text1"/>
        </w:rPr>
        <w:t>. Detalle de regionalización del indicador C.210.N</w:t>
      </w:r>
      <w:bookmarkEnd w:id="19"/>
    </w:p>
    <w:tbl>
      <w:tblPr>
        <w:tblStyle w:val="Tablaconcuadrcula1clara-nfasis4"/>
        <w:tblW w:w="0" w:type="auto"/>
        <w:jc w:val="center"/>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2405"/>
        <w:gridCol w:w="1667"/>
        <w:gridCol w:w="1276"/>
        <w:gridCol w:w="1392"/>
        <w:gridCol w:w="1591"/>
      </w:tblGrid>
      <w:tr w:rsidR="009F6F35" w:rsidRPr="00330B02" w14:paraId="6D4D0A95" w14:textId="77777777" w:rsidTr="005F457D">
        <w:trPr>
          <w:cnfStyle w:val="100000000000" w:firstRow="1" w:lastRow="0" w:firstColumn="0" w:lastColumn="0" w:oddVBand="0" w:evenVBand="0" w:oddHBand="0" w:evenHBand="0" w:firstRowFirstColumn="0" w:firstRowLastColumn="0" w:lastRowFirstColumn="0" w:lastRowLastColumn="0"/>
          <w:trHeight w:val="697"/>
          <w:jc w:val="center"/>
        </w:trPr>
        <w:tc>
          <w:tcPr>
            <w:cnfStyle w:val="001000000000" w:firstRow="0" w:lastRow="0" w:firstColumn="1" w:lastColumn="0" w:oddVBand="0" w:evenVBand="0" w:oddHBand="0" w:evenHBand="0" w:firstRowFirstColumn="0" w:firstRowLastColumn="0" w:lastRowFirstColumn="0" w:lastRowLastColumn="0"/>
            <w:tcW w:w="2405" w:type="dxa"/>
          </w:tcPr>
          <w:p w14:paraId="664C1737" w14:textId="77777777" w:rsidR="009F6F35" w:rsidRPr="00330B02" w:rsidRDefault="009F6F35" w:rsidP="005F457D">
            <w:pPr>
              <w:jc w:val="center"/>
              <w:rPr>
                <w:rFonts w:ascii="Verdana" w:hAnsi="Verdana"/>
                <w:b w:val="0"/>
                <w:color w:val="000000" w:themeColor="text1"/>
                <w:sz w:val="18"/>
                <w:szCs w:val="18"/>
              </w:rPr>
            </w:pPr>
          </w:p>
          <w:p w14:paraId="10237C91" w14:textId="77777777" w:rsidR="009F6F35" w:rsidRPr="00330B02" w:rsidRDefault="009F6F35" w:rsidP="005F457D">
            <w:pPr>
              <w:jc w:val="center"/>
              <w:rPr>
                <w:rFonts w:ascii="Verdana" w:hAnsi="Verdana"/>
                <w:b w:val="0"/>
                <w:sz w:val="18"/>
                <w:szCs w:val="18"/>
              </w:rPr>
            </w:pPr>
            <w:r w:rsidRPr="00330B02">
              <w:rPr>
                <w:rFonts w:ascii="Verdana" w:hAnsi="Verdana"/>
                <w:b w:val="0"/>
                <w:color w:val="000000" w:themeColor="text1"/>
                <w:sz w:val="18"/>
                <w:szCs w:val="18"/>
              </w:rPr>
              <w:t>Indicador del PMI</w:t>
            </w:r>
          </w:p>
        </w:tc>
        <w:tc>
          <w:tcPr>
            <w:tcW w:w="1667" w:type="dxa"/>
            <w:vAlign w:val="center"/>
          </w:tcPr>
          <w:p w14:paraId="3C6E6E9D" w14:textId="77777777" w:rsidR="009F6F35" w:rsidRPr="00330B02" w:rsidRDefault="009F6F35"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Departamento</w:t>
            </w:r>
          </w:p>
        </w:tc>
        <w:tc>
          <w:tcPr>
            <w:tcW w:w="1276" w:type="dxa"/>
            <w:vAlign w:val="center"/>
          </w:tcPr>
          <w:p w14:paraId="73964FC1" w14:textId="77777777" w:rsidR="009F6F35" w:rsidRPr="00330B02" w:rsidRDefault="009F6F35"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Municipio</w:t>
            </w:r>
          </w:p>
        </w:tc>
        <w:tc>
          <w:tcPr>
            <w:tcW w:w="1392" w:type="dxa"/>
            <w:vAlign w:val="center"/>
          </w:tcPr>
          <w:p w14:paraId="687E8D55" w14:textId="77777777" w:rsidR="009F6F35" w:rsidRPr="00330B02" w:rsidRDefault="009F6F35"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sz w:val="18"/>
                <w:szCs w:val="18"/>
              </w:rPr>
            </w:pPr>
            <w:r w:rsidRPr="680D215C">
              <w:rPr>
                <w:rFonts w:ascii="Verdana" w:hAnsi="Verdana"/>
                <w:b w:val="0"/>
                <w:bCs w:val="0"/>
                <w:sz w:val="18"/>
                <w:szCs w:val="18"/>
              </w:rPr>
              <w:t>Total Población Beneficiada</w:t>
            </w:r>
          </w:p>
        </w:tc>
        <w:tc>
          <w:tcPr>
            <w:tcW w:w="1591" w:type="dxa"/>
            <w:vAlign w:val="center"/>
          </w:tcPr>
          <w:p w14:paraId="5A00D736" w14:textId="3C3B1575" w:rsidR="009F6F35" w:rsidRPr="00330B02" w:rsidRDefault="009F6F35"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Clasificación poblacional</w:t>
            </w:r>
          </w:p>
        </w:tc>
      </w:tr>
      <w:tr w:rsidR="009F6F35" w:rsidRPr="00330B02" w14:paraId="3F07031B" w14:textId="77777777" w:rsidTr="005F457D">
        <w:trPr>
          <w:trHeight w:val="1394"/>
          <w:jc w:val="center"/>
        </w:trPr>
        <w:tc>
          <w:tcPr>
            <w:cnfStyle w:val="001000000000" w:firstRow="0" w:lastRow="0" w:firstColumn="1" w:lastColumn="0" w:oddVBand="0" w:evenVBand="0" w:oddHBand="0" w:evenHBand="0" w:firstRowFirstColumn="0" w:firstRowLastColumn="0" w:lastRowFirstColumn="0" w:lastRowLastColumn="0"/>
            <w:tcW w:w="2405" w:type="dxa"/>
          </w:tcPr>
          <w:p w14:paraId="3F9BD969" w14:textId="6D7C5CAB" w:rsidR="009F6F35" w:rsidRPr="009F6F35" w:rsidRDefault="009F6F35" w:rsidP="009F6F35">
            <w:pPr>
              <w:rPr>
                <w:rFonts w:ascii="Verdana" w:hAnsi="Verdana"/>
                <w:b w:val="0"/>
                <w:bCs w:val="0"/>
                <w:sz w:val="18"/>
                <w:szCs w:val="18"/>
              </w:rPr>
            </w:pPr>
            <w:r w:rsidRPr="009F6F35">
              <w:rPr>
                <w:rFonts w:ascii="Verdana" w:eastAsia="Verdana" w:hAnsi="Verdana" w:cs="Arial"/>
                <w:b w:val="0"/>
                <w:bCs w:val="0"/>
                <w:color w:val="000000" w:themeColor="text1"/>
                <w:sz w:val="18"/>
                <w:szCs w:val="18"/>
              </w:rPr>
              <w:t>C.210.N Programa de Reunificación Familiar, implementado</w:t>
            </w:r>
          </w:p>
          <w:p w14:paraId="1867ECB1" w14:textId="3A02314F" w:rsidR="009F6F35" w:rsidRPr="00330B02" w:rsidRDefault="009F6F35" w:rsidP="005F457D">
            <w:pPr>
              <w:jc w:val="center"/>
              <w:rPr>
                <w:rFonts w:ascii="Verdana" w:hAnsi="Verdana"/>
                <w:b w:val="0"/>
                <w:sz w:val="18"/>
                <w:szCs w:val="18"/>
              </w:rPr>
            </w:pPr>
          </w:p>
        </w:tc>
        <w:tc>
          <w:tcPr>
            <w:tcW w:w="1667" w:type="dxa"/>
            <w:vAlign w:val="center"/>
          </w:tcPr>
          <w:p w14:paraId="5836182E" w14:textId="77777777" w:rsidR="009F6F35" w:rsidRDefault="003A73A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Valle del Cauca</w:t>
            </w:r>
          </w:p>
          <w:p w14:paraId="7C11559A" w14:textId="77777777" w:rsidR="00B232C6"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65EFEEE2" w14:textId="540B8850" w:rsidR="00B232C6" w:rsidRPr="00330B02"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Arauca</w:t>
            </w:r>
          </w:p>
        </w:tc>
        <w:tc>
          <w:tcPr>
            <w:tcW w:w="1276" w:type="dxa"/>
            <w:vAlign w:val="center"/>
          </w:tcPr>
          <w:p w14:paraId="1C970846" w14:textId="77777777" w:rsidR="009F6F35" w:rsidRDefault="003A73A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Santiago de Cali</w:t>
            </w:r>
          </w:p>
          <w:p w14:paraId="4EC932FF" w14:textId="77777777" w:rsidR="00B232C6"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40AC30DD" w14:textId="3CEAB269" w:rsidR="00B232C6" w:rsidRPr="00330B02"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Arauquita</w:t>
            </w:r>
          </w:p>
        </w:tc>
        <w:tc>
          <w:tcPr>
            <w:tcW w:w="1392" w:type="dxa"/>
            <w:vAlign w:val="center"/>
          </w:tcPr>
          <w:p w14:paraId="17A7F7A6" w14:textId="77777777" w:rsidR="009F6F35" w:rsidRDefault="009F6F35" w:rsidP="003A73A6">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330B02">
              <w:rPr>
                <w:rFonts w:ascii="Verdana" w:hAnsi="Verdana"/>
                <w:sz w:val="18"/>
                <w:szCs w:val="18"/>
              </w:rPr>
              <w:t>1</w:t>
            </w:r>
          </w:p>
          <w:p w14:paraId="69663A3F" w14:textId="77777777" w:rsidR="00B232C6" w:rsidRDefault="00B232C6" w:rsidP="003A73A6">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0378ADD6" w14:textId="5EE2A252" w:rsidR="00B232C6" w:rsidRPr="00330B02" w:rsidRDefault="00B232C6" w:rsidP="003A73A6">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1</w:t>
            </w:r>
          </w:p>
        </w:tc>
        <w:tc>
          <w:tcPr>
            <w:tcW w:w="1591" w:type="dxa"/>
            <w:vAlign w:val="center"/>
          </w:tcPr>
          <w:p w14:paraId="0C559ACF" w14:textId="20618C56" w:rsidR="009F6F35" w:rsidRPr="00330B02" w:rsidRDefault="00B232C6"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2</w:t>
            </w:r>
            <w:r w:rsidR="009F6F35" w:rsidRPr="00330B02">
              <w:rPr>
                <w:rFonts w:ascii="Verdana" w:hAnsi="Verdana"/>
                <w:sz w:val="18"/>
                <w:szCs w:val="18"/>
              </w:rPr>
              <w:t xml:space="preserve"> hombres</w:t>
            </w:r>
          </w:p>
          <w:p w14:paraId="4B20A92D" w14:textId="77777777" w:rsidR="009F6F35" w:rsidRPr="00330B02" w:rsidRDefault="009F6F35" w:rsidP="005F457D">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tc>
      </w:tr>
    </w:tbl>
    <w:p w14:paraId="66484E50" w14:textId="77777777" w:rsidR="00C41E57" w:rsidRPr="00005CEA" w:rsidRDefault="00C41E57" w:rsidP="00C41E57">
      <w:pPr>
        <w:pStyle w:val="Prrafodelista"/>
        <w:spacing w:after="0" w:line="276" w:lineRule="auto"/>
        <w:jc w:val="both"/>
        <w:rPr>
          <w:rFonts w:ascii="Verdana" w:eastAsia="Calibri" w:hAnsi="Verdana" w:cs="Arial"/>
        </w:rPr>
      </w:pPr>
    </w:p>
    <w:p w14:paraId="7EF148C5" w14:textId="77777777" w:rsidR="00C41E57" w:rsidRPr="00AB06F3" w:rsidRDefault="00C41E57" w:rsidP="00164ED5">
      <w:pPr>
        <w:pStyle w:val="Prrafodelista"/>
        <w:numPr>
          <w:ilvl w:val="0"/>
          <w:numId w:val="16"/>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1553E51F" w14:textId="4095E388" w:rsidR="0088645E" w:rsidRPr="0088645E" w:rsidRDefault="0088645E" w:rsidP="0088645E">
      <w:pPr>
        <w:pStyle w:val="Descripcin"/>
        <w:keepNext/>
        <w:jc w:val="center"/>
        <w:rPr>
          <w:rFonts w:ascii="Verdana" w:eastAsia="Verdana" w:hAnsi="Verdana" w:cs="Arial"/>
          <w:i w:val="0"/>
          <w:iCs w:val="0"/>
          <w:color w:val="000000" w:themeColor="text1"/>
        </w:rPr>
      </w:pPr>
      <w:bookmarkStart w:id="20" w:name="_Toc225283129"/>
      <w:r w:rsidRPr="0088645E">
        <w:rPr>
          <w:rFonts w:ascii="Verdana" w:eastAsia="Verdana" w:hAnsi="Verdana" w:cs="Arial"/>
          <w:i w:val="0"/>
          <w:iCs w:val="0"/>
          <w:color w:val="000000" w:themeColor="text1"/>
        </w:rPr>
        <w:t xml:space="preserve">Tabla </w:t>
      </w:r>
      <w:r w:rsidRPr="0088645E">
        <w:rPr>
          <w:rFonts w:ascii="Verdana" w:eastAsia="Verdana" w:hAnsi="Verdana" w:cs="Arial"/>
          <w:i w:val="0"/>
          <w:iCs w:val="0"/>
          <w:color w:val="000000" w:themeColor="text1"/>
        </w:rPr>
        <w:fldChar w:fldCharType="begin"/>
      </w:r>
      <w:r w:rsidRPr="0088645E">
        <w:rPr>
          <w:rFonts w:ascii="Verdana" w:eastAsia="Verdana" w:hAnsi="Verdana" w:cs="Arial"/>
          <w:i w:val="0"/>
          <w:iCs w:val="0"/>
          <w:color w:val="000000" w:themeColor="text1"/>
        </w:rPr>
        <w:instrText xml:space="preserve"> SEQ Tabla \* ARABIC </w:instrText>
      </w:r>
      <w:r w:rsidRPr="0088645E">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17</w:t>
      </w:r>
      <w:r w:rsidRPr="0088645E">
        <w:rPr>
          <w:rFonts w:ascii="Verdana" w:eastAsia="Verdana" w:hAnsi="Verdana" w:cs="Arial"/>
          <w:i w:val="0"/>
          <w:iCs w:val="0"/>
          <w:color w:val="000000" w:themeColor="text1"/>
        </w:rPr>
        <w:fldChar w:fldCharType="end"/>
      </w:r>
      <w:r w:rsidRPr="0088645E">
        <w:rPr>
          <w:rFonts w:ascii="Verdana" w:eastAsia="Verdana" w:hAnsi="Verdana" w:cs="Arial"/>
          <w:i w:val="0"/>
          <w:iCs w:val="0"/>
          <w:color w:val="000000" w:themeColor="text1"/>
        </w:rPr>
        <w:t>. Desafíos y retos del indicador C.210.N</w:t>
      </w:r>
      <w:bookmarkEnd w:id="20"/>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00C41E57" w:rsidRPr="00AB06F3" w14:paraId="66D00476" w14:textId="77777777" w:rsidTr="005F457D">
        <w:trPr>
          <w:trHeight w:val="300"/>
          <w:tblHeader/>
        </w:trPr>
        <w:tc>
          <w:tcPr>
            <w:tcW w:w="1408" w:type="dxa"/>
            <w:tcMar>
              <w:left w:w="108" w:type="dxa"/>
              <w:right w:w="108" w:type="dxa"/>
            </w:tcMar>
          </w:tcPr>
          <w:p w14:paraId="510238B9"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5D46DF48"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02F0B157"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2040FF" w:rsidRPr="00AB06F3" w14:paraId="56ACE09A" w14:textId="77777777" w:rsidTr="005F457D">
        <w:trPr>
          <w:trHeight w:val="300"/>
        </w:trPr>
        <w:tc>
          <w:tcPr>
            <w:tcW w:w="1408" w:type="dxa"/>
            <w:tcMar>
              <w:left w:w="108" w:type="dxa"/>
              <w:right w:w="108" w:type="dxa"/>
            </w:tcMar>
          </w:tcPr>
          <w:p w14:paraId="55480300" w14:textId="7B35B0CC" w:rsidR="002040FF" w:rsidRPr="002040FF" w:rsidRDefault="002040FF" w:rsidP="00187721">
            <w:pPr>
              <w:spacing w:line="276" w:lineRule="auto"/>
              <w:jc w:val="both"/>
              <w:rPr>
                <w:rFonts w:ascii="Verdana" w:eastAsia="Verdana" w:hAnsi="Verdana" w:cs="Arial"/>
                <w:color w:val="000000" w:themeColor="text1"/>
                <w:sz w:val="18"/>
                <w:szCs w:val="18"/>
              </w:rPr>
            </w:pPr>
            <w:r w:rsidRPr="002040FF">
              <w:rPr>
                <w:rFonts w:ascii="Verdana" w:hAnsi="Verdana"/>
                <w:color w:val="000000" w:themeColor="text1"/>
                <w:sz w:val="18"/>
                <w:szCs w:val="18"/>
              </w:rPr>
              <w:t>Seguridad.</w:t>
            </w:r>
          </w:p>
        </w:tc>
        <w:tc>
          <w:tcPr>
            <w:tcW w:w="3265" w:type="dxa"/>
            <w:tcMar>
              <w:left w:w="108" w:type="dxa"/>
              <w:right w:w="108" w:type="dxa"/>
            </w:tcMar>
          </w:tcPr>
          <w:p w14:paraId="46A80991" w14:textId="1A378022" w:rsidR="002040FF" w:rsidRPr="002040FF" w:rsidRDefault="002040FF" w:rsidP="00187721">
            <w:pPr>
              <w:spacing w:line="276" w:lineRule="auto"/>
              <w:jc w:val="both"/>
              <w:rPr>
                <w:rFonts w:ascii="Verdana" w:eastAsia="Verdana" w:hAnsi="Verdana" w:cs="Arial"/>
                <w:color w:val="000000" w:themeColor="text1"/>
                <w:sz w:val="18"/>
                <w:szCs w:val="18"/>
              </w:rPr>
            </w:pPr>
            <w:r w:rsidRPr="002040FF">
              <w:rPr>
                <w:rFonts w:ascii="Verdana" w:eastAsia="Verdana" w:hAnsi="Verdana" w:cs="Arial"/>
                <w:color w:val="000000" w:themeColor="text1"/>
                <w:sz w:val="18"/>
                <w:szCs w:val="18"/>
              </w:rPr>
              <w:t xml:space="preserve">La dispersión geográfica de la población vinculada </w:t>
            </w:r>
            <w:r w:rsidR="00337EB5" w:rsidRPr="00337EB5">
              <w:rPr>
                <w:rFonts w:ascii="Verdana" w:eastAsia="Verdana" w:hAnsi="Verdana" w:cs="Arial"/>
                <w:color w:val="000000" w:themeColor="text1"/>
                <w:sz w:val="18"/>
                <w:szCs w:val="18"/>
              </w:rPr>
              <w:t xml:space="preserve">al Programa de Reunificación Familiar dificultó el desarrollo de las actividades presenciales previstas en la ruta de atención. Adicionalmente, en algunos territorios se presentaron situaciones de seguridad, asociadas a hechos delictivos como ataques armados en municipios donde debían desplazarse tanto las personas </w:t>
            </w:r>
            <w:r w:rsidR="00337EB5" w:rsidRPr="00337EB5">
              <w:rPr>
                <w:rFonts w:ascii="Verdana" w:eastAsia="Verdana" w:hAnsi="Verdana" w:cs="Arial"/>
                <w:color w:val="000000" w:themeColor="text1"/>
                <w:sz w:val="18"/>
                <w:szCs w:val="18"/>
              </w:rPr>
              <w:lastRenderedPageBreak/>
              <w:t>solicitantes como los profesionales que acompañan el proceso, lo cual limitó la asistencia y la realización de encuentros presenciales.</w:t>
            </w:r>
          </w:p>
        </w:tc>
        <w:tc>
          <w:tcPr>
            <w:tcW w:w="4155" w:type="dxa"/>
            <w:tcMar>
              <w:left w:w="108" w:type="dxa"/>
              <w:right w:w="108" w:type="dxa"/>
            </w:tcMar>
          </w:tcPr>
          <w:p w14:paraId="078800F9" w14:textId="5C6B9DE8" w:rsidR="002040FF" w:rsidRDefault="003537D4" w:rsidP="00187721">
            <w:pPr>
              <w:spacing w:line="276" w:lineRule="auto"/>
              <w:jc w:val="both"/>
              <w:rPr>
                <w:rFonts w:ascii="Verdana" w:hAnsi="Verdana"/>
                <w:color w:val="000000" w:themeColor="text1"/>
                <w:sz w:val="18"/>
                <w:szCs w:val="18"/>
              </w:rPr>
            </w:pPr>
            <w:r w:rsidRPr="003537D4">
              <w:rPr>
                <w:rFonts w:ascii="Verdana" w:hAnsi="Verdana"/>
                <w:color w:val="000000" w:themeColor="text1"/>
                <w:sz w:val="18"/>
                <w:szCs w:val="18"/>
              </w:rPr>
              <w:lastRenderedPageBreak/>
              <w:t xml:space="preserve">Se habilitaron espacios de acompañamiento en lugares centralizados, tales como oficinas de los Grupos Territoriales, bibliotecas y otros espacios comunitarios, previa concertación con las personas solicitantes, con el fin de garantizar la continuidad de los procesos de acompañamiento. </w:t>
            </w:r>
          </w:p>
          <w:p w14:paraId="10278E1C" w14:textId="77777777" w:rsidR="003537D4" w:rsidRPr="002040FF" w:rsidRDefault="003537D4" w:rsidP="00187721">
            <w:pPr>
              <w:spacing w:line="276" w:lineRule="auto"/>
              <w:jc w:val="both"/>
              <w:rPr>
                <w:rFonts w:ascii="Verdana" w:hAnsi="Verdana"/>
                <w:color w:val="000000" w:themeColor="text1"/>
                <w:sz w:val="18"/>
                <w:szCs w:val="18"/>
              </w:rPr>
            </w:pPr>
          </w:p>
          <w:p w14:paraId="3BE32A7F" w14:textId="57C1CC0B" w:rsidR="002040FF" w:rsidRDefault="003537D4" w:rsidP="00187721">
            <w:pPr>
              <w:spacing w:line="276" w:lineRule="auto"/>
              <w:jc w:val="both"/>
              <w:rPr>
                <w:rFonts w:ascii="Verdana" w:hAnsi="Verdana"/>
                <w:color w:val="000000" w:themeColor="text1"/>
                <w:sz w:val="18"/>
                <w:szCs w:val="18"/>
              </w:rPr>
            </w:pPr>
            <w:r w:rsidRPr="003537D4">
              <w:rPr>
                <w:rFonts w:ascii="Verdana" w:hAnsi="Verdana"/>
                <w:color w:val="000000" w:themeColor="text1"/>
                <w:sz w:val="18"/>
                <w:szCs w:val="18"/>
              </w:rPr>
              <w:t xml:space="preserve">Asimismo, los profesionales de la dupla psicosocial del Programa de Reunificación Familiar realizaron desplazamientos </w:t>
            </w:r>
            <w:r w:rsidRPr="003537D4">
              <w:rPr>
                <w:rFonts w:ascii="Verdana" w:hAnsi="Verdana"/>
                <w:color w:val="000000" w:themeColor="text1"/>
                <w:sz w:val="18"/>
                <w:szCs w:val="18"/>
              </w:rPr>
              <w:lastRenderedPageBreak/>
              <w:t xml:space="preserve">focalizados hacia municipios con mayor dispersión territorial, procurando minimizar los riesgos para las personas solicitantes y para el equipo profesional. </w:t>
            </w:r>
          </w:p>
          <w:p w14:paraId="3F65A503" w14:textId="77777777" w:rsidR="003537D4" w:rsidRPr="002040FF" w:rsidRDefault="003537D4" w:rsidP="00187721">
            <w:pPr>
              <w:spacing w:line="276" w:lineRule="auto"/>
              <w:jc w:val="both"/>
              <w:rPr>
                <w:rFonts w:ascii="Verdana" w:hAnsi="Verdana"/>
                <w:color w:val="000000" w:themeColor="text1"/>
                <w:sz w:val="18"/>
                <w:szCs w:val="18"/>
              </w:rPr>
            </w:pPr>
          </w:p>
          <w:p w14:paraId="3783CF1A" w14:textId="74E17281" w:rsidR="002040FF" w:rsidRPr="002040FF" w:rsidRDefault="00CA5B21" w:rsidP="00187721">
            <w:pPr>
              <w:spacing w:line="276" w:lineRule="auto"/>
              <w:jc w:val="both"/>
              <w:rPr>
                <w:rFonts w:ascii="Verdana" w:eastAsia="Verdana" w:hAnsi="Verdana" w:cs="Arial"/>
                <w:color w:val="000000" w:themeColor="text1"/>
                <w:sz w:val="18"/>
                <w:szCs w:val="18"/>
              </w:rPr>
            </w:pPr>
            <w:r w:rsidRPr="00CA5B21">
              <w:rPr>
                <w:rFonts w:ascii="Verdana" w:hAnsi="Verdana"/>
                <w:color w:val="000000" w:themeColor="text1"/>
                <w:sz w:val="18"/>
                <w:szCs w:val="18"/>
              </w:rPr>
              <w:t>De igual manera, se concertaron previamente las fechas de atención con el propósito de optimizar los tiempos de acompañamiento y se fortaleció la articulación con los Grupos Territoriales para aprovechar jornadas de atención masiva, facilitando así la participación de las personas vinculadas al programa.</w:t>
            </w:r>
          </w:p>
        </w:tc>
      </w:tr>
    </w:tbl>
    <w:p w14:paraId="3C5DDCEC" w14:textId="673971A6" w:rsidR="00C41E57" w:rsidRDefault="00C41E5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lastRenderedPageBreak/>
        <w:t xml:space="preserve">Producto: </w:t>
      </w:r>
      <w:r w:rsidR="008268F1" w:rsidRPr="008268F1">
        <w:rPr>
          <w:rFonts w:ascii="Verdana" w:eastAsia="Verdana" w:hAnsi="Verdana" w:cs="Arial"/>
          <w:b/>
          <w:bCs/>
          <w:color w:val="000000" w:themeColor="text1"/>
          <w:sz w:val="24"/>
          <w:szCs w:val="24"/>
        </w:rPr>
        <w:t>Garantías para una reincorporación económica y social sostenible</w:t>
      </w:r>
    </w:p>
    <w:p w14:paraId="5DEA6372" w14:textId="77777777" w:rsidR="00FB1C4A" w:rsidRDefault="00FB1C4A" w:rsidP="00FB1C4A">
      <w:pPr>
        <w:pStyle w:val="Prrafodelista"/>
        <w:spacing w:before="240" w:after="0" w:line="276" w:lineRule="auto"/>
        <w:ind w:left="1080"/>
        <w:rPr>
          <w:rFonts w:ascii="Verdana" w:eastAsia="Verdana" w:hAnsi="Verdana" w:cs="Arial"/>
          <w:b/>
          <w:bCs/>
          <w:color w:val="000000" w:themeColor="text1"/>
          <w:sz w:val="24"/>
          <w:szCs w:val="24"/>
        </w:rPr>
      </w:pPr>
    </w:p>
    <w:p w14:paraId="52F3DA16" w14:textId="77777777" w:rsidR="00230F4C" w:rsidRDefault="00230F4C" w:rsidP="009D294E">
      <w:pPr>
        <w:spacing w:after="0" w:line="276" w:lineRule="auto"/>
        <w:rPr>
          <w:rFonts w:ascii="Verdana" w:eastAsia="Verdana" w:hAnsi="Verdana" w:cs="Arial"/>
          <w:color w:val="000000" w:themeColor="text1"/>
          <w:sz w:val="24"/>
          <w:szCs w:val="24"/>
        </w:rPr>
      </w:pPr>
      <w:r w:rsidRPr="00230F4C">
        <w:rPr>
          <w:rFonts w:ascii="Verdana" w:eastAsia="Verdana" w:hAnsi="Verdana" w:cs="Arial"/>
          <w:b/>
          <w:bCs/>
          <w:color w:val="000000" w:themeColor="text1"/>
          <w:sz w:val="24"/>
          <w:szCs w:val="24"/>
        </w:rPr>
        <w:t xml:space="preserve">C.212.N </w:t>
      </w:r>
      <w:r w:rsidRPr="00230F4C">
        <w:rPr>
          <w:rFonts w:ascii="Verdana" w:eastAsia="Verdana" w:hAnsi="Verdana" w:cs="Arial"/>
          <w:color w:val="000000" w:themeColor="text1"/>
          <w:sz w:val="24"/>
          <w:szCs w:val="24"/>
        </w:rPr>
        <w:t xml:space="preserve">Sistema Nacional de Reincorporación en funcionamiento </w:t>
      </w:r>
    </w:p>
    <w:p w14:paraId="0AEC0CC8" w14:textId="77777777" w:rsidR="009D294E" w:rsidRDefault="009D294E" w:rsidP="009D294E">
      <w:pPr>
        <w:spacing w:after="0" w:line="276" w:lineRule="auto"/>
        <w:rPr>
          <w:rFonts w:ascii="Verdana" w:eastAsia="Verdana" w:hAnsi="Verdana" w:cs="Arial"/>
          <w:b/>
          <w:bCs/>
          <w:color w:val="000000" w:themeColor="text1"/>
          <w:sz w:val="24"/>
          <w:szCs w:val="24"/>
        </w:rPr>
      </w:pPr>
    </w:p>
    <w:p w14:paraId="49DA80D5" w14:textId="041414C3" w:rsidR="009D294E" w:rsidRPr="009D294E" w:rsidRDefault="009D294E" w:rsidP="009D294E">
      <w:pPr>
        <w:pStyle w:val="Descripcin"/>
        <w:keepNext/>
        <w:jc w:val="center"/>
        <w:rPr>
          <w:rFonts w:ascii="Verdana" w:eastAsia="Verdana" w:hAnsi="Verdana" w:cs="Arial"/>
          <w:i w:val="0"/>
          <w:iCs w:val="0"/>
          <w:color w:val="000000" w:themeColor="text1"/>
        </w:rPr>
      </w:pPr>
      <w:bookmarkStart w:id="21" w:name="_Toc225283130"/>
      <w:r w:rsidRPr="009D294E">
        <w:rPr>
          <w:rFonts w:ascii="Verdana" w:eastAsia="Verdana" w:hAnsi="Verdana" w:cs="Arial"/>
          <w:i w:val="0"/>
          <w:iCs w:val="0"/>
          <w:color w:val="000000" w:themeColor="text1"/>
        </w:rPr>
        <w:t xml:space="preserve">Tabla </w:t>
      </w:r>
      <w:r w:rsidRPr="009D294E">
        <w:rPr>
          <w:rFonts w:ascii="Verdana" w:eastAsia="Verdana" w:hAnsi="Verdana" w:cs="Arial"/>
          <w:i w:val="0"/>
          <w:iCs w:val="0"/>
          <w:color w:val="000000" w:themeColor="text1"/>
        </w:rPr>
        <w:fldChar w:fldCharType="begin"/>
      </w:r>
      <w:r w:rsidRPr="009D294E">
        <w:rPr>
          <w:rFonts w:ascii="Verdana" w:eastAsia="Verdana" w:hAnsi="Verdana" w:cs="Arial"/>
          <w:i w:val="0"/>
          <w:iCs w:val="0"/>
          <w:color w:val="000000" w:themeColor="text1"/>
        </w:rPr>
        <w:instrText xml:space="preserve"> SEQ Tabla \* ARABIC </w:instrText>
      </w:r>
      <w:r w:rsidRPr="009D294E">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18</w:t>
      </w:r>
      <w:r w:rsidRPr="009D294E">
        <w:rPr>
          <w:rFonts w:ascii="Verdana" w:eastAsia="Verdana" w:hAnsi="Verdana" w:cs="Arial"/>
          <w:i w:val="0"/>
          <w:iCs w:val="0"/>
          <w:color w:val="000000" w:themeColor="text1"/>
        </w:rPr>
        <w:fldChar w:fldCharType="end"/>
      </w:r>
      <w:r w:rsidRPr="009D294E">
        <w:rPr>
          <w:rFonts w:ascii="Verdana" w:eastAsia="Verdana" w:hAnsi="Verdana" w:cs="Arial"/>
          <w:i w:val="0"/>
          <w:iCs w:val="0"/>
          <w:color w:val="000000" w:themeColor="text1"/>
        </w:rPr>
        <w:t>. Detalle de avance en el indicador C.212.N</w:t>
      </w:r>
      <w:bookmarkEnd w:id="21"/>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18"/>
        <w:gridCol w:w="1345"/>
        <w:gridCol w:w="1217"/>
        <w:gridCol w:w="1211"/>
        <w:gridCol w:w="1244"/>
      </w:tblGrid>
      <w:tr w:rsidR="00C41E57" w:rsidRPr="00AB06F3" w14:paraId="2FA5A7C9" w14:textId="77777777" w:rsidTr="00CA5B21">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02AE7A34" w14:textId="77777777" w:rsidR="00C41E57" w:rsidRPr="00AB06F3" w:rsidRDefault="00C41E57"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345" w:type="dxa"/>
            <w:tcMar>
              <w:left w:w="108" w:type="dxa"/>
              <w:right w:w="108" w:type="dxa"/>
            </w:tcMar>
            <w:vAlign w:val="center"/>
          </w:tcPr>
          <w:p w14:paraId="7A92C845"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6C1A05CA"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3D5CF791"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32923FC8" w14:textId="77777777" w:rsidR="00C41E57" w:rsidRPr="00AB06F3" w:rsidRDefault="00C41E57"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C41E57" w:rsidRPr="00AB06F3" w14:paraId="7DEEC754" w14:textId="77777777" w:rsidTr="00CA5B21">
        <w:trPr>
          <w:trHeight w:val="675"/>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0122927B" w14:textId="2BD225D5" w:rsidR="00C41E57" w:rsidRPr="00AB06F3" w:rsidRDefault="00230F4C" w:rsidP="00230F4C">
            <w:pPr>
              <w:spacing w:before="240" w:line="276" w:lineRule="auto"/>
              <w:rPr>
                <w:rFonts w:ascii="Verdana" w:hAnsi="Verdana" w:cs="Arial"/>
                <w:b w:val="0"/>
                <w:bCs w:val="0"/>
              </w:rPr>
            </w:pPr>
            <w:r w:rsidRPr="00230F4C">
              <w:rPr>
                <w:rFonts w:ascii="Verdana" w:eastAsia="Verdana" w:hAnsi="Verdana" w:cs="Arial"/>
                <w:b w:val="0"/>
                <w:bCs w:val="0"/>
                <w:color w:val="000000" w:themeColor="text1"/>
                <w:sz w:val="18"/>
                <w:szCs w:val="18"/>
              </w:rPr>
              <w:t xml:space="preserve">C.212.N Sistema Nacional de Reincorporación en funcionamiento </w:t>
            </w:r>
          </w:p>
        </w:tc>
        <w:tc>
          <w:tcPr>
            <w:tcW w:w="1345" w:type="dxa"/>
            <w:tcMar>
              <w:left w:w="108" w:type="dxa"/>
              <w:right w:w="108" w:type="dxa"/>
            </w:tcMar>
            <w:vAlign w:val="center"/>
          </w:tcPr>
          <w:p w14:paraId="265A1E99"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6A54A9F9"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4D09AB5B" w14:textId="77777777" w:rsidR="00C41E57" w:rsidRPr="00AB06F3"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18D5A3AB" w14:textId="78EB0C65" w:rsidR="00C41E57" w:rsidRDefault="00C41E57"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 xml:space="preserve"> </w:t>
            </w:r>
          </w:p>
          <w:p w14:paraId="56F48713" w14:textId="14E4C109" w:rsidR="00C41E57" w:rsidRPr="00AB06F3" w:rsidRDefault="00701F94"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51</w:t>
            </w:r>
            <w:r w:rsidR="00C41E57" w:rsidRPr="00AB06F3">
              <w:rPr>
                <w:rFonts w:ascii="Verdana" w:eastAsia="Verdana" w:hAnsi="Verdana" w:cs="Arial"/>
                <w:color w:val="000000" w:themeColor="text1"/>
                <w:sz w:val="18"/>
                <w:szCs w:val="18"/>
              </w:rPr>
              <w:t xml:space="preserve"> </w:t>
            </w:r>
          </w:p>
        </w:tc>
      </w:tr>
    </w:tbl>
    <w:p w14:paraId="7E1AE5D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253BF35" w14:textId="77777777" w:rsidR="00C41E57" w:rsidRDefault="00C41E57" w:rsidP="00C41E57">
      <w:pPr>
        <w:spacing w:before="240" w:after="0" w:line="276" w:lineRule="auto"/>
        <w:rPr>
          <w:rFonts w:ascii="Verdana" w:eastAsia="Verdana" w:hAnsi="Verdana" w:cs="Arial"/>
          <w:sz w:val="18"/>
          <w:szCs w:val="18"/>
        </w:rPr>
      </w:pPr>
    </w:p>
    <w:p w14:paraId="41DB3A02" w14:textId="77777777" w:rsidR="00C41E57" w:rsidRPr="00A12308" w:rsidRDefault="00C41E57" w:rsidP="00164ED5">
      <w:pPr>
        <w:pStyle w:val="Prrafodelista"/>
        <w:numPr>
          <w:ilvl w:val="0"/>
          <w:numId w:val="18"/>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35973A55" w14:textId="13FEE32B" w:rsidR="00C41E57" w:rsidRDefault="00C41E57" w:rsidP="00FB1C4A">
      <w:pPr>
        <w:spacing w:after="0" w:line="276" w:lineRule="auto"/>
        <w:jc w:val="both"/>
        <w:rPr>
          <w:rFonts w:ascii="Verdana" w:eastAsia="Verdana" w:hAnsi="Verdana" w:cs="Arial"/>
          <w:color w:val="000000" w:themeColor="text1"/>
          <w:sz w:val="18"/>
          <w:szCs w:val="18"/>
        </w:rPr>
      </w:pPr>
    </w:p>
    <w:p w14:paraId="5F4FE110" w14:textId="77777777" w:rsidR="000F02E3" w:rsidRDefault="00FB1C4A" w:rsidP="00187721">
      <w:pPr>
        <w:spacing w:after="0" w:line="276" w:lineRule="auto"/>
        <w:jc w:val="both"/>
        <w:rPr>
          <w:rFonts w:ascii="Verdana" w:eastAsia="Calibri" w:hAnsi="Verdana" w:cs="Arial"/>
        </w:rPr>
      </w:pPr>
      <w:r w:rsidRPr="00CF317F">
        <w:rPr>
          <w:rFonts w:ascii="Verdana" w:eastAsia="Calibri" w:hAnsi="Verdana" w:cs="Arial"/>
        </w:rPr>
        <w:t>Al cierre de 2025,</w:t>
      </w:r>
      <w:r w:rsidR="00727672" w:rsidRPr="00727672">
        <w:rPr>
          <w:rFonts w:ascii="Times New Roman" w:eastAsia="Times New Roman" w:hAnsi="Times New Roman" w:cs="Times New Roman"/>
          <w:kern w:val="0"/>
          <w:sz w:val="24"/>
          <w:szCs w:val="24"/>
          <w:lang w:eastAsia="es-CO"/>
          <w14:ligatures w14:val="none"/>
        </w:rPr>
        <w:t xml:space="preserve"> </w:t>
      </w:r>
      <w:r w:rsidR="00727672" w:rsidRPr="00727672">
        <w:rPr>
          <w:rFonts w:ascii="Verdana" w:eastAsia="Calibri" w:hAnsi="Verdana" w:cs="Arial"/>
        </w:rPr>
        <w:t xml:space="preserve">se desarrollaron 51 sesiones del Sistema Nacional de Reincorporación (SNR), </w:t>
      </w:r>
      <w:r w:rsidR="001B5C40">
        <w:rPr>
          <w:rFonts w:ascii="Verdana" w:eastAsia="Calibri" w:hAnsi="Verdana" w:cs="Arial"/>
        </w:rPr>
        <w:t xml:space="preserve">lo que evidencia </w:t>
      </w:r>
      <w:r w:rsidR="00727672" w:rsidRPr="00727672">
        <w:rPr>
          <w:rFonts w:ascii="Verdana" w:eastAsia="Calibri" w:hAnsi="Verdana" w:cs="Arial"/>
        </w:rPr>
        <w:t xml:space="preserve">su </w:t>
      </w:r>
      <w:r w:rsidR="001B5C40">
        <w:rPr>
          <w:rFonts w:ascii="Verdana" w:eastAsia="Calibri" w:hAnsi="Verdana" w:cs="Arial"/>
        </w:rPr>
        <w:t xml:space="preserve">proceso de </w:t>
      </w:r>
      <w:r w:rsidR="00727672" w:rsidRPr="00727672">
        <w:rPr>
          <w:rFonts w:ascii="Verdana" w:eastAsia="Calibri" w:hAnsi="Verdana" w:cs="Arial"/>
        </w:rPr>
        <w:t xml:space="preserve">consolidación </w:t>
      </w:r>
      <w:r w:rsidR="002046CB">
        <w:rPr>
          <w:rFonts w:ascii="Verdana" w:eastAsia="Calibri" w:hAnsi="Verdana" w:cs="Arial"/>
        </w:rPr>
        <w:t xml:space="preserve">institucional </w:t>
      </w:r>
      <w:r w:rsidR="00727672" w:rsidRPr="00727672">
        <w:rPr>
          <w:rFonts w:ascii="Verdana" w:eastAsia="Calibri" w:hAnsi="Verdana" w:cs="Arial"/>
        </w:rPr>
        <w:t xml:space="preserve">y la transición de la fase de planificación técnica hacia la implementación. La dinámica de trabajo incluyó 1 sesión del Comité Ejecutivo; 16 del Subcomité de Reconciliación y Construcción de Paz; 14 del Subcomité de Acceso y Atención para la Garantía de Derechos; 16 del Subcomité de Sostenibilidad Económica; y 4 sesiones técnicas del Subcomité de Articulación, Planificación y Seguimiento. </w:t>
      </w:r>
    </w:p>
    <w:p w14:paraId="6173DD9D" w14:textId="77777777" w:rsidR="000F02E3" w:rsidRDefault="000F02E3" w:rsidP="009E5C37">
      <w:pPr>
        <w:spacing w:after="0" w:line="276" w:lineRule="auto"/>
        <w:rPr>
          <w:rFonts w:ascii="Verdana" w:eastAsia="Calibri" w:hAnsi="Verdana" w:cs="Arial"/>
        </w:rPr>
      </w:pPr>
    </w:p>
    <w:p w14:paraId="2B14D8FC" w14:textId="0AA9728B" w:rsidR="00727672" w:rsidRDefault="00727672" w:rsidP="00187721">
      <w:pPr>
        <w:spacing w:after="0" w:line="276" w:lineRule="auto"/>
        <w:jc w:val="both"/>
        <w:rPr>
          <w:rFonts w:ascii="Verdana" w:eastAsia="Calibri" w:hAnsi="Verdana" w:cs="Arial"/>
        </w:rPr>
      </w:pPr>
      <w:r w:rsidRPr="00727672">
        <w:rPr>
          <w:rFonts w:ascii="Verdana" w:eastAsia="Calibri" w:hAnsi="Verdana" w:cs="Arial"/>
        </w:rPr>
        <w:t xml:space="preserve">Entre los principales avances se destacan la aprobación de los documentos rectores </w:t>
      </w:r>
      <w:r w:rsidR="001C51FD">
        <w:rPr>
          <w:rFonts w:ascii="Verdana" w:eastAsia="Calibri" w:hAnsi="Verdana" w:cs="Arial"/>
        </w:rPr>
        <w:t xml:space="preserve">del sistema </w:t>
      </w:r>
      <w:r w:rsidRPr="00727672">
        <w:rPr>
          <w:rFonts w:ascii="Verdana" w:eastAsia="Calibri" w:hAnsi="Verdana" w:cs="Arial"/>
        </w:rPr>
        <w:t xml:space="preserve">—Plan de Acción, reglamento y lineamientos técnicos— </w:t>
      </w:r>
      <w:r w:rsidR="001C51FD">
        <w:rPr>
          <w:rFonts w:ascii="Verdana" w:eastAsia="Calibri" w:hAnsi="Verdana" w:cs="Arial"/>
        </w:rPr>
        <w:t xml:space="preserve">construidos </w:t>
      </w:r>
      <w:r w:rsidRPr="00727672">
        <w:rPr>
          <w:rFonts w:ascii="Verdana" w:eastAsia="Calibri" w:hAnsi="Verdana" w:cs="Arial"/>
        </w:rPr>
        <w:t xml:space="preserve">con </w:t>
      </w:r>
      <w:r w:rsidR="001C51FD">
        <w:rPr>
          <w:rFonts w:ascii="Verdana" w:eastAsia="Calibri" w:hAnsi="Verdana" w:cs="Arial"/>
        </w:rPr>
        <w:t xml:space="preserve">la </w:t>
      </w:r>
      <w:r w:rsidRPr="00727672">
        <w:rPr>
          <w:rFonts w:ascii="Verdana" w:eastAsia="Calibri" w:hAnsi="Verdana" w:cs="Arial"/>
        </w:rPr>
        <w:t>participación de entidades clave</w:t>
      </w:r>
      <w:r w:rsidR="001C51FD">
        <w:rPr>
          <w:rFonts w:ascii="Verdana" w:eastAsia="Calibri" w:hAnsi="Verdana" w:cs="Arial"/>
        </w:rPr>
        <w:t xml:space="preserve"> del Gobierno Nacional. Asimismo, </w:t>
      </w:r>
      <w:r w:rsidR="001C51FD" w:rsidRPr="00727672">
        <w:rPr>
          <w:rFonts w:ascii="Verdana" w:eastAsia="Calibri" w:hAnsi="Verdana" w:cs="Arial"/>
        </w:rPr>
        <w:t>el 18 de junio de 2025</w:t>
      </w:r>
      <w:r w:rsidR="001C51FD">
        <w:rPr>
          <w:rFonts w:ascii="Verdana" w:eastAsia="Calibri" w:hAnsi="Verdana" w:cs="Arial"/>
        </w:rPr>
        <w:t xml:space="preserve"> se realizó </w:t>
      </w:r>
      <w:r w:rsidRPr="00727672">
        <w:rPr>
          <w:rFonts w:ascii="Verdana" w:eastAsia="Calibri" w:hAnsi="Verdana" w:cs="Arial"/>
        </w:rPr>
        <w:t xml:space="preserve">la sesión oficial de instalación del </w:t>
      </w:r>
      <w:r w:rsidRPr="00727672">
        <w:rPr>
          <w:rFonts w:ascii="Verdana" w:eastAsia="Calibri" w:hAnsi="Verdana" w:cs="Arial"/>
        </w:rPr>
        <w:lastRenderedPageBreak/>
        <w:t xml:space="preserve">SNR, presidida por el Presidente de la República, </w:t>
      </w:r>
      <w:r w:rsidR="001C51FD">
        <w:rPr>
          <w:rFonts w:ascii="Verdana" w:eastAsia="Calibri" w:hAnsi="Verdana" w:cs="Arial"/>
        </w:rPr>
        <w:t xml:space="preserve">acto </w:t>
      </w:r>
      <w:r w:rsidRPr="00727672">
        <w:rPr>
          <w:rFonts w:ascii="Verdana" w:eastAsia="Calibri" w:hAnsi="Verdana" w:cs="Arial"/>
        </w:rPr>
        <w:t>que formalizó su puesta en marcha.</w:t>
      </w:r>
    </w:p>
    <w:p w14:paraId="360DD1EB" w14:textId="77777777" w:rsidR="0091682A" w:rsidRPr="00727672" w:rsidRDefault="0091682A" w:rsidP="009E5C37">
      <w:pPr>
        <w:spacing w:after="0" w:line="276" w:lineRule="auto"/>
        <w:rPr>
          <w:rFonts w:ascii="Verdana" w:eastAsia="Calibri" w:hAnsi="Verdana" w:cs="Arial"/>
        </w:rPr>
      </w:pPr>
    </w:p>
    <w:p w14:paraId="59D4F371" w14:textId="43AE49DD" w:rsidR="00727672" w:rsidRPr="00727672" w:rsidRDefault="00055D6E" w:rsidP="00187721">
      <w:pPr>
        <w:spacing w:after="0" w:line="276" w:lineRule="auto"/>
        <w:jc w:val="both"/>
        <w:rPr>
          <w:rFonts w:ascii="Verdana" w:eastAsia="Calibri" w:hAnsi="Verdana" w:cs="Arial"/>
        </w:rPr>
      </w:pPr>
      <w:r>
        <w:rPr>
          <w:rFonts w:ascii="Verdana" w:eastAsia="Calibri" w:hAnsi="Verdana" w:cs="Arial"/>
        </w:rPr>
        <w:t xml:space="preserve">De igual forma, </w:t>
      </w:r>
      <w:r w:rsidR="00727672" w:rsidRPr="00727672">
        <w:rPr>
          <w:rFonts w:ascii="Verdana" w:eastAsia="Calibri" w:hAnsi="Verdana" w:cs="Arial"/>
        </w:rPr>
        <w:t xml:space="preserve">se avanzó en la </w:t>
      </w:r>
      <w:r>
        <w:rPr>
          <w:rFonts w:ascii="Verdana" w:eastAsia="Calibri" w:hAnsi="Verdana" w:cs="Arial"/>
        </w:rPr>
        <w:t xml:space="preserve">formulación </w:t>
      </w:r>
      <w:r w:rsidR="00727672" w:rsidRPr="00727672">
        <w:rPr>
          <w:rFonts w:ascii="Verdana" w:eastAsia="Calibri" w:hAnsi="Verdana" w:cs="Arial"/>
        </w:rPr>
        <w:t xml:space="preserve">de los planes de acción de los subcomités y en la definición de indicadores y metas para su implementación, </w:t>
      </w:r>
      <w:r>
        <w:rPr>
          <w:rFonts w:ascii="Verdana" w:eastAsia="Calibri" w:hAnsi="Verdana" w:cs="Arial"/>
        </w:rPr>
        <w:t xml:space="preserve">mediante un </w:t>
      </w:r>
      <w:r w:rsidR="00727672" w:rsidRPr="00727672">
        <w:rPr>
          <w:rFonts w:ascii="Verdana" w:eastAsia="Calibri" w:hAnsi="Verdana" w:cs="Arial"/>
        </w:rPr>
        <w:t xml:space="preserve">trabajo articulado con entidades estratégicas como los ministerios del Interior, Salud y Educación, </w:t>
      </w:r>
      <w:r w:rsidR="0085229B">
        <w:rPr>
          <w:rFonts w:ascii="Verdana" w:eastAsia="Calibri" w:hAnsi="Verdana" w:cs="Arial"/>
        </w:rPr>
        <w:t>así</w:t>
      </w:r>
      <w:r>
        <w:rPr>
          <w:rFonts w:ascii="Verdana" w:eastAsia="Calibri" w:hAnsi="Verdana" w:cs="Arial"/>
        </w:rPr>
        <w:t xml:space="preserve"> como </w:t>
      </w:r>
      <w:r w:rsidR="00727672" w:rsidRPr="00727672">
        <w:rPr>
          <w:rFonts w:ascii="Verdana" w:eastAsia="Calibri" w:hAnsi="Verdana" w:cs="Arial"/>
        </w:rPr>
        <w:t xml:space="preserve">el ICBF. </w:t>
      </w:r>
      <w:r>
        <w:rPr>
          <w:rFonts w:ascii="Verdana" w:eastAsia="Calibri" w:hAnsi="Verdana" w:cs="Arial"/>
        </w:rPr>
        <w:t xml:space="preserve">Finalmente, la </w:t>
      </w:r>
      <w:r w:rsidR="00727672" w:rsidRPr="00727672">
        <w:rPr>
          <w:rFonts w:ascii="Verdana" w:eastAsia="Calibri" w:hAnsi="Verdana" w:cs="Arial"/>
        </w:rPr>
        <w:t xml:space="preserve">sesión de balance y cierre del 2 de diciembre marcó el fin de </w:t>
      </w:r>
      <w:r>
        <w:rPr>
          <w:rFonts w:ascii="Verdana" w:eastAsia="Calibri" w:hAnsi="Verdana" w:cs="Arial"/>
        </w:rPr>
        <w:t xml:space="preserve">la fase </w:t>
      </w:r>
      <w:r w:rsidR="00727672" w:rsidRPr="00727672">
        <w:rPr>
          <w:rFonts w:ascii="Verdana" w:eastAsia="Calibri" w:hAnsi="Verdana" w:cs="Arial"/>
        </w:rPr>
        <w:t xml:space="preserve">anual de planificación y sentó las bases para la implementación </w:t>
      </w:r>
      <w:r w:rsidR="00BD5643">
        <w:rPr>
          <w:rFonts w:ascii="Verdana" w:eastAsia="Calibri" w:hAnsi="Verdana" w:cs="Arial"/>
        </w:rPr>
        <w:t xml:space="preserve">de las acciones previstas a partir de </w:t>
      </w:r>
      <w:r w:rsidR="00727672" w:rsidRPr="00727672">
        <w:rPr>
          <w:rFonts w:ascii="Verdana" w:eastAsia="Calibri" w:hAnsi="Verdana" w:cs="Arial"/>
        </w:rPr>
        <w:t xml:space="preserve">2026. </w:t>
      </w:r>
    </w:p>
    <w:p w14:paraId="7B97812E" w14:textId="77777777" w:rsidR="00727672" w:rsidRPr="00FB1C4A" w:rsidRDefault="00727672" w:rsidP="00FB1C4A">
      <w:pPr>
        <w:spacing w:after="0" w:line="276" w:lineRule="auto"/>
        <w:jc w:val="both"/>
        <w:rPr>
          <w:rFonts w:ascii="Verdana" w:eastAsia="Verdana" w:hAnsi="Verdana" w:cs="Arial"/>
          <w:color w:val="000000" w:themeColor="text1"/>
          <w:sz w:val="18"/>
          <w:szCs w:val="18"/>
        </w:rPr>
      </w:pPr>
    </w:p>
    <w:p w14:paraId="34DCC976" w14:textId="189094A2" w:rsidR="00EB63A4" w:rsidRPr="00EB63A4" w:rsidRDefault="00EB63A4" w:rsidP="00EB63A4">
      <w:pPr>
        <w:pStyle w:val="Descripcin"/>
        <w:keepNext/>
        <w:jc w:val="center"/>
        <w:rPr>
          <w:rFonts w:ascii="Verdana" w:eastAsia="Verdana" w:hAnsi="Verdana" w:cs="Arial"/>
          <w:i w:val="0"/>
          <w:iCs w:val="0"/>
          <w:color w:val="000000" w:themeColor="text1"/>
        </w:rPr>
      </w:pPr>
      <w:bookmarkStart w:id="22" w:name="_Toc225283131"/>
      <w:r w:rsidRPr="00EB63A4">
        <w:rPr>
          <w:rFonts w:ascii="Verdana" w:eastAsia="Verdana" w:hAnsi="Verdana" w:cs="Arial"/>
          <w:i w:val="0"/>
          <w:iCs w:val="0"/>
          <w:color w:val="000000" w:themeColor="text1"/>
        </w:rPr>
        <w:t xml:space="preserve">Tabla </w:t>
      </w:r>
      <w:r w:rsidRPr="00EB63A4">
        <w:rPr>
          <w:rFonts w:ascii="Verdana" w:eastAsia="Verdana" w:hAnsi="Verdana" w:cs="Arial"/>
          <w:i w:val="0"/>
          <w:iCs w:val="0"/>
          <w:color w:val="000000" w:themeColor="text1"/>
        </w:rPr>
        <w:fldChar w:fldCharType="begin"/>
      </w:r>
      <w:r w:rsidRPr="00EB63A4">
        <w:rPr>
          <w:rFonts w:ascii="Verdana" w:eastAsia="Verdana" w:hAnsi="Verdana" w:cs="Arial"/>
          <w:i w:val="0"/>
          <w:iCs w:val="0"/>
          <w:color w:val="000000" w:themeColor="text1"/>
        </w:rPr>
        <w:instrText xml:space="preserve"> SEQ Tabla \* ARABIC </w:instrText>
      </w:r>
      <w:r w:rsidRPr="00EB63A4">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19</w:t>
      </w:r>
      <w:r w:rsidRPr="00EB63A4">
        <w:rPr>
          <w:rFonts w:ascii="Verdana" w:eastAsia="Verdana" w:hAnsi="Verdana" w:cs="Arial"/>
          <w:i w:val="0"/>
          <w:iCs w:val="0"/>
          <w:color w:val="000000" w:themeColor="text1"/>
        </w:rPr>
        <w:fldChar w:fldCharType="end"/>
      </w:r>
      <w:r w:rsidRPr="00EB63A4">
        <w:rPr>
          <w:rFonts w:ascii="Verdana" w:eastAsia="Verdana" w:hAnsi="Verdana" w:cs="Arial"/>
          <w:i w:val="0"/>
          <w:iCs w:val="0"/>
          <w:color w:val="000000" w:themeColor="text1"/>
        </w:rPr>
        <w:t>. Detalle de las principales acciones del indicador C.212.N</w:t>
      </w:r>
      <w:bookmarkEnd w:id="22"/>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3543"/>
        <w:gridCol w:w="3119"/>
      </w:tblGrid>
      <w:tr w:rsidR="00C41E57" w:rsidRPr="00AB06F3" w14:paraId="34096126" w14:textId="77777777" w:rsidTr="0077302C">
        <w:trPr>
          <w:trHeight w:val="113"/>
          <w:tblHeader/>
        </w:trPr>
        <w:tc>
          <w:tcPr>
            <w:tcW w:w="1985" w:type="dxa"/>
            <w:tcMar>
              <w:left w:w="108" w:type="dxa"/>
              <w:right w:w="108" w:type="dxa"/>
            </w:tcMar>
          </w:tcPr>
          <w:p w14:paraId="05A5B250"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3543" w:type="dxa"/>
            <w:tcMar>
              <w:left w:w="108" w:type="dxa"/>
              <w:right w:w="108" w:type="dxa"/>
            </w:tcMar>
          </w:tcPr>
          <w:p w14:paraId="40B65BF6"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3119" w:type="dxa"/>
            <w:tcMar>
              <w:left w:w="108" w:type="dxa"/>
              <w:right w:w="108" w:type="dxa"/>
            </w:tcMar>
          </w:tcPr>
          <w:p w14:paraId="2EF2CF59" w14:textId="77777777" w:rsidR="00C41E57" w:rsidRPr="00436D99" w:rsidRDefault="00C41E57"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C41E57" w:rsidRPr="00AB06F3" w14:paraId="4B6E42A8" w14:textId="77777777" w:rsidTr="0077302C">
        <w:trPr>
          <w:trHeight w:val="708"/>
        </w:trPr>
        <w:tc>
          <w:tcPr>
            <w:tcW w:w="1985" w:type="dxa"/>
            <w:tcMar>
              <w:left w:w="108" w:type="dxa"/>
              <w:right w:w="108" w:type="dxa"/>
            </w:tcMar>
          </w:tcPr>
          <w:p w14:paraId="66E0C425" w14:textId="760FF265" w:rsidR="00C41E57" w:rsidRPr="00230F4C" w:rsidRDefault="00230F4C" w:rsidP="005F457D">
            <w:pPr>
              <w:spacing w:line="276" w:lineRule="auto"/>
              <w:jc w:val="both"/>
              <w:rPr>
                <w:rFonts w:ascii="Verdana" w:hAnsi="Verdana" w:cs="Arial"/>
              </w:rPr>
            </w:pPr>
            <w:r w:rsidRPr="00230F4C">
              <w:rPr>
                <w:rFonts w:ascii="Verdana" w:eastAsia="Verdana" w:hAnsi="Verdana" w:cs="Arial"/>
                <w:color w:val="000000" w:themeColor="text1"/>
                <w:sz w:val="18"/>
                <w:szCs w:val="18"/>
              </w:rPr>
              <w:t>C.212.N Sistema Nacional de Reincorporación en funcionamiento</w:t>
            </w:r>
          </w:p>
        </w:tc>
        <w:tc>
          <w:tcPr>
            <w:tcW w:w="3543" w:type="dxa"/>
            <w:tcMar>
              <w:left w:w="108" w:type="dxa"/>
              <w:right w:w="108" w:type="dxa"/>
            </w:tcMar>
          </w:tcPr>
          <w:p w14:paraId="57A6179A" w14:textId="1BB1353A" w:rsidR="00C41E57" w:rsidRDefault="005B3C37" w:rsidP="005F457D">
            <w:pPr>
              <w:spacing w:line="276" w:lineRule="auto"/>
              <w:jc w:val="both"/>
              <w:rPr>
                <w:rFonts w:ascii="Verdana" w:eastAsia="Calibri" w:hAnsi="Verdana" w:cs="Arial"/>
                <w:sz w:val="18"/>
                <w:szCs w:val="18"/>
              </w:rPr>
            </w:pPr>
            <w:r w:rsidRPr="005B3C37">
              <w:rPr>
                <w:rFonts w:ascii="Verdana" w:eastAsia="Calibri" w:hAnsi="Verdana" w:cs="Arial"/>
                <w:sz w:val="18"/>
                <w:szCs w:val="18"/>
              </w:rPr>
              <w:t xml:space="preserve">Durante 2025 </w:t>
            </w:r>
            <w:r>
              <w:rPr>
                <w:rFonts w:ascii="Verdana" w:eastAsia="Calibri" w:hAnsi="Verdana" w:cs="Arial"/>
                <w:sz w:val="18"/>
                <w:szCs w:val="18"/>
              </w:rPr>
              <w:t xml:space="preserve">se realizaron </w:t>
            </w:r>
            <w:r w:rsidR="00F83B57" w:rsidRPr="00F83B57">
              <w:rPr>
                <w:rFonts w:ascii="Verdana" w:eastAsia="Calibri" w:hAnsi="Verdana" w:cs="Arial"/>
                <w:sz w:val="18"/>
                <w:szCs w:val="18"/>
              </w:rPr>
              <w:t>51 sesiones del Sistema Nacional de Reincorporación</w:t>
            </w:r>
            <w:r>
              <w:rPr>
                <w:rFonts w:ascii="Verdana" w:eastAsia="Calibri" w:hAnsi="Verdana" w:cs="Arial"/>
                <w:sz w:val="18"/>
                <w:szCs w:val="18"/>
              </w:rPr>
              <w:t>, distribuidas así:</w:t>
            </w:r>
          </w:p>
          <w:p w14:paraId="2BF0C6D1" w14:textId="77777777" w:rsid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5B3C37">
              <w:rPr>
                <w:rFonts w:ascii="Verdana" w:eastAsia="Verdana" w:hAnsi="Verdana" w:cs="Arial"/>
                <w:color w:val="000000" w:themeColor="text1"/>
                <w:sz w:val="18"/>
                <w:szCs w:val="18"/>
              </w:rPr>
              <w:t xml:space="preserve">Comité Ejecutivo: 1 sesión.  </w:t>
            </w:r>
          </w:p>
          <w:p w14:paraId="0D127F37" w14:textId="77777777" w:rsid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671E18">
              <w:rPr>
                <w:rFonts w:ascii="Verdana" w:eastAsia="Verdana" w:hAnsi="Verdana" w:cs="Arial"/>
                <w:color w:val="000000" w:themeColor="text1"/>
                <w:sz w:val="18"/>
                <w:szCs w:val="18"/>
              </w:rPr>
              <w:t xml:space="preserve">Subcomité de Reconciliación y Construcción de Paz: 16 sesiones </w:t>
            </w:r>
          </w:p>
          <w:p w14:paraId="39715A89" w14:textId="77777777" w:rsid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671E18">
              <w:rPr>
                <w:rFonts w:ascii="Verdana" w:eastAsia="Verdana" w:hAnsi="Verdana" w:cs="Arial"/>
                <w:color w:val="000000" w:themeColor="text1"/>
                <w:sz w:val="18"/>
                <w:szCs w:val="18"/>
              </w:rPr>
              <w:t xml:space="preserve">Subcomité de Acceso y Atención para la Garantía de Derechos: 14 sesiones </w:t>
            </w:r>
          </w:p>
          <w:p w14:paraId="2FB3E250" w14:textId="77777777" w:rsid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671E18">
              <w:rPr>
                <w:rFonts w:ascii="Verdana" w:eastAsia="Verdana" w:hAnsi="Verdana" w:cs="Arial"/>
                <w:color w:val="000000" w:themeColor="text1"/>
                <w:sz w:val="18"/>
                <w:szCs w:val="18"/>
              </w:rPr>
              <w:t>Subcomité de Sostenibilidad Económica: 16 sesiones</w:t>
            </w:r>
          </w:p>
          <w:p w14:paraId="57D1BB5F" w14:textId="04C90AE7" w:rsidR="003B4851" w:rsidRPr="00671E18" w:rsidRDefault="00BA2025" w:rsidP="00164ED5">
            <w:pPr>
              <w:pStyle w:val="Prrafodelista"/>
              <w:numPr>
                <w:ilvl w:val="0"/>
                <w:numId w:val="29"/>
              </w:numPr>
              <w:spacing w:line="276" w:lineRule="auto"/>
              <w:jc w:val="both"/>
              <w:rPr>
                <w:rFonts w:ascii="Verdana" w:eastAsia="Verdana" w:hAnsi="Verdana" w:cs="Arial"/>
                <w:color w:val="000000" w:themeColor="text1"/>
                <w:sz w:val="18"/>
                <w:szCs w:val="18"/>
              </w:rPr>
            </w:pPr>
            <w:r w:rsidRPr="00671E18">
              <w:rPr>
                <w:rFonts w:ascii="Verdana" w:eastAsia="Verdana" w:hAnsi="Verdana" w:cs="Arial"/>
                <w:color w:val="000000" w:themeColor="text1"/>
                <w:sz w:val="18"/>
                <w:szCs w:val="18"/>
              </w:rPr>
              <w:t>Subcomité de Articulación, Planificación y Seguimiento: 4 sesiones técnicas.</w:t>
            </w:r>
          </w:p>
        </w:tc>
        <w:tc>
          <w:tcPr>
            <w:tcW w:w="3119" w:type="dxa"/>
            <w:tcMar>
              <w:left w:w="108" w:type="dxa"/>
              <w:right w:w="108" w:type="dxa"/>
            </w:tcMar>
          </w:tcPr>
          <w:p w14:paraId="61CF2484" w14:textId="77777777" w:rsidR="00966FF7" w:rsidRDefault="00972C04" w:rsidP="00972C04">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2B124E" w:rsidRPr="002B124E">
              <w:rPr>
                <w:rFonts w:ascii="Verdana" w:eastAsia="Verdana" w:hAnsi="Verdana" w:cs="Arial"/>
                <w:color w:val="000000" w:themeColor="text1"/>
                <w:sz w:val="18"/>
                <w:szCs w:val="18"/>
              </w:rPr>
              <w:t xml:space="preserve">5.259.392,85 </w:t>
            </w:r>
          </w:p>
          <w:p w14:paraId="5D7A0D63" w14:textId="77777777" w:rsidR="00966FF7" w:rsidRDefault="00966FF7" w:rsidP="00972C04">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(Recursos de Funcionamiento)</w:t>
            </w:r>
          </w:p>
          <w:p w14:paraId="240E15FD" w14:textId="6827E49B" w:rsidR="00972C04" w:rsidRPr="00AB06F3" w:rsidRDefault="00972C04" w:rsidP="00972C04">
            <w:pPr>
              <w:spacing w:line="276" w:lineRule="auto"/>
              <w:jc w:val="both"/>
              <w:rPr>
                <w:rFonts w:ascii="Verdana" w:eastAsia="Verdana" w:hAnsi="Verdana" w:cs="Arial"/>
                <w:color w:val="000000" w:themeColor="text1"/>
                <w:sz w:val="18"/>
                <w:szCs w:val="18"/>
              </w:rPr>
            </w:pPr>
            <w:r w:rsidRPr="00972C04">
              <w:rPr>
                <w:rFonts w:ascii="Verdana" w:eastAsia="Verdana" w:hAnsi="Verdana" w:cs="Arial"/>
                <w:color w:val="000000" w:themeColor="text1"/>
                <w:sz w:val="18"/>
                <w:szCs w:val="18"/>
              </w:rPr>
              <w:t>correspondientes a la realización de 4 eventos del Sistema Nacional de Reincorporación, asociados a: la instalación del SNR, la instalación de los subcomités de Acceso y Atención para la Garantía Integral de Derechos y de Reconciliación y Construcción de Paz, y el evento de balance integral del Sistema Nacional de Reincorporación.</w:t>
            </w:r>
          </w:p>
        </w:tc>
      </w:tr>
    </w:tbl>
    <w:p w14:paraId="004A827F"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BFD335E" w14:textId="77777777" w:rsidR="00C41E57" w:rsidRPr="00AB06F3" w:rsidRDefault="00C41E57" w:rsidP="00C41E57">
      <w:pPr>
        <w:spacing w:after="0" w:line="276" w:lineRule="auto"/>
        <w:jc w:val="both"/>
        <w:rPr>
          <w:rFonts w:ascii="Verdana" w:hAnsi="Verdana" w:cs="Arial"/>
        </w:rPr>
      </w:pPr>
    </w:p>
    <w:p w14:paraId="3BA8A718" w14:textId="5007DB61" w:rsidR="00C41E57" w:rsidRDefault="00C41E57" w:rsidP="00164ED5">
      <w:pPr>
        <w:pStyle w:val="Prrafodelista"/>
        <w:numPr>
          <w:ilvl w:val="0"/>
          <w:numId w:val="18"/>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1886660B" w14:textId="77777777" w:rsidR="009F2D08" w:rsidRPr="009F2D08" w:rsidRDefault="009F2D08" w:rsidP="009F2D08"/>
    <w:p w14:paraId="6EAE4AFF" w14:textId="4BC06746" w:rsidR="00A57313" w:rsidRPr="00A57313" w:rsidRDefault="00A57313" w:rsidP="00A57313">
      <w:pPr>
        <w:pStyle w:val="Descripcin"/>
        <w:keepNext/>
        <w:jc w:val="center"/>
        <w:rPr>
          <w:rFonts w:ascii="Verdana" w:eastAsia="Verdana" w:hAnsi="Verdana" w:cs="Arial"/>
          <w:i w:val="0"/>
          <w:iCs w:val="0"/>
          <w:color w:val="000000" w:themeColor="text1"/>
        </w:rPr>
      </w:pPr>
      <w:bookmarkStart w:id="23" w:name="_Toc225283132"/>
      <w:r w:rsidRPr="00A57313">
        <w:rPr>
          <w:rFonts w:ascii="Verdana" w:eastAsia="Verdana" w:hAnsi="Verdana" w:cs="Arial"/>
          <w:i w:val="0"/>
          <w:iCs w:val="0"/>
          <w:color w:val="000000" w:themeColor="text1"/>
        </w:rPr>
        <w:t xml:space="preserve">Tabla </w:t>
      </w:r>
      <w:r w:rsidRPr="00A57313">
        <w:rPr>
          <w:rFonts w:ascii="Verdana" w:eastAsia="Verdana" w:hAnsi="Verdana" w:cs="Arial"/>
          <w:i w:val="0"/>
          <w:iCs w:val="0"/>
          <w:color w:val="000000" w:themeColor="text1"/>
        </w:rPr>
        <w:fldChar w:fldCharType="begin"/>
      </w:r>
      <w:r w:rsidRPr="00A57313">
        <w:rPr>
          <w:rFonts w:ascii="Verdana" w:eastAsia="Verdana" w:hAnsi="Verdana" w:cs="Arial"/>
          <w:i w:val="0"/>
          <w:iCs w:val="0"/>
          <w:color w:val="000000" w:themeColor="text1"/>
        </w:rPr>
        <w:instrText xml:space="preserve"> SEQ Tabla \* ARABIC </w:instrText>
      </w:r>
      <w:r w:rsidRPr="00A57313">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20</w:t>
      </w:r>
      <w:r w:rsidRPr="00A57313">
        <w:rPr>
          <w:rFonts w:ascii="Verdana" w:eastAsia="Verdana" w:hAnsi="Verdana" w:cs="Arial"/>
          <w:i w:val="0"/>
          <w:iCs w:val="0"/>
          <w:color w:val="000000" w:themeColor="text1"/>
        </w:rPr>
        <w:fldChar w:fldCharType="end"/>
      </w:r>
      <w:r w:rsidRPr="00A57313">
        <w:rPr>
          <w:rFonts w:ascii="Verdana" w:eastAsia="Verdana" w:hAnsi="Verdana" w:cs="Arial"/>
          <w:i w:val="0"/>
          <w:iCs w:val="0"/>
          <w:color w:val="000000" w:themeColor="text1"/>
        </w:rPr>
        <w:t>. Detalle de regionalización del indicador C.212.N</w:t>
      </w:r>
      <w:bookmarkEnd w:id="23"/>
    </w:p>
    <w:tbl>
      <w:tblPr>
        <w:tblStyle w:val="Tablaconcuadrcula"/>
        <w:tblW w:w="0" w:type="auto"/>
        <w:jc w:val="cente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regionalización del indicador"/>
        <w:tblDescription w:val="Tabla que contiene los siguientes items: indicador del PMI, sesiones y beneficiarios."/>
      </w:tblPr>
      <w:tblGrid>
        <w:gridCol w:w="2122"/>
        <w:gridCol w:w="5670"/>
      </w:tblGrid>
      <w:tr w:rsidR="00347C49" w:rsidRPr="00436D99" w14:paraId="3FD55D05" w14:textId="77777777" w:rsidTr="0077302C">
        <w:trPr>
          <w:trHeight w:val="113"/>
          <w:tblHeader/>
          <w:jc w:val="center"/>
        </w:trPr>
        <w:tc>
          <w:tcPr>
            <w:tcW w:w="2122" w:type="dxa"/>
            <w:tcMar>
              <w:left w:w="108" w:type="dxa"/>
              <w:right w:w="108" w:type="dxa"/>
            </w:tcMar>
          </w:tcPr>
          <w:p w14:paraId="5585A958" w14:textId="144B3141" w:rsidR="00347C49" w:rsidRPr="00436D99" w:rsidRDefault="00347C49"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Sesiones </w:t>
            </w:r>
          </w:p>
        </w:tc>
        <w:tc>
          <w:tcPr>
            <w:tcW w:w="5670" w:type="dxa"/>
            <w:tcMar>
              <w:left w:w="108" w:type="dxa"/>
              <w:right w:w="108" w:type="dxa"/>
            </w:tcMar>
          </w:tcPr>
          <w:p w14:paraId="03BE8A89" w14:textId="77777777" w:rsidR="00347C49" w:rsidRPr="00436D99" w:rsidRDefault="00347C49"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Beneficiarios </w:t>
            </w:r>
          </w:p>
        </w:tc>
      </w:tr>
      <w:tr w:rsidR="00347C49" w:rsidRPr="00436D99" w14:paraId="318D01D8" w14:textId="77777777" w:rsidTr="0077302C">
        <w:trPr>
          <w:trHeight w:val="159"/>
          <w:jc w:val="center"/>
        </w:trPr>
        <w:tc>
          <w:tcPr>
            <w:tcW w:w="2122" w:type="dxa"/>
            <w:tcMar>
              <w:left w:w="108" w:type="dxa"/>
              <w:right w:w="108" w:type="dxa"/>
            </w:tcMar>
          </w:tcPr>
          <w:p w14:paraId="7C6008AA" w14:textId="4AE3884A" w:rsidR="00674C38" w:rsidRPr="00972C04" w:rsidRDefault="00347C49" w:rsidP="00972C04">
            <w:pPr>
              <w:tabs>
                <w:tab w:val="left" w:pos="164"/>
              </w:tabs>
              <w:spacing w:line="276" w:lineRule="auto"/>
              <w:rPr>
                <w:rFonts w:ascii="Verdana" w:eastAsia="Verdana" w:hAnsi="Verdana" w:cs="Arial"/>
                <w:sz w:val="18"/>
                <w:szCs w:val="18"/>
              </w:rPr>
            </w:pPr>
            <w:r w:rsidRPr="00972C04">
              <w:rPr>
                <w:rFonts w:ascii="Verdana" w:eastAsia="Verdana" w:hAnsi="Verdana" w:cs="Arial"/>
                <w:color w:val="000000" w:themeColor="text1"/>
                <w:sz w:val="18"/>
                <w:szCs w:val="18"/>
              </w:rPr>
              <w:t xml:space="preserve">Comité Ejecutivo: 1 sesión.  </w:t>
            </w:r>
          </w:p>
        </w:tc>
        <w:tc>
          <w:tcPr>
            <w:tcW w:w="5670" w:type="dxa"/>
            <w:tcMar>
              <w:left w:w="108" w:type="dxa"/>
              <w:right w:w="108" w:type="dxa"/>
            </w:tcMar>
          </w:tcPr>
          <w:p w14:paraId="0B395560" w14:textId="058083EE" w:rsidR="00347C49" w:rsidRPr="00972C04" w:rsidRDefault="00347C49" w:rsidP="00187721">
            <w:pPr>
              <w:tabs>
                <w:tab w:val="left" w:pos="308"/>
              </w:tabs>
              <w:spacing w:line="276" w:lineRule="auto"/>
              <w:jc w:val="both"/>
              <w:rPr>
                <w:rFonts w:ascii="Verdana" w:eastAsia="Verdana" w:hAnsi="Verdana" w:cs="Arial"/>
                <w:color w:val="000000" w:themeColor="text1"/>
                <w:sz w:val="18"/>
                <w:szCs w:val="18"/>
              </w:rPr>
            </w:pPr>
            <w:r w:rsidRPr="00972C04">
              <w:rPr>
                <w:rFonts w:ascii="Verdana" w:eastAsia="Verdana" w:hAnsi="Verdana" w:cs="Arial"/>
                <w:color w:val="000000" w:themeColor="text1"/>
                <w:sz w:val="18"/>
                <w:szCs w:val="18"/>
              </w:rPr>
              <w:t>Firmantes en general</w:t>
            </w:r>
            <w:r w:rsidR="00F57D12">
              <w:rPr>
                <w:rFonts w:ascii="Verdana" w:eastAsia="Verdana" w:hAnsi="Verdana" w:cs="Arial"/>
                <w:color w:val="000000" w:themeColor="text1"/>
                <w:sz w:val="18"/>
                <w:szCs w:val="18"/>
              </w:rPr>
              <w:t xml:space="preserve">: </w:t>
            </w:r>
            <w:r w:rsidRPr="00972C04">
              <w:rPr>
                <w:rFonts w:ascii="Verdana" w:eastAsia="Verdana" w:hAnsi="Verdana" w:cs="Arial"/>
                <w:color w:val="000000" w:themeColor="text1"/>
                <w:sz w:val="18"/>
                <w:szCs w:val="18"/>
              </w:rPr>
              <w:t>con la instalación formal del Sistema Nacional de Reincorporación por parte del Comité Ejecutivo</w:t>
            </w:r>
            <w:r w:rsidR="00F57D12">
              <w:rPr>
                <w:rFonts w:ascii="Verdana" w:eastAsia="Verdana" w:hAnsi="Verdana" w:cs="Arial"/>
                <w:color w:val="000000" w:themeColor="text1"/>
                <w:sz w:val="18"/>
                <w:szCs w:val="18"/>
              </w:rPr>
              <w:t>,</w:t>
            </w:r>
            <w:r w:rsidRPr="00972C04">
              <w:rPr>
                <w:rFonts w:ascii="Verdana" w:eastAsia="Verdana" w:hAnsi="Verdana" w:cs="Arial"/>
                <w:color w:val="000000" w:themeColor="text1"/>
                <w:sz w:val="18"/>
                <w:szCs w:val="18"/>
              </w:rPr>
              <w:t> se contribuye a superar la débil articulación institucional para </w:t>
            </w:r>
            <w:r w:rsidR="00F57D12">
              <w:rPr>
                <w:rFonts w:ascii="Verdana" w:eastAsia="Verdana" w:hAnsi="Verdana" w:cs="Arial"/>
                <w:color w:val="000000" w:themeColor="text1"/>
                <w:sz w:val="18"/>
                <w:szCs w:val="18"/>
              </w:rPr>
              <w:t xml:space="preserve">la implementación </w:t>
            </w:r>
            <w:r w:rsidRPr="00972C04">
              <w:rPr>
                <w:rFonts w:ascii="Verdana" w:eastAsia="Verdana" w:hAnsi="Verdana" w:cs="Arial"/>
                <w:color w:val="000000" w:themeColor="text1"/>
                <w:sz w:val="18"/>
                <w:szCs w:val="18"/>
              </w:rPr>
              <w:t xml:space="preserve">del Programa de Reincorporación Integral, mediante el fortalecimiento de </w:t>
            </w:r>
            <w:r w:rsidR="0095307A" w:rsidRPr="0095307A">
              <w:rPr>
                <w:rFonts w:ascii="Verdana" w:eastAsia="Verdana" w:hAnsi="Verdana" w:cs="Arial"/>
                <w:color w:val="000000" w:themeColor="text1"/>
                <w:sz w:val="18"/>
                <w:szCs w:val="18"/>
              </w:rPr>
              <w:t>la coordinación interinstitucional y la alineación de la oferta institucional a nivel nacional y territorial.</w:t>
            </w:r>
          </w:p>
        </w:tc>
      </w:tr>
      <w:tr w:rsidR="00972C04" w:rsidRPr="00436D99" w14:paraId="1DCBE526" w14:textId="77777777" w:rsidTr="0077302C">
        <w:trPr>
          <w:trHeight w:val="113"/>
          <w:jc w:val="center"/>
        </w:trPr>
        <w:tc>
          <w:tcPr>
            <w:tcW w:w="2122" w:type="dxa"/>
            <w:tcMar>
              <w:left w:w="108" w:type="dxa"/>
              <w:right w:w="108" w:type="dxa"/>
            </w:tcMar>
          </w:tcPr>
          <w:p w14:paraId="62028E9B" w14:textId="789CC7AD" w:rsidR="00972C04" w:rsidRPr="00607132" w:rsidRDefault="0095307A" w:rsidP="0095307A">
            <w:pPr>
              <w:tabs>
                <w:tab w:val="left" w:pos="164"/>
              </w:tabs>
              <w:spacing w:line="276" w:lineRule="auto"/>
              <w:rPr>
                <w:rFonts w:ascii="Verdana" w:eastAsia="Verdana" w:hAnsi="Verdana" w:cs="Arial"/>
                <w:color w:val="000000" w:themeColor="text1"/>
                <w:sz w:val="18"/>
                <w:szCs w:val="18"/>
              </w:rPr>
            </w:pPr>
            <w:r>
              <w:rPr>
                <w:rFonts w:ascii="Verdana" w:eastAsia="Verdana" w:hAnsi="Verdana" w:cs="Arial"/>
                <w:color w:val="000000" w:themeColor="text1"/>
                <w:sz w:val="18"/>
                <w:szCs w:val="18"/>
              </w:rPr>
              <w:t>s</w:t>
            </w:r>
            <w:r w:rsidR="00972C04" w:rsidRPr="0095307A">
              <w:rPr>
                <w:rFonts w:ascii="Verdana" w:eastAsia="Verdana" w:hAnsi="Verdana" w:cs="Arial"/>
                <w:color w:val="000000" w:themeColor="text1"/>
                <w:sz w:val="18"/>
                <w:szCs w:val="18"/>
              </w:rPr>
              <w:t xml:space="preserve">ubcomité de Reconciliación y </w:t>
            </w:r>
            <w:r w:rsidR="00972C04" w:rsidRPr="0095307A">
              <w:rPr>
                <w:rFonts w:ascii="Verdana" w:eastAsia="Verdana" w:hAnsi="Verdana" w:cs="Arial"/>
                <w:color w:val="000000" w:themeColor="text1"/>
                <w:sz w:val="18"/>
                <w:szCs w:val="18"/>
              </w:rPr>
              <w:lastRenderedPageBreak/>
              <w:t>Construcción de Paz: 16 sesiones</w:t>
            </w:r>
          </w:p>
        </w:tc>
        <w:tc>
          <w:tcPr>
            <w:tcW w:w="5670" w:type="dxa"/>
            <w:tcMar>
              <w:left w:w="108" w:type="dxa"/>
              <w:right w:w="108" w:type="dxa"/>
            </w:tcMar>
          </w:tcPr>
          <w:p w14:paraId="1725BCE2" w14:textId="6629E226" w:rsidR="00972C04" w:rsidRPr="00181365" w:rsidRDefault="00181365" w:rsidP="00187721">
            <w:pPr>
              <w:tabs>
                <w:tab w:val="left" w:pos="308"/>
              </w:tabs>
              <w:spacing w:line="276" w:lineRule="auto"/>
              <w:jc w:val="both"/>
              <w:rPr>
                <w:rFonts w:ascii="Verdana" w:eastAsia="Verdana" w:hAnsi="Verdana" w:cs="Arial"/>
                <w:color w:val="000000" w:themeColor="text1"/>
                <w:sz w:val="18"/>
                <w:szCs w:val="18"/>
              </w:rPr>
            </w:pPr>
            <w:r w:rsidRPr="00181365">
              <w:rPr>
                <w:rFonts w:ascii="Verdana" w:eastAsia="Verdana" w:hAnsi="Verdana" w:cs="Arial"/>
                <w:color w:val="000000" w:themeColor="text1"/>
                <w:sz w:val="18"/>
                <w:szCs w:val="18"/>
              </w:rPr>
              <w:lastRenderedPageBreak/>
              <w:t xml:space="preserve">A través de la instalación y desarrollo </w:t>
            </w:r>
            <w:r w:rsidRPr="00B74431">
              <w:rPr>
                <w:rFonts w:ascii="Verdana" w:eastAsia="Verdana" w:hAnsi="Verdana" w:cs="Arial"/>
                <w:color w:val="000000" w:themeColor="text1"/>
                <w:sz w:val="18"/>
                <w:szCs w:val="18"/>
              </w:rPr>
              <w:t xml:space="preserve">de las sesiones técnicas del Subcomité de Reconciliación y Construcción de Paz, se concertaron compromisos interinstitucionales con </w:t>
            </w:r>
            <w:r w:rsidRPr="00B74431">
              <w:rPr>
                <w:rFonts w:ascii="Verdana" w:eastAsia="Verdana" w:hAnsi="Verdana" w:cs="Arial"/>
                <w:color w:val="000000" w:themeColor="text1"/>
                <w:sz w:val="18"/>
                <w:szCs w:val="18"/>
              </w:rPr>
              <w:lastRenderedPageBreak/>
              <w:t>metas e indicadores definidos, orientados al cumplimiento de las acciones priorizadas del PRI para promover la reconciliación, el fortalecimiento del tejido social y la construcción de paz en los territorios, contribuyendo al avance de la reincorporación política y comunitaria.</w:t>
            </w:r>
          </w:p>
        </w:tc>
      </w:tr>
      <w:tr w:rsidR="00972C04" w:rsidRPr="00436D99" w14:paraId="68C40C70" w14:textId="77777777" w:rsidTr="0077302C">
        <w:trPr>
          <w:trHeight w:val="113"/>
          <w:jc w:val="center"/>
        </w:trPr>
        <w:tc>
          <w:tcPr>
            <w:tcW w:w="2122" w:type="dxa"/>
            <w:tcMar>
              <w:left w:w="108" w:type="dxa"/>
              <w:right w:w="108" w:type="dxa"/>
            </w:tcMar>
          </w:tcPr>
          <w:p w14:paraId="25321FF7" w14:textId="501790B5" w:rsidR="00972C04" w:rsidRPr="00B74431" w:rsidRDefault="00B74431" w:rsidP="00B74431">
            <w:pPr>
              <w:tabs>
                <w:tab w:val="left" w:pos="164"/>
              </w:tabs>
              <w:spacing w:line="276" w:lineRule="auto"/>
              <w:rPr>
                <w:rFonts w:ascii="Verdana" w:eastAsia="Verdana" w:hAnsi="Verdana" w:cs="Arial"/>
                <w:sz w:val="18"/>
                <w:szCs w:val="18"/>
              </w:rPr>
            </w:pPr>
            <w:r>
              <w:rPr>
                <w:rFonts w:ascii="Verdana" w:eastAsia="Verdana" w:hAnsi="Verdana" w:cs="Arial"/>
                <w:color w:val="000000" w:themeColor="text1"/>
                <w:sz w:val="18"/>
                <w:szCs w:val="18"/>
              </w:rPr>
              <w:lastRenderedPageBreak/>
              <w:t>S</w:t>
            </w:r>
            <w:r w:rsidR="00972C04" w:rsidRPr="00B74431">
              <w:rPr>
                <w:rFonts w:ascii="Verdana" w:eastAsia="Verdana" w:hAnsi="Verdana" w:cs="Arial"/>
                <w:color w:val="000000" w:themeColor="text1"/>
                <w:sz w:val="18"/>
                <w:szCs w:val="18"/>
              </w:rPr>
              <w:t xml:space="preserve">ubcomité de Acceso y Atención para la Garantía de Derechos: 14 sesiones </w:t>
            </w:r>
          </w:p>
          <w:p w14:paraId="0E5BD3F9" w14:textId="77777777" w:rsidR="00972C04" w:rsidRPr="00972C04" w:rsidRDefault="00972C04" w:rsidP="00972C04">
            <w:pPr>
              <w:tabs>
                <w:tab w:val="left" w:pos="164"/>
              </w:tabs>
              <w:spacing w:line="276" w:lineRule="auto"/>
              <w:rPr>
                <w:rFonts w:ascii="Verdana" w:eastAsia="Verdana" w:hAnsi="Verdana" w:cs="Arial"/>
                <w:color w:val="000000" w:themeColor="text1"/>
                <w:sz w:val="18"/>
                <w:szCs w:val="18"/>
              </w:rPr>
            </w:pPr>
          </w:p>
        </w:tc>
        <w:tc>
          <w:tcPr>
            <w:tcW w:w="5670" w:type="dxa"/>
            <w:tcMar>
              <w:left w:w="108" w:type="dxa"/>
              <w:right w:w="108" w:type="dxa"/>
            </w:tcMar>
          </w:tcPr>
          <w:p w14:paraId="73DFB8DE" w14:textId="0DD432AB" w:rsidR="00972C04" w:rsidRPr="00B74431" w:rsidRDefault="00972C04" w:rsidP="00187721">
            <w:pPr>
              <w:tabs>
                <w:tab w:val="left" w:pos="308"/>
              </w:tabs>
              <w:spacing w:line="276" w:lineRule="auto"/>
              <w:jc w:val="both"/>
              <w:rPr>
                <w:rFonts w:ascii="Verdana" w:eastAsia="Verdana" w:hAnsi="Verdana" w:cs="Arial"/>
                <w:color w:val="000000" w:themeColor="text1"/>
                <w:sz w:val="18"/>
                <w:szCs w:val="18"/>
              </w:rPr>
            </w:pPr>
            <w:r w:rsidRPr="00B74431">
              <w:rPr>
                <w:rFonts w:ascii="Verdana" w:eastAsia="Verdana" w:hAnsi="Verdana" w:cs="Arial"/>
                <w:color w:val="000000" w:themeColor="text1"/>
                <w:sz w:val="18"/>
                <w:szCs w:val="18"/>
              </w:rPr>
              <w:t>Firmantes en general</w:t>
            </w:r>
            <w:r w:rsidR="00B74431">
              <w:rPr>
                <w:rFonts w:ascii="Verdana" w:eastAsia="Verdana" w:hAnsi="Verdana" w:cs="Arial"/>
                <w:color w:val="000000" w:themeColor="text1"/>
                <w:sz w:val="18"/>
                <w:szCs w:val="18"/>
              </w:rPr>
              <w:t xml:space="preserve">: </w:t>
            </w:r>
            <w:r w:rsidRPr="00B74431">
              <w:rPr>
                <w:rFonts w:ascii="Verdana" w:eastAsia="Verdana" w:hAnsi="Verdana" w:cs="Arial"/>
                <w:color w:val="000000" w:themeColor="text1"/>
                <w:sz w:val="18"/>
                <w:szCs w:val="18"/>
              </w:rPr>
              <w:t>con la instalación y desarrollo de las sesiones técnicas del Subcomité de Acceso y Atención para la Garantía de Derechos, se concerta</w:t>
            </w:r>
            <w:r w:rsidR="00B74431">
              <w:rPr>
                <w:rFonts w:ascii="Verdana" w:eastAsia="Verdana" w:hAnsi="Verdana" w:cs="Arial"/>
                <w:color w:val="000000" w:themeColor="text1"/>
                <w:sz w:val="18"/>
                <w:szCs w:val="18"/>
              </w:rPr>
              <w:t>ron</w:t>
            </w:r>
            <w:r w:rsidR="00CB5A00">
              <w:rPr>
                <w:rFonts w:ascii="Verdana" w:eastAsia="Verdana" w:hAnsi="Verdana" w:cs="Arial"/>
                <w:color w:val="000000" w:themeColor="text1"/>
                <w:sz w:val="18"/>
                <w:szCs w:val="18"/>
              </w:rPr>
              <w:t xml:space="preserve"> </w:t>
            </w:r>
            <w:r w:rsidRPr="00B74431">
              <w:rPr>
                <w:rFonts w:ascii="Verdana" w:eastAsia="Verdana" w:hAnsi="Verdana" w:cs="Arial"/>
                <w:color w:val="000000" w:themeColor="text1"/>
                <w:sz w:val="18"/>
                <w:szCs w:val="18"/>
              </w:rPr>
              <w:t>compromisos interinstitucionales, con metas e indicadores definidos, orientados al cumplimiento de las acciones priorizadas del PRI para garantizar el acceso y goce efectivo de los derechos, con el fin de fortalecer la reincorporación social. </w:t>
            </w:r>
          </w:p>
        </w:tc>
      </w:tr>
      <w:tr w:rsidR="00972C04" w:rsidRPr="00436D99" w14:paraId="66CB8650" w14:textId="77777777" w:rsidTr="0077302C">
        <w:trPr>
          <w:trHeight w:val="113"/>
          <w:jc w:val="center"/>
        </w:trPr>
        <w:tc>
          <w:tcPr>
            <w:tcW w:w="2122" w:type="dxa"/>
            <w:tcMar>
              <w:left w:w="108" w:type="dxa"/>
              <w:right w:w="108" w:type="dxa"/>
            </w:tcMar>
          </w:tcPr>
          <w:p w14:paraId="45F17F74" w14:textId="517F4155" w:rsidR="00972C04" w:rsidRPr="00644BB7" w:rsidRDefault="00972C04" w:rsidP="00644BB7">
            <w:pPr>
              <w:tabs>
                <w:tab w:val="left" w:pos="164"/>
              </w:tabs>
              <w:spacing w:line="276" w:lineRule="auto"/>
              <w:rPr>
                <w:rFonts w:ascii="Verdana" w:eastAsia="Verdana" w:hAnsi="Verdana" w:cs="Arial"/>
                <w:sz w:val="18"/>
                <w:szCs w:val="18"/>
              </w:rPr>
            </w:pPr>
            <w:r w:rsidRPr="00B74431">
              <w:rPr>
                <w:rFonts w:ascii="Verdana" w:eastAsia="Verdana" w:hAnsi="Verdana" w:cs="Arial"/>
                <w:color w:val="000000" w:themeColor="text1"/>
                <w:sz w:val="18"/>
                <w:szCs w:val="18"/>
              </w:rPr>
              <w:t>Subcomité de Sostenibilidad Económica: 16 sesiones</w:t>
            </w:r>
          </w:p>
        </w:tc>
        <w:tc>
          <w:tcPr>
            <w:tcW w:w="5670" w:type="dxa"/>
            <w:tcMar>
              <w:left w:w="108" w:type="dxa"/>
              <w:right w:w="108" w:type="dxa"/>
            </w:tcMar>
          </w:tcPr>
          <w:p w14:paraId="5CB354DD" w14:textId="7E6B5420" w:rsidR="00972C04" w:rsidRPr="00CB5A00" w:rsidRDefault="00972C04" w:rsidP="00187721">
            <w:pPr>
              <w:tabs>
                <w:tab w:val="left" w:pos="308"/>
              </w:tabs>
              <w:spacing w:line="276" w:lineRule="auto"/>
              <w:jc w:val="both"/>
              <w:rPr>
                <w:rFonts w:ascii="Verdana" w:eastAsia="Verdana" w:hAnsi="Verdana" w:cs="Arial"/>
                <w:color w:val="000000" w:themeColor="text1"/>
                <w:sz w:val="18"/>
                <w:szCs w:val="18"/>
              </w:rPr>
            </w:pPr>
            <w:r w:rsidRPr="00CB5A00">
              <w:rPr>
                <w:rFonts w:ascii="Verdana" w:eastAsia="Verdana" w:hAnsi="Verdana" w:cs="Arial"/>
                <w:color w:val="000000" w:themeColor="text1"/>
                <w:sz w:val="18"/>
                <w:szCs w:val="18"/>
              </w:rPr>
              <w:t>Firmantes en general</w:t>
            </w:r>
            <w:r w:rsidR="00644BB7">
              <w:rPr>
                <w:rFonts w:ascii="Verdana" w:eastAsia="Verdana" w:hAnsi="Verdana" w:cs="Arial"/>
                <w:color w:val="000000" w:themeColor="text1"/>
                <w:sz w:val="18"/>
                <w:szCs w:val="18"/>
              </w:rPr>
              <w:t>:</w:t>
            </w:r>
            <w:r w:rsidRPr="00CB5A00">
              <w:rPr>
                <w:rFonts w:ascii="Verdana" w:eastAsia="Verdana" w:hAnsi="Verdana" w:cs="Arial"/>
                <w:color w:val="000000" w:themeColor="text1"/>
                <w:sz w:val="18"/>
                <w:szCs w:val="18"/>
              </w:rPr>
              <w:t xml:space="preserve"> con la instalación y desarrollo de las sesiones técnicas del Subcomité de Sostenibilidad Económica, se concerta</w:t>
            </w:r>
            <w:r w:rsidR="00644BB7">
              <w:rPr>
                <w:rFonts w:ascii="Verdana" w:eastAsia="Verdana" w:hAnsi="Verdana" w:cs="Arial"/>
                <w:color w:val="000000" w:themeColor="text1"/>
                <w:sz w:val="18"/>
                <w:szCs w:val="18"/>
              </w:rPr>
              <w:t>ro</w:t>
            </w:r>
            <w:r w:rsidRPr="00CB5A00">
              <w:rPr>
                <w:rFonts w:ascii="Verdana" w:eastAsia="Verdana" w:hAnsi="Verdana" w:cs="Arial"/>
                <w:color w:val="000000" w:themeColor="text1"/>
                <w:sz w:val="18"/>
                <w:szCs w:val="18"/>
              </w:rPr>
              <w:t>n compromisos interinstitucionales, con metas e indicadores definidos, orientados al cumplimiento de las acciones priorizadas del PRI, con el fin de fortalecer la reincorporación económica y generar condiciones y capacidades para el acceso a ingresos en condiciones dignas. </w:t>
            </w:r>
          </w:p>
        </w:tc>
      </w:tr>
      <w:tr w:rsidR="00972C04" w:rsidRPr="00436D99" w14:paraId="6AF8E9E7" w14:textId="77777777" w:rsidTr="0077302C">
        <w:trPr>
          <w:trHeight w:val="113"/>
          <w:jc w:val="center"/>
        </w:trPr>
        <w:tc>
          <w:tcPr>
            <w:tcW w:w="2122" w:type="dxa"/>
            <w:tcMar>
              <w:left w:w="108" w:type="dxa"/>
              <w:right w:w="108" w:type="dxa"/>
            </w:tcMar>
          </w:tcPr>
          <w:p w14:paraId="600A43CD" w14:textId="0138702E" w:rsidR="00972C04" w:rsidRPr="003E0530" w:rsidRDefault="00972C04" w:rsidP="003E0530">
            <w:pPr>
              <w:tabs>
                <w:tab w:val="left" w:pos="164"/>
              </w:tabs>
              <w:spacing w:line="276" w:lineRule="auto"/>
              <w:rPr>
                <w:rFonts w:ascii="Verdana" w:eastAsia="Verdana" w:hAnsi="Verdana" w:cs="Arial"/>
                <w:color w:val="000000" w:themeColor="text1"/>
                <w:sz w:val="18"/>
                <w:szCs w:val="18"/>
              </w:rPr>
            </w:pPr>
            <w:r w:rsidRPr="003E0530">
              <w:rPr>
                <w:rFonts w:ascii="Verdana" w:eastAsia="Verdana" w:hAnsi="Verdana" w:cs="Arial"/>
                <w:color w:val="000000" w:themeColor="text1"/>
                <w:sz w:val="18"/>
                <w:szCs w:val="18"/>
              </w:rPr>
              <w:t>Subcomité de Articulación, Planificación y Seguimiento: 4 sesiones técnicas.</w:t>
            </w:r>
          </w:p>
        </w:tc>
        <w:tc>
          <w:tcPr>
            <w:tcW w:w="5670" w:type="dxa"/>
            <w:tcMar>
              <w:left w:w="108" w:type="dxa"/>
              <w:right w:w="108" w:type="dxa"/>
            </w:tcMar>
          </w:tcPr>
          <w:p w14:paraId="04D7EF03" w14:textId="24515BE4" w:rsidR="00972C04" w:rsidRPr="003E0530" w:rsidRDefault="00972C04" w:rsidP="00187721">
            <w:pPr>
              <w:tabs>
                <w:tab w:val="left" w:pos="308"/>
              </w:tabs>
              <w:spacing w:line="276" w:lineRule="auto"/>
              <w:jc w:val="both"/>
              <w:rPr>
                <w:rFonts w:ascii="Verdana" w:eastAsia="Verdana" w:hAnsi="Verdana" w:cs="Arial"/>
                <w:color w:val="000000" w:themeColor="text1"/>
                <w:sz w:val="18"/>
                <w:szCs w:val="18"/>
              </w:rPr>
            </w:pPr>
            <w:r w:rsidRPr="003E0530">
              <w:rPr>
                <w:rFonts w:ascii="Verdana" w:eastAsia="Verdana" w:hAnsi="Verdana" w:cs="Arial"/>
                <w:color w:val="000000" w:themeColor="text1"/>
                <w:sz w:val="18"/>
                <w:szCs w:val="18"/>
              </w:rPr>
              <w:t>Firmantes en general</w:t>
            </w:r>
            <w:r w:rsidR="003E0530">
              <w:rPr>
                <w:rFonts w:ascii="Verdana" w:eastAsia="Verdana" w:hAnsi="Verdana" w:cs="Arial"/>
                <w:color w:val="000000" w:themeColor="text1"/>
                <w:sz w:val="18"/>
                <w:szCs w:val="18"/>
              </w:rPr>
              <w:t xml:space="preserve">: </w:t>
            </w:r>
            <w:r w:rsidRPr="003E0530">
              <w:rPr>
                <w:rFonts w:ascii="Verdana" w:eastAsia="Verdana" w:hAnsi="Verdana" w:cs="Arial"/>
                <w:color w:val="000000" w:themeColor="text1"/>
                <w:sz w:val="18"/>
                <w:szCs w:val="18"/>
              </w:rPr>
              <w:t>con la instalación y desarrollo de las sesiones técnicas del Subcomité de Articulación, Planificación y Seguimiento se defin</w:t>
            </w:r>
            <w:r w:rsidR="003E0530">
              <w:rPr>
                <w:rFonts w:ascii="Verdana" w:eastAsia="Verdana" w:hAnsi="Verdana" w:cs="Arial"/>
                <w:color w:val="000000" w:themeColor="text1"/>
                <w:sz w:val="18"/>
                <w:szCs w:val="18"/>
              </w:rPr>
              <w:t xml:space="preserve">ieron </w:t>
            </w:r>
            <w:r w:rsidRPr="003E0530">
              <w:rPr>
                <w:rFonts w:ascii="Verdana" w:eastAsia="Verdana" w:hAnsi="Verdana" w:cs="Arial"/>
                <w:color w:val="000000" w:themeColor="text1"/>
                <w:sz w:val="18"/>
                <w:szCs w:val="18"/>
              </w:rPr>
              <w:t xml:space="preserve">lineamientos para la formulación de los </w:t>
            </w:r>
            <w:r w:rsidR="001E6549">
              <w:rPr>
                <w:rFonts w:ascii="Verdana" w:eastAsia="Verdana" w:hAnsi="Verdana" w:cs="Arial"/>
                <w:color w:val="000000" w:themeColor="text1"/>
                <w:sz w:val="18"/>
                <w:szCs w:val="18"/>
              </w:rPr>
              <w:t>p</w:t>
            </w:r>
            <w:r w:rsidRPr="003E0530">
              <w:rPr>
                <w:rFonts w:ascii="Verdana" w:eastAsia="Verdana" w:hAnsi="Verdana" w:cs="Arial"/>
                <w:color w:val="000000" w:themeColor="text1"/>
                <w:sz w:val="18"/>
                <w:szCs w:val="18"/>
              </w:rPr>
              <w:t xml:space="preserve">lanes de </w:t>
            </w:r>
            <w:r w:rsidR="001E6549">
              <w:rPr>
                <w:rFonts w:ascii="Verdana" w:eastAsia="Verdana" w:hAnsi="Verdana" w:cs="Arial"/>
                <w:color w:val="000000" w:themeColor="text1"/>
                <w:sz w:val="18"/>
                <w:szCs w:val="18"/>
              </w:rPr>
              <w:t>a</w:t>
            </w:r>
            <w:r w:rsidRPr="003E0530">
              <w:rPr>
                <w:rFonts w:ascii="Verdana" w:eastAsia="Verdana" w:hAnsi="Verdana" w:cs="Arial"/>
                <w:color w:val="000000" w:themeColor="text1"/>
                <w:sz w:val="18"/>
                <w:szCs w:val="18"/>
              </w:rPr>
              <w:t xml:space="preserve">cción de los </w:t>
            </w:r>
            <w:r w:rsidR="001E6549">
              <w:rPr>
                <w:rFonts w:ascii="Verdana" w:eastAsia="Verdana" w:hAnsi="Verdana" w:cs="Arial"/>
                <w:color w:val="000000" w:themeColor="text1"/>
                <w:sz w:val="18"/>
                <w:szCs w:val="18"/>
              </w:rPr>
              <w:t>s</w:t>
            </w:r>
            <w:r w:rsidRPr="003E0530">
              <w:rPr>
                <w:rFonts w:ascii="Verdana" w:eastAsia="Verdana" w:hAnsi="Verdana" w:cs="Arial"/>
                <w:color w:val="000000" w:themeColor="text1"/>
                <w:sz w:val="18"/>
                <w:szCs w:val="18"/>
              </w:rPr>
              <w:t xml:space="preserve">ubcomités </w:t>
            </w:r>
            <w:r w:rsidR="001E6549">
              <w:rPr>
                <w:rFonts w:ascii="Verdana" w:eastAsia="Verdana" w:hAnsi="Verdana" w:cs="Arial"/>
                <w:color w:val="000000" w:themeColor="text1"/>
                <w:sz w:val="18"/>
                <w:szCs w:val="18"/>
              </w:rPr>
              <w:t>t</w:t>
            </w:r>
            <w:r w:rsidRPr="003E0530">
              <w:rPr>
                <w:rFonts w:ascii="Verdana" w:eastAsia="Verdana" w:hAnsi="Verdana" w:cs="Arial"/>
                <w:color w:val="000000" w:themeColor="text1"/>
                <w:sz w:val="18"/>
                <w:szCs w:val="18"/>
              </w:rPr>
              <w:t>écnicos y el seguimiento a la implementación de los compromisos asumidos por las entidades</w:t>
            </w:r>
            <w:r w:rsidR="001E6549">
              <w:rPr>
                <w:rFonts w:ascii="Verdana" w:eastAsia="Verdana" w:hAnsi="Verdana" w:cs="Arial"/>
                <w:color w:val="000000" w:themeColor="text1"/>
                <w:sz w:val="18"/>
                <w:szCs w:val="18"/>
              </w:rPr>
              <w:t xml:space="preserve">. Estas acciones están </w:t>
            </w:r>
            <w:r w:rsidRPr="003E0530">
              <w:rPr>
                <w:rFonts w:ascii="Verdana" w:eastAsia="Verdana" w:hAnsi="Verdana" w:cs="Arial"/>
                <w:color w:val="000000" w:themeColor="text1"/>
                <w:sz w:val="18"/>
                <w:szCs w:val="18"/>
              </w:rPr>
              <w:t>orientados a </w:t>
            </w:r>
            <w:r w:rsidR="001E6549">
              <w:rPr>
                <w:rFonts w:ascii="Verdana" w:eastAsia="Verdana" w:hAnsi="Verdana" w:cs="Arial"/>
                <w:color w:val="000000" w:themeColor="text1"/>
                <w:sz w:val="18"/>
                <w:szCs w:val="18"/>
              </w:rPr>
              <w:t xml:space="preserve">fortalecer la </w:t>
            </w:r>
            <w:r w:rsidRPr="003E0530">
              <w:rPr>
                <w:rFonts w:ascii="Verdana" w:eastAsia="Verdana" w:hAnsi="Verdana" w:cs="Arial"/>
                <w:color w:val="000000" w:themeColor="text1"/>
                <w:sz w:val="18"/>
                <w:szCs w:val="18"/>
              </w:rPr>
              <w:t>articula</w:t>
            </w:r>
            <w:r w:rsidR="001E6549">
              <w:rPr>
                <w:rFonts w:ascii="Verdana" w:eastAsia="Verdana" w:hAnsi="Verdana" w:cs="Arial"/>
                <w:color w:val="000000" w:themeColor="text1"/>
                <w:sz w:val="18"/>
                <w:szCs w:val="18"/>
              </w:rPr>
              <w:t xml:space="preserve">ción de </w:t>
            </w:r>
            <w:r w:rsidRPr="003E0530">
              <w:rPr>
                <w:rFonts w:ascii="Verdana" w:eastAsia="Verdana" w:hAnsi="Verdana" w:cs="Arial"/>
                <w:color w:val="000000" w:themeColor="text1"/>
                <w:sz w:val="18"/>
                <w:szCs w:val="18"/>
              </w:rPr>
              <w:t>la oferta institucional y </w:t>
            </w:r>
            <w:r w:rsidR="00CF4622">
              <w:rPr>
                <w:rFonts w:ascii="Verdana" w:eastAsia="Verdana" w:hAnsi="Verdana" w:cs="Arial"/>
                <w:color w:val="000000" w:themeColor="text1"/>
                <w:sz w:val="18"/>
                <w:szCs w:val="18"/>
              </w:rPr>
              <w:t xml:space="preserve">a </w:t>
            </w:r>
            <w:r w:rsidRPr="003E0530">
              <w:rPr>
                <w:rFonts w:ascii="Verdana" w:eastAsia="Verdana" w:hAnsi="Verdana" w:cs="Arial"/>
                <w:color w:val="000000" w:themeColor="text1"/>
                <w:sz w:val="18"/>
                <w:szCs w:val="18"/>
              </w:rPr>
              <w:t>garantizar el cumplimiento de las acciones del Programa de Reincorporación Integral. </w:t>
            </w:r>
          </w:p>
        </w:tc>
      </w:tr>
    </w:tbl>
    <w:p w14:paraId="539BA23A" w14:textId="77777777" w:rsidR="00C41E57" w:rsidRPr="00005CEA" w:rsidRDefault="00C41E57" w:rsidP="00C41E57">
      <w:pPr>
        <w:pStyle w:val="Prrafodelista"/>
        <w:spacing w:after="0" w:line="276" w:lineRule="auto"/>
        <w:jc w:val="both"/>
        <w:rPr>
          <w:rFonts w:ascii="Verdana" w:eastAsia="Calibri" w:hAnsi="Verdana" w:cs="Arial"/>
        </w:rPr>
      </w:pPr>
    </w:p>
    <w:p w14:paraId="14AB65D0" w14:textId="77777777" w:rsidR="00C41E57" w:rsidRPr="00AB06F3" w:rsidRDefault="00C41E57" w:rsidP="00164ED5">
      <w:pPr>
        <w:pStyle w:val="Prrafodelista"/>
        <w:numPr>
          <w:ilvl w:val="0"/>
          <w:numId w:val="18"/>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18837EA7" w14:textId="6AD75A37" w:rsidR="007569A1" w:rsidRPr="007569A1" w:rsidRDefault="007569A1" w:rsidP="007569A1">
      <w:pPr>
        <w:pStyle w:val="Descripcin"/>
        <w:keepNext/>
        <w:jc w:val="center"/>
        <w:rPr>
          <w:rFonts w:ascii="Verdana" w:eastAsia="Verdana" w:hAnsi="Verdana" w:cs="Arial"/>
          <w:i w:val="0"/>
          <w:iCs w:val="0"/>
          <w:color w:val="000000" w:themeColor="text1"/>
        </w:rPr>
      </w:pPr>
      <w:bookmarkStart w:id="24" w:name="_Toc225283133"/>
      <w:r w:rsidRPr="007569A1">
        <w:rPr>
          <w:rFonts w:ascii="Verdana" w:eastAsia="Verdana" w:hAnsi="Verdana" w:cs="Arial"/>
          <w:i w:val="0"/>
          <w:iCs w:val="0"/>
          <w:color w:val="000000" w:themeColor="text1"/>
        </w:rPr>
        <w:t xml:space="preserve">Tabla </w:t>
      </w:r>
      <w:r w:rsidRPr="007569A1">
        <w:rPr>
          <w:rFonts w:ascii="Verdana" w:eastAsia="Verdana" w:hAnsi="Verdana" w:cs="Arial"/>
          <w:i w:val="0"/>
          <w:iCs w:val="0"/>
          <w:color w:val="000000" w:themeColor="text1"/>
        </w:rPr>
        <w:fldChar w:fldCharType="begin"/>
      </w:r>
      <w:r w:rsidRPr="007569A1">
        <w:rPr>
          <w:rFonts w:ascii="Verdana" w:eastAsia="Verdana" w:hAnsi="Verdana" w:cs="Arial"/>
          <w:i w:val="0"/>
          <w:iCs w:val="0"/>
          <w:color w:val="000000" w:themeColor="text1"/>
        </w:rPr>
        <w:instrText xml:space="preserve"> SEQ Tabla \* ARABIC </w:instrText>
      </w:r>
      <w:r w:rsidRPr="007569A1">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21</w:t>
      </w:r>
      <w:r w:rsidRPr="007569A1">
        <w:rPr>
          <w:rFonts w:ascii="Verdana" w:eastAsia="Verdana" w:hAnsi="Verdana" w:cs="Arial"/>
          <w:i w:val="0"/>
          <w:iCs w:val="0"/>
          <w:color w:val="000000" w:themeColor="text1"/>
        </w:rPr>
        <w:fldChar w:fldCharType="end"/>
      </w:r>
      <w:r w:rsidRPr="007569A1">
        <w:rPr>
          <w:rFonts w:ascii="Verdana" w:eastAsia="Verdana" w:hAnsi="Verdana" w:cs="Arial"/>
          <w:i w:val="0"/>
          <w:iCs w:val="0"/>
          <w:color w:val="000000" w:themeColor="text1"/>
        </w:rPr>
        <w:t>. Desafíos y retos del indicador C.</w:t>
      </w:r>
      <w:r w:rsidR="0075044E">
        <w:rPr>
          <w:rFonts w:ascii="Verdana" w:eastAsia="Verdana" w:hAnsi="Verdana" w:cs="Arial"/>
          <w:i w:val="0"/>
          <w:iCs w:val="0"/>
          <w:color w:val="000000" w:themeColor="text1"/>
        </w:rPr>
        <w:t>2</w:t>
      </w:r>
      <w:r w:rsidRPr="007569A1">
        <w:rPr>
          <w:rFonts w:ascii="Verdana" w:eastAsia="Verdana" w:hAnsi="Verdana" w:cs="Arial"/>
          <w:i w:val="0"/>
          <w:iCs w:val="0"/>
          <w:color w:val="000000" w:themeColor="text1"/>
        </w:rPr>
        <w:t>12.N</w:t>
      </w:r>
      <w:bookmarkEnd w:id="24"/>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00C41E57" w:rsidRPr="00AB06F3" w14:paraId="024C9F98" w14:textId="77777777" w:rsidTr="005F457D">
        <w:trPr>
          <w:trHeight w:val="300"/>
          <w:tblHeader/>
        </w:trPr>
        <w:tc>
          <w:tcPr>
            <w:tcW w:w="1408" w:type="dxa"/>
            <w:tcMar>
              <w:left w:w="108" w:type="dxa"/>
              <w:right w:w="108" w:type="dxa"/>
            </w:tcMar>
          </w:tcPr>
          <w:p w14:paraId="1C0AC381"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63FAFE95"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2F05885A" w14:textId="77777777" w:rsidR="00C41E57" w:rsidRPr="00436D99" w:rsidRDefault="00C41E57"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623C03" w:rsidRPr="00AB06F3" w14:paraId="213C0073" w14:textId="77777777" w:rsidTr="005F457D">
        <w:trPr>
          <w:trHeight w:val="300"/>
        </w:trPr>
        <w:tc>
          <w:tcPr>
            <w:tcW w:w="1408" w:type="dxa"/>
            <w:tcMar>
              <w:left w:w="108" w:type="dxa"/>
              <w:right w:w="108" w:type="dxa"/>
            </w:tcMar>
          </w:tcPr>
          <w:p w14:paraId="7D65CADE" w14:textId="3B4F1389" w:rsidR="001C1517" w:rsidRPr="00623C03" w:rsidRDefault="00623C03" w:rsidP="001C1517">
            <w:pPr>
              <w:pStyle w:val="paragraph"/>
              <w:spacing w:before="0" w:beforeAutospacing="0" w:after="0" w:afterAutospacing="0"/>
              <w:textAlignment w:val="baseline"/>
              <w:rPr>
                <w:rFonts w:ascii="Verdana" w:hAnsi="Verdana" w:cs="Segoe UI"/>
                <w:sz w:val="18"/>
                <w:szCs w:val="18"/>
              </w:rPr>
            </w:pPr>
            <w:r w:rsidRPr="00623C03">
              <w:rPr>
                <w:rStyle w:val="eop"/>
                <w:rFonts w:ascii="Verdana" w:hAnsi="Verdana" w:cs="Segoe UI"/>
                <w:color w:val="000000"/>
                <w:sz w:val="18"/>
                <w:szCs w:val="18"/>
              </w:rPr>
              <w:t> </w:t>
            </w:r>
            <w:r w:rsidR="001C1517">
              <w:rPr>
                <w:rStyle w:val="normaltextrun"/>
                <w:rFonts w:ascii="Verdana" w:hAnsi="Verdana" w:cs="Segoe UI"/>
                <w:sz w:val="18"/>
                <w:szCs w:val="18"/>
              </w:rPr>
              <w:t>Institucional</w:t>
            </w:r>
            <w:r w:rsidR="001C1517" w:rsidRPr="00623C03">
              <w:rPr>
                <w:rStyle w:val="eop"/>
                <w:rFonts w:ascii="Verdana" w:hAnsi="Verdana" w:cs="Segoe UI"/>
                <w:sz w:val="18"/>
                <w:szCs w:val="18"/>
              </w:rPr>
              <w:t> </w:t>
            </w:r>
          </w:p>
          <w:p w14:paraId="452495EB" w14:textId="77777777" w:rsidR="001C1517" w:rsidRPr="00623C03" w:rsidRDefault="001C1517" w:rsidP="001C1517">
            <w:pPr>
              <w:pStyle w:val="paragraph"/>
              <w:spacing w:before="0" w:beforeAutospacing="0" w:after="0" w:afterAutospacing="0"/>
              <w:textAlignment w:val="baseline"/>
              <w:rPr>
                <w:rFonts w:ascii="Verdana" w:hAnsi="Verdana" w:cs="Segoe UI"/>
                <w:sz w:val="18"/>
                <w:szCs w:val="18"/>
              </w:rPr>
            </w:pPr>
            <w:r w:rsidRPr="00623C03">
              <w:rPr>
                <w:rStyle w:val="eop"/>
                <w:rFonts w:ascii="Verdana" w:hAnsi="Verdana" w:cs="Segoe UI"/>
                <w:sz w:val="18"/>
                <w:szCs w:val="18"/>
              </w:rPr>
              <w:t> </w:t>
            </w:r>
          </w:p>
          <w:p w14:paraId="509334DA" w14:textId="2798282C" w:rsidR="00623C03" w:rsidRPr="00623C03" w:rsidRDefault="00623C03" w:rsidP="00623C03">
            <w:pPr>
              <w:spacing w:line="276" w:lineRule="auto"/>
              <w:rPr>
                <w:rFonts w:ascii="Verdana" w:eastAsia="Verdana" w:hAnsi="Verdana" w:cs="Arial"/>
                <w:color w:val="000000" w:themeColor="text1"/>
                <w:sz w:val="18"/>
                <w:szCs w:val="18"/>
              </w:rPr>
            </w:pPr>
          </w:p>
        </w:tc>
        <w:tc>
          <w:tcPr>
            <w:tcW w:w="3265" w:type="dxa"/>
            <w:tcMar>
              <w:left w:w="108" w:type="dxa"/>
              <w:right w:w="108" w:type="dxa"/>
            </w:tcMar>
          </w:tcPr>
          <w:p w14:paraId="3A5F7699" w14:textId="0560B9FD" w:rsidR="00623C03" w:rsidRPr="00623C03" w:rsidRDefault="00623C03" w:rsidP="00187721">
            <w:pPr>
              <w:pStyle w:val="paragraph"/>
              <w:spacing w:before="0" w:beforeAutospacing="0" w:after="0" w:afterAutospacing="0"/>
              <w:jc w:val="both"/>
              <w:textAlignment w:val="baseline"/>
              <w:divId w:val="94523024"/>
              <w:rPr>
                <w:rFonts w:ascii="Verdana" w:eastAsia="Verdana" w:hAnsi="Verdana" w:cs="Arial"/>
                <w:color w:val="000000" w:themeColor="text1"/>
                <w:sz w:val="18"/>
                <w:szCs w:val="18"/>
              </w:rPr>
            </w:pPr>
            <w:r w:rsidRPr="00623C03">
              <w:rPr>
                <w:rStyle w:val="normaltextrun"/>
                <w:rFonts w:ascii="Verdana" w:hAnsi="Verdana" w:cs="Segoe UI"/>
                <w:sz w:val="18"/>
                <w:szCs w:val="18"/>
              </w:rPr>
              <w:t>La concertación técnica y validación formal de metas e indicadores con algunas entidades</w:t>
            </w:r>
            <w:r w:rsidR="001B112A">
              <w:rPr>
                <w:rStyle w:val="normaltextrun"/>
                <w:rFonts w:ascii="Verdana" w:hAnsi="Verdana" w:cs="Segoe UI"/>
                <w:sz w:val="18"/>
                <w:szCs w:val="18"/>
              </w:rPr>
              <w:t xml:space="preserve"> para </w:t>
            </w:r>
            <w:r w:rsidRPr="00623C03">
              <w:rPr>
                <w:rStyle w:val="normaltextrun"/>
                <w:rFonts w:ascii="Verdana" w:hAnsi="Verdana" w:cs="Segoe UI"/>
                <w:sz w:val="18"/>
                <w:szCs w:val="18"/>
              </w:rPr>
              <w:t xml:space="preserve">la incorporación de compromisos en los Planes de Acción de los Subcomités Técnicos del SNR, así como la transición efectiva hacia </w:t>
            </w:r>
            <w:r w:rsidR="001B112A">
              <w:rPr>
                <w:rStyle w:val="normaltextrun"/>
                <w:rFonts w:ascii="Verdana" w:hAnsi="Verdana" w:cs="Segoe UI"/>
                <w:sz w:val="18"/>
                <w:szCs w:val="18"/>
              </w:rPr>
              <w:t xml:space="preserve">la fase de </w:t>
            </w:r>
            <w:r w:rsidRPr="00623C03">
              <w:rPr>
                <w:rStyle w:val="normaltextrun"/>
                <w:rFonts w:ascii="Verdana" w:hAnsi="Verdana" w:cs="Segoe UI"/>
                <w:sz w:val="18"/>
                <w:szCs w:val="18"/>
              </w:rPr>
              <w:t xml:space="preserve">seguimiento y la implementación de </w:t>
            </w:r>
            <w:r w:rsidR="001D4FFC">
              <w:rPr>
                <w:rStyle w:val="normaltextrun"/>
                <w:rFonts w:ascii="Verdana" w:hAnsi="Verdana" w:cs="Segoe UI"/>
                <w:sz w:val="18"/>
                <w:szCs w:val="18"/>
              </w:rPr>
              <w:t xml:space="preserve">dichos </w:t>
            </w:r>
            <w:r w:rsidRPr="00623C03">
              <w:rPr>
                <w:rStyle w:val="normaltextrun"/>
                <w:rFonts w:ascii="Verdana" w:hAnsi="Verdana" w:cs="Segoe UI"/>
                <w:sz w:val="18"/>
                <w:szCs w:val="18"/>
              </w:rPr>
              <w:t>compromisos.</w:t>
            </w:r>
            <w:r w:rsidRPr="00623C03">
              <w:rPr>
                <w:rStyle w:val="eop"/>
                <w:rFonts w:ascii="Verdana" w:hAnsi="Verdana" w:cs="Segoe UI"/>
                <w:sz w:val="18"/>
                <w:szCs w:val="18"/>
              </w:rPr>
              <w:t> </w:t>
            </w:r>
          </w:p>
        </w:tc>
        <w:tc>
          <w:tcPr>
            <w:tcW w:w="4155" w:type="dxa"/>
            <w:tcMar>
              <w:left w:w="108" w:type="dxa"/>
              <w:right w:w="108" w:type="dxa"/>
            </w:tcMar>
          </w:tcPr>
          <w:p w14:paraId="7B55AF88" w14:textId="676310BA" w:rsidR="00623C03" w:rsidRPr="00623C03" w:rsidRDefault="00636756" w:rsidP="00187721">
            <w:pPr>
              <w:pStyle w:val="paragraph"/>
              <w:spacing w:before="0" w:beforeAutospacing="0" w:after="0" w:afterAutospacing="0"/>
              <w:jc w:val="both"/>
              <w:textAlignment w:val="baseline"/>
              <w:divId w:val="1052579627"/>
              <w:rPr>
                <w:rFonts w:ascii="Verdana" w:eastAsia="Verdana" w:hAnsi="Verdana" w:cs="Arial"/>
                <w:color w:val="000000" w:themeColor="text1"/>
                <w:sz w:val="18"/>
                <w:szCs w:val="18"/>
              </w:rPr>
            </w:pPr>
            <w:r w:rsidRPr="00636756">
              <w:rPr>
                <w:rFonts w:ascii="Verdana" w:hAnsi="Verdana" w:cs="Calibri"/>
                <w:sz w:val="18"/>
                <w:szCs w:val="18"/>
              </w:rPr>
              <w:t xml:space="preserve">Se definió una ruta de aprobación progresiva de los compromisos para el primer semestre de 2026. En las sesiones de los Subcomités Técnicos del 3, 4 y 10 de marzo se presentará un primer grupo de acciones con metas e indicadores definidos para su aprobación formal mediante acta y el inicio de su seguimiento e implementación. Para las acciones que requieren ajustes o validación adicional, se estableció un plazo de dos (2) meses para su consolidación a través de mesas técnicas de revisión. Estas serán presentadas en la </w:t>
            </w:r>
            <w:r w:rsidRPr="00636756">
              <w:rPr>
                <w:rFonts w:ascii="Verdana" w:hAnsi="Verdana" w:cs="Calibri"/>
                <w:sz w:val="18"/>
                <w:szCs w:val="18"/>
              </w:rPr>
              <w:lastRenderedPageBreak/>
              <w:t>segunda sesión de los Subcomités Técnicos programada para el 7, 8 y 12 de mayo. Una vez aprobadas, entrarán igualmente en fase de seguimiento e implementación. En caso de no registrarse avances dentro de los plazos establecidos, se generarán alertas y reportes en el informe semestral correspondiente, con el fin de escalar la situación al Comité Ejecutivo del SNR y a las instancias competentes.</w:t>
            </w:r>
          </w:p>
        </w:tc>
      </w:tr>
    </w:tbl>
    <w:p w14:paraId="524D7ACF" w14:textId="6D0600D3" w:rsidR="7E870C49" w:rsidRPr="00D3014A" w:rsidRDefault="00C41E57"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lastRenderedPageBreak/>
        <w:t xml:space="preserve">Producto: </w:t>
      </w:r>
      <w:r w:rsidR="7E870C49" w:rsidRPr="00D3014A">
        <w:rPr>
          <w:rFonts w:ascii="Verdana" w:eastAsia="Verdana" w:hAnsi="Verdana" w:cs="Arial"/>
          <w:b/>
          <w:bCs/>
          <w:color w:val="000000" w:themeColor="text1"/>
          <w:sz w:val="24"/>
          <w:szCs w:val="24"/>
        </w:rPr>
        <w:t>Producto: Consejo Nacional de Reincorporación</w:t>
      </w:r>
    </w:p>
    <w:p w14:paraId="23F305F3" w14:textId="56837175" w:rsidR="7E870C49" w:rsidRPr="00AB06F3" w:rsidRDefault="068F30C9" w:rsidP="00C25586">
      <w:pPr>
        <w:spacing w:before="240" w:after="0" w:line="276" w:lineRule="auto"/>
        <w:jc w:val="center"/>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C.221 </w:t>
      </w:r>
      <w:r w:rsidRPr="00AB06F3">
        <w:rPr>
          <w:rFonts w:ascii="Verdana" w:eastAsia="Verdana" w:hAnsi="Verdana" w:cs="Arial"/>
          <w:color w:val="000000" w:themeColor="text1"/>
          <w:sz w:val="24"/>
          <w:szCs w:val="24"/>
        </w:rPr>
        <w:t>Consejo Nacional de Reincorporación creado y en funcionamiento</w:t>
      </w:r>
      <w:r w:rsidR="003FB9B9" w:rsidRPr="00AB06F3">
        <w:rPr>
          <w:rFonts w:ascii="Verdana" w:eastAsia="Verdana" w:hAnsi="Verdana" w:cs="Arial"/>
          <w:color w:val="000000" w:themeColor="text1"/>
          <w:sz w:val="18"/>
          <w:szCs w:val="18"/>
        </w:rPr>
        <w:t xml:space="preserve"> </w:t>
      </w:r>
    </w:p>
    <w:p w14:paraId="07553BAB" w14:textId="77777777" w:rsidR="00910F99" w:rsidRDefault="00910F99" w:rsidP="00910F99">
      <w:pPr>
        <w:pStyle w:val="Descripcin"/>
        <w:keepNext/>
        <w:jc w:val="center"/>
        <w:rPr>
          <w:rFonts w:ascii="Verdana" w:eastAsia="Verdana" w:hAnsi="Verdana" w:cs="Arial"/>
          <w:i w:val="0"/>
          <w:iCs w:val="0"/>
          <w:color w:val="000000" w:themeColor="text1"/>
        </w:rPr>
      </w:pPr>
    </w:p>
    <w:p w14:paraId="658C3549" w14:textId="2436D15C" w:rsidR="00910F99" w:rsidRPr="00910F99" w:rsidRDefault="00910F99" w:rsidP="00910F99">
      <w:pPr>
        <w:pStyle w:val="Descripcin"/>
        <w:keepNext/>
        <w:jc w:val="center"/>
        <w:rPr>
          <w:rFonts w:ascii="Verdana" w:eastAsia="Verdana" w:hAnsi="Verdana" w:cs="Arial"/>
          <w:i w:val="0"/>
          <w:iCs w:val="0"/>
          <w:color w:val="000000" w:themeColor="text1"/>
        </w:rPr>
      </w:pPr>
      <w:bookmarkStart w:id="25" w:name="_Toc225283134"/>
      <w:r w:rsidRPr="00910F99">
        <w:rPr>
          <w:rFonts w:ascii="Verdana" w:eastAsia="Verdana" w:hAnsi="Verdana" w:cs="Arial"/>
          <w:i w:val="0"/>
          <w:iCs w:val="0"/>
          <w:color w:val="000000" w:themeColor="text1"/>
        </w:rPr>
        <w:t xml:space="preserve">Tabla </w:t>
      </w:r>
      <w:r w:rsidRPr="00910F99">
        <w:rPr>
          <w:rFonts w:ascii="Verdana" w:eastAsia="Verdana" w:hAnsi="Verdana" w:cs="Arial"/>
          <w:i w:val="0"/>
          <w:iCs w:val="0"/>
          <w:color w:val="000000" w:themeColor="text1"/>
        </w:rPr>
        <w:fldChar w:fldCharType="begin"/>
      </w:r>
      <w:r w:rsidRPr="00910F99">
        <w:rPr>
          <w:rFonts w:ascii="Verdana" w:eastAsia="Verdana" w:hAnsi="Verdana" w:cs="Arial"/>
          <w:i w:val="0"/>
          <w:iCs w:val="0"/>
          <w:color w:val="000000" w:themeColor="text1"/>
        </w:rPr>
        <w:instrText xml:space="preserve"> SEQ Tabla \* ARABIC </w:instrText>
      </w:r>
      <w:r w:rsidRPr="00910F99">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22</w:t>
      </w:r>
      <w:r w:rsidRPr="00910F99">
        <w:rPr>
          <w:rFonts w:ascii="Verdana" w:eastAsia="Verdana" w:hAnsi="Verdana" w:cs="Arial"/>
          <w:i w:val="0"/>
          <w:iCs w:val="0"/>
          <w:color w:val="000000" w:themeColor="text1"/>
        </w:rPr>
        <w:fldChar w:fldCharType="end"/>
      </w:r>
      <w:r w:rsidRPr="00910F99">
        <w:rPr>
          <w:rFonts w:ascii="Verdana" w:eastAsia="Verdana" w:hAnsi="Verdana" w:cs="Arial"/>
          <w:i w:val="0"/>
          <w:iCs w:val="0"/>
          <w:color w:val="000000" w:themeColor="text1"/>
        </w:rPr>
        <w:t>. Detalle de avance en el indicador C.221</w:t>
      </w:r>
      <w:bookmarkEnd w:id="25"/>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017"/>
        <w:gridCol w:w="2146"/>
        <w:gridCol w:w="1217"/>
        <w:gridCol w:w="1211"/>
        <w:gridCol w:w="1244"/>
      </w:tblGrid>
      <w:tr w:rsidR="33167E86" w:rsidRPr="00AB06F3" w14:paraId="56CEA3D4" w14:textId="77777777" w:rsidTr="00910F99">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17" w:type="dxa"/>
            <w:tcMar>
              <w:left w:w="108" w:type="dxa"/>
              <w:right w:w="108" w:type="dxa"/>
            </w:tcMar>
            <w:vAlign w:val="center"/>
          </w:tcPr>
          <w:p w14:paraId="5E05DE8C" w14:textId="28ABD7E1" w:rsidR="33167E86" w:rsidRPr="00AB06F3" w:rsidRDefault="33167E86"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2146" w:type="dxa"/>
            <w:tcMar>
              <w:left w:w="108" w:type="dxa"/>
              <w:right w:w="108" w:type="dxa"/>
            </w:tcMar>
            <w:vAlign w:val="center"/>
          </w:tcPr>
          <w:p w14:paraId="42D2ACD3" w14:textId="73B357AB"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7C4E8C0F" w14:textId="2A2B07E4"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291E2472" w14:textId="4D2E75D5"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30FF0B39" w14:textId="4AE5275C"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941EDC">
              <w:rPr>
                <w:rFonts w:ascii="Verdana" w:eastAsia="Verdana" w:hAnsi="Verdana" w:cs="Arial"/>
                <w:color w:val="000000" w:themeColor="text1"/>
                <w:sz w:val="18"/>
                <w:szCs w:val="18"/>
              </w:rPr>
              <w:t>5</w:t>
            </w:r>
          </w:p>
        </w:tc>
      </w:tr>
      <w:tr w:rsidR="33167E86" w:rsidRPr="00AB06F3" w14:paraId="1CE0AFE5" w14:textId="77777777" w:rsidTr="00910F99">
        <w:trPr>
          <w:trHeight w:val="675"/>
        </w:trPr>
        <w:tc>
          <w:tcPr>
            <w:cnfStyle w:val="001000000000" w:firstRow="0" w:lastRow="0" w:firstColumn="1" w:lastColumn="0" w:oddVBand="0" w:evenVBand="0" w:oddHBand="0" w:evenHBand="0" w:firstRowFirstColumn="0" w:firstRowLastColumn="0" w:lastRowFirstColumn="0" w:lastRowLastColumn="0"/>
            <w:tcW w:w="3017" w:type="dxa"/>
            <w:tcMar>
              <w:left w:w="108" w:type="dxa"/>
              <w:right w:w="108" w:type="dxa"/>
            </w:tcMar>
            <w:vAlign w:val="center"/>
          </w:tcPr>
          <w:p w14:paraId="3AE6142F" w14:textId="14304D3D" w:rsidR="33167E86" w:rsidRPr="00AB06F3" w:rsidRDefault="33167E86" w:rsidP="002C74D3">
            <w:pPr>
              <w:spacing w:line="276" w:lineRule="auto"/>
              <w:jc w:val="both"/>
              <w:rPr>
                <w:rFonts w:ascii="Verdana" w:hAnsi="Verdana" w:cs="Arial"/>
                <w:b w:val="0"/>
                <w:bCs w:val="0"/>
              </w:rPr>
            </w:pPr>
            <w:r w:rsidRPr="00AB06F3">
              <w:rPr>
                <w:rFonts w:ascii="Verdana" w:eastAsia="Verdana" w:hAnsi="Verdana" w:cs="Arial"/>
                <w:b w:val="0"/>
                <w:bCs w:val="0"/>
                <w:sz w:val="18"/>
                <w:szCs w:val="18"/>
              </w:rPr>
              <w:t xml:space="preserve">C.221 Consejo Nacional de Reincorporación creado y en funcionamiento  </w:t>
            </w:r>
          </w:p>
        </w:tc>
        <w:tc>
          <w:tcPr>
            <w:tcW w:w="2146" w:type="dxa"/>
            <w:tcMar>
              <w:left w:w="108" w:type="dxa"/>
              <w:right w:w="108" w:type="dxa"/>
            </w:tcMar>
            <w:vAlign w:val="center"/>
          </w:tcPr>
          <w:p w14:paraId="1EE668B4" w14:textId="6681037C"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6001488C" w14:textId="609F75B6"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11" w:type="dxa"/>
            <w:shd w:val="clear" w:color="auto" w:fill="FFFFFF" w:themeFill="background1"/>
            <w:tcMar>
              <w:left w:w="108" w:type="dxa"/>
              <w:right w:w="108" w:type="dxa"/>
            </w:tcMar>
            <w:vAlign w:val="center"/>
          </w:tcPr>
          <w:p w14:paraId="44105263" w14:textId="537EA49B"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sidR="00910F99">
              <w:rPr>
                <w:rFonts w:ascii="Verdana" w:eastAsia="Verdana" w:hAnsi="Verdana" w:cs="Arial"/>
                <w:sz w:val="18"/>
                <w:szCs w:val="18"/>
              </w:rPr>
              <w:t>31</w:t>
            </w:r>
          </w:p>
        </w:tc>
        <w:tc>
          <w:tcPr>
            <w:tcW w:w="1244" w:type="dxa"/>
            <w:tcMar>
              <w:left w:w="108" w:type="dxa"/>
              <w:right w:w="108" w:type="dxa"/>
            </w:tcMar>
          </w:tcPr>
          <w:p w14:paraId="6B25F8E3" w14:textId="5917A43F"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 </w:t>
            </w:r>
          </w:p>
          <w:p w14:paraId="61437A4D" w14:textId="0057EF8F"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100% </w:t>
            </w:r>
          </w:p>
        </w:tc>
      </w:tr>
    </w:tbl>
    <w:p w14:paraId="218B6484"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556CA6B" w14:textId="77777777" w:rsidR="003152C3" w:rsidRPr="00AB06F3" w:rsidRDefault="003152C3" w:rsidP="0007568F">
      <w:pPr>
        <w:rPr>
          <w:rFonts w:ascii="Verdana" w:eastAsia="Verdana" w:hAnsi="Verdana" w:cs="Arial"/>
          <w:color w:val="000000" w:themeColor="text1"/>
          <w:sz w:val="24"/>
          <w:szCs w:val="24"/>
        </w:rPr>
      </w:pPr>
    </w:p>
    <w:p w14:paraId="04B5DE80" w14:textId="4CF9C712" w:rsidR="7E870C49" w:rsidRPr="00AB06F3" w:rsidRDefault="03E24981" w:rsidP="00164ED5">
      <w:pPr>
        <w:pStyle w:val="Prrafodelista"/>
        <w:numPr>
          <w:ilvl w:val="0"/>
          <w:numId w:val="19"/>
        </w:numPr>
        <w:spacing w:after="0" w:line="276" w:lineRule="auto"/>
        <w:jc w:val="both"/>
        <w:rPr>
          <w:rFonts w:ascii="Verdana" w:hAnsi="Verdana" w:cs="Arial"/>
        </w:rPr>
      </w:pPr>
      <w:r w:rsidRPr="00AB06F3">
        <w:rPr>
          <w:rFonts w:ascii="Verdana" w:eastAsia="Verdana" w:hAnsi="Verdana" w:cs="Arial"/>
          <w:color w:val="000000" w:themeColor="text1"/>
          <w:sz w:val="24"/>
          <w:szCs w:val="24"/>
        </w:rPr>
        <w:t>¿</w:t>
      </w:r>
      <w:r w:rsidR="4E320204" w:rsidRPr="00AB06F3">
        <w:rPr>
          <w:rFonts w:ascii="Verdana" w:eastAsia="Verdana" w:hAnsi="Verdana" w:cs="Arial"/>
          <w:color w:val="000000" w:themeColor="text1"/>
          <w:sz w:val="24"/>
          <w:szCs w:val="24"/>
        </w:rPr>
        <w:t xml:space="preserve">Cómo lo hicimos y con qué recursos?  </w:t>
      </w:r>
      <w:r w:rsidR="4E320204" w:rsidRPr="00AB06F3">
        <w:rPr>
          <w:rFonts w:ascii="Verdana" w:eastAsia="Calibri" w:hAnsi="Verdana" w:cs="Arial"/>
        </w:rPr>
        <w:t xml:space="preserve">   </w:t>
      </w:r>
    </w:p>
    <w:p w14:paraId="148957A3" w14:textId="0E3B3576" w:rsidR="7E870C49" w:rsidRPr="00AB06F3" w:rsidRDefault="003FB9B9" w:rsidP="00C25586">
      <w:pPr>
        <w:spacing w:after="0" w:line="276" w:lineRule="auto"/>
        <w:jc w:val="both"/>
        <w:rPr>
          <w:rFonts w:ascii="Verdana" w:hAnsi="Verdana" w:cs="Arial"/>
        </w:rPr>
      </w:pPr>
      <w:r w:rsidRPr="00AB06F3">
        <w:rPr>
          <w:rFonts w:ascii="Verdana" w:eastAsia="Verdana" w:hAnsi="Verdana" w:cs="Arial"/>
          <w:color w:val="000000" w:themeColor="text1"/>
          <w:sz w:val="24"/>
          <w:szCs w:val="24"/>
        </w:rPr>
        <w:t xml:space="preserve"> </w:t>
      </w:r>
    </w:p>
    <w:p w14:paraId="7A1B7DD5" w14:textId="77777777" w:rsidR="008B7FDB" w:rsidRDefault="00AB06F3" w:rsidP="00187721">
      <w:pPr>
        <w:spacing w:after="0" w:line="276" w:lineRule="auto"/>
        <w:jc w:val="both"/>
        <w:rPr>
          <w:rFonts w:ascii="Verdana" w:eastAsia="Verdana" w:hAnsi="Verdana" w:cs="Arial"/>
          <w:color w:val="000000" w:themeColor="text1"/>
        </w:rPr>
      </w:pPr>
      <w:r w:rsidRPr="000E6FD9">
        <w:rPr>
          <w:rFonts w:ascii="Verdana" w:eastAsia="Verdana" w:hAnsi="Verdana" w:cs="Arial"/>
          <w:color w:val="000000" w:themeColor="text1"/>
        </w:rPr>
        <w:t xml:space="preserve">El 7 de diciembre de 2016 se creó, mediante el Decreto 2027, el Consejo Nacional de Reincorporación (CNR), como instancia máxima para emitir lineamientos y hacer seguimiento a la implementación del Acuerdo de Paz en materia de reincorporación. Desde </w:t>
      </w:r>
      <w:r w:rsidR="00996F59">
        <w:rPr>
          <w:rFonts w:ascii="Verdana" w:eastAsia="Verdana" w:hAnsi="Verdana" w:cs="Arial"/>
          <w:color w:val="000000" w:themeColor="text1"/>
        </w:rPr>
        <w:t>su creación</w:t>
      </w:r>
      <w:r w:rsidRPr="000E6FD9">
        <w:rPr>
          <w:rFonts w:ascii="Verdana" w:eastAsia="Verdana" w:hAnsi="Verdana" w:cs="Arial"/>
          <w:color w:val="000000" w:themeColor="text1"/>
        </w:rPr>
        <w:t xml:space="preserve">, el Gobierno Nacional, a través de la </w:t>
      </w:r>
      <w:r w:rsidR="00FF5173">
        <w:rPr>
          <w:rFonts w:ascii="Verdana" w:eastAsia="Verdana" w:hAnsi="Verdana" w:cs="Arial"/>
          <w:color w:val="000000" w:themeColor="text1"/>
        </w:rPr>
        <w:t>Agencia para la Reincorporación y la Normalización</w:t>
      </w:r>
      <w:r w:rsidRPr="000E6FD9">
        <w:rPr>
          <w:rFonts w:ascii="Verdana" w:eastAsia="Verdana" w:hAnsi="Verdana" w:cs="Arial"/>
          <w:color w:val="000000" w:themeColor="text1"/>
        </w:rPr>
        <w:t xml:space="preserve">, ha </w:t>
      </w:r>
      <w:r w:rsidR="00996F59">
        <w:rPr>
          <w:rFonts w:ascii="Verdana" w:eastAsia="Verdana" w:hAnsi="Verdana" w:cs="Arial"/>
          <w:color w:val="000000" w:themeColor="text1"/>
        </w:rPr>
        <w:t xml:space="preserve">garantizado </w:t>
      </w:r>
      <w:r w:rsidRPr="000E6FD9">
        <w:rPr>
          <w:rFonts w:ascii="Verdana" w:eastAsia="Verdana" w:hAnsi="Verdana" w:cs="Arial"/>
          <w:color w:val="000000" w:themeColor="text1"/>
        </w:rPr>
        <w:t>su funcionamiento. Entre 2016 y 202</w:t>
      </w:r>
      <w:r w:rsidR="00910F99" w:rsidRPr="000E6FD9">
        <w:rPr>
          <w:rFonts w:ascii="Verdana" w:eastAsia="Verdana" w:hAnsi="Verdana" w:cs="Arial"/>
          <w:color w:val="000000" w:themeColor="text1"/>
        </w:rPr>
        <w:t>5</w:t>
      </w:r>
      <w:r w:rsidRPr="000E6FD9">
        <w:rPr>
          <w:rFonts w:ascii="Verdana" w:eastAsia="Verdana" w:hAnsi="Verdana" w:cs="Arial"/>
          <w:color w:val="000000" w:themeColor="text1"/>
        </w:rPr>
        <w:t>, el CNR ha sesionado en 15</w:t>
      </w:r>
      <w:r w:rsidR="00565348" w:rsidRPr="000E6FD9">
        <w:rPr>
          <w:rFonts w:ascii="Verdana" w:eastAsia="Verdana" w:hAnsi="Verdana" w:cs="Arial"/>
          <w:color w:val="000000" w:themeColor="text1"/>
        </w:rPr>
        <w:t>7</w:t>
      </w:r>
      <w:r w:rsidRPr="000E6FD9">
        <w:rPr>
          <w:rFonts w:ascii="Verdana" w:eastAsia="Verdana" w:hAnsi="Verdana" w:cs="Arial"/>
          <w:color w:val="000000" w:themeColor="text1"/>
        </w:rPr>
        <w:t xml:space="preserve"> ocasiones, en las cuales se han </w:t>
      </w:r>
      <w:r w:rsidR="00996F59">
        <w:rPr>
          <w:rFonts w:ascii="Verdana" w:eastAsia="Verdana" w:hAnsi="Verdana" w:cs="Arial"/>
          <w:color w:val="000000" w:themeColor="text1"/>
        </w:rPr>
        <w:t xml:space="preserve">adoptado </w:t>
      </w:r>
      <w:r w:rsidRPr="000E6FD9">
        <w:rPr>
          <w:rFonts w:ascii="Verdana" w:eastAsia="Verdana" w:hAnsi="Verdana" w:cs="Arial"/>
          <w:color w:val="000000" w:themeColor="text1"/>
        </w:rPr>
        <w:t xml:space="preserve">decisiones </w:t>
      </w:r>
      <w:r w:rsidR="00996F59">
        <w:rPr>
          <w:rFonts w:ascii="Verdana" w:eastAsia="Verdana" w:hAnsi="Verdana" w:cs="Arial"/>
          <w:color w:val="000000" w:themeColor="text1"/>
        </w:rPr>
        <w:t xml:space="preserve">orientadas a </w:t>
      </w:r>
      <w:r w:rsidRPr="000E6FD9">
        <w:rPr>
          <w:rFonts w:ascii="Verdana" w:eastAsia="Verdana" w:hAnsi="Verdana" w:cs="Arial"/>
          <w:color w:val="000000" w:themeColor="text1"/>
        </w:rPr>
        <w:t>benefici</w:t>
      </w:r>
      <w:r w:rsidR="00996F59">
        <w:rPr>
          <w:rFonts w:ascii="Verdana" w:eastAsia="Verdana" w:hAnsi="Verdana" w:cs="Arial"/>
          <w:color w:val="000000" w:themeColor="text1"/>
        </w:rPr>
        <w:t xml:space="preserve">ar a </w:t>
      </w:r>
      <w:r w:rsidRPr="000E6FD9">
        <w:rPr>
          <w:rFonts w:ascii="Verdana" w:eastAsia="Verdana" w:hAnsi="Verdana" w:cs="Arial"/>
          <w:color w:val="000000" w:themeColor="text1"/>
        </w:rPr>
        <w:t xml:space="preserve">la población en proceso de reincorporación y </w:t>
      </w:r>
      <w:r w:rsidR="008B7FDB">
        <w:rPr>
          <w:rFonts w:ascii="Verdana" w:eastAsia="Verdana" w:hAnsi="Verdana" w:cs="Arial"/>
          <w:color w:val="000000" w:themeColor="text1"/>
        </w:rPr>
        <w:t xml:space="preserve">a </w:t>
      </w:r>
      <w:r w:rsidRPr="000E6FD9">
        <w:rPr>
          <w:rFonts w:ascii="Verdana" w:eastAsia="Verdana" w:hAnsi="Verdana" w:cs="Arial"/>
          <w:color w:val="000000" w:themeColor="text1"/>
        </w:rPr>
        <w:t xml:space="preserve">los territorios </w:t>
      </w:r>
      <w:r w:rsidR="008B7FDB">
        <w:rPr>
          <w:rFonts w:ascii="Verdana" w:eastAsia="Verdana" w:hAnsi="Verdana" w:cs="Arial"/>
          <w:color w:val="000000" w:themeColor="text1"/>
        </w:rPr>
        <w:t>donde se encuentran</w:t>
      </w:r>
      <w:r w:rsidRPr="000E6FD9">
        <w:rPr>
          <w:rFonts w:ascii="Verdana" w:eastAsia="Verdana" w:hAnsi="Verdana" w:cs="Arial"/>
          <w:color w:val="000000" w:themeColor="text1"/>
        </w:rPr>
        <w:t xml:space="preserve">. </w:t>
      </w:r>
    </w:p>
    <w:p w14:paraId="1248F47C" w14:textId="77777777" w:rsidR="008B7FDB" w:rsidRDefault="008B7FDB" w:rsidP="009E5C37">
      <w:pPr>
        <w:spacing w:after="0" w:line="276" w:lineRule="auto"/>
        <w:rPr>
          <w:rFonts w:ascii="Verdana" w:eastAsia="Verdana" w:hAnsi="Verdana" w:cs="Arial"/>
          <w:color w:val="000000" w:themeColor="text1"/>
        </w:rPr>
      </w:pPr>
    </w:p>
    <w:p w14:paraId="36508D92" w14:textId="36AE8424" w:rsidR="7E870C49" w:rsidRPr="000E6FD9" w:rsidRDefault="008B7FDB" w:rsidP="00187721">
      <w:pPr>
        <w:spacing w:after="0" w:line="276" w:lineRule="auto"/>
        <w:jc w:val="both"/>
        <w:rPr>
          <w:rFonts w:ascii="Verdana" w:eastAsia="Verdana" w:hAnsi="Verdana" w:cs="Arial"/>
          <w:color w:val="000000" w:themeColor="text1"/>
        </w:rPr>
      </w:pPr>
      <w:r w:rsidRPr="008B7FDB">
        <w:rPr>
          <w:rFonts w:ascii="Verdana" w:eastAsia="Verdana" w:hAnsi="Verdana" w:cs="Arial"/>
          <w:color w:val="000000" w:themeColor="text1"/>
        </w:rPr>
        <w:t>El CNR está integrado por dos (2) representantes del Gobierno Nacional y dos (2) representantes de las FARC-EP en proceso de reincorporación a la vida civil.</w:t>
      </w:r>
    </w:p>
    <w:p w14:paraId="6E64502C" w14:textId="77777777" w:rsidR="00D11F2E" w:rsidRPr="000E6FD9" w:rsidRDefault="00D11F2E" w:rsidP="00187721">
      <w:pPr>
        <w:spacing w:after="0" w:line="276" w:lineRule="auto"/>
        <w:jc w:val="both"/>
        <w:rPr>
          <w:rFonts w:ascii="Verdana" w:eastAsia="Verdana" w:hAnsi="Verdana" w:cs="Arial"/>
          <w:color w:val="000000" w:themeColor="text1"/>
        </w:rPr>
      </w:pPr>
    </w:p>
    <w:p w14:paraId="30F62959" w14:textId="1FB4E2AA" w:rsidR="00D8761F" w:rsidRPr="000E6FD9" w:rsidRDefault="008B7FDB" w:rsidP="00187721">
      <w:pPr>
        <w:spacing w:after="0" w:line="276" w:lineRule="auto"/>
        <w:jc w:val="both"/>
        <w:rPr>
          <w:rFonts w:ascii="Verdana" w:eastAsia="Verdana" w:hAnsi="Verdana" w:cs="Arial"/>
          <w:color w:val="000000" w:themeColor="text1"/>
        </w:rPr>
      </w:pPr>
      <w:r>
        <w:rPr>
          <w:rFonts w:ascii="Verdana" w:eastAsia="Calibri" w:hAnsi="Verdana" w:cs="Arial"/>
        </w:rPr>
        <w:t xml:space="preserve">Durante la vigencia </w:t>
      </w:r>
      <w:r w:rsidR="00925E27" w:rsidRPr="00CF317F">
        <w:rPr>
          <w:rFonts w:ascii="Verdana" w:eastAsia="Calibri" w:hAnsi="Verdana" w:cs="Arial"/>
        </w:rPr>
        <w:t>2025,</w:t>
      </w:r>
      <w:r w:rsidR="00925E27" w:rsidRPr="00727672">
        <w:rPr>
          <w:rFonts w:ascii="Times New Roman" w:eastAsia="Times New Roman" w:hAnsi="Times New Roman" w:cs="Times New Roman"/>
          <w:kern w:val="0"/>
          <w:sz w:val="24"/>
          <w:szCs w:val="24"/>
          <w:lang w:eastAsia="es-CO"/>
          <w14:ligatures w14:val="none"/>
        </w:rPr>
        <w:t xml:space="preserve"> </w:t>
      </w:r>
      <w:r w:rsidR="00AB06F3" w:rsidRPr="000E6FD9">
        <w:rPr>
          <w:rFonts w:ascii="Verdana" w:eastAsia="Verdana" w:hAnsi="Verdana" w:cs="Arial"/>
          <w:color w:val="000000" w:themeColor="text1"/>
        </w:rPr>
        <w:t xml:space="preserve">el CNR sesionó en </w:t>
      </w:r>
      <w:r>
        <w:rPr>
          <w:rFonts w:ascii="Verdana" w:eastAsia="Verdana" w:hAnsi="Verdana" w:cs="Arial"/>
          <w:color w:val="000000" w:themeColor="text1"/>
        </w:rPr>
        <w:t>cinco (</w:t>
      </w:r>
      <w:r w:rsidR="003E6613">
        <w:rPr>
          <w:rFonts w:ascii="Verdana" w:eastAsia="Verdana" w:hAnsi="Verdana" w:cs="Arial"/>
          <w:color w:val="000000" w:themeColor="text1"/>
        </w:rPr>
        <w:t>5</w:t>
      </w:r>
      <w:r>
        <w:rPr>
          <w:rFonts w:ascii="Verdana" w:eastAsia="Verdana" w:hAnsi="Verdana" w:cs="Arial"/>
          <w:color w:val="000000" w:themeColor="text1"/>
        </w:rPr>
        <w:t>)</w:t>
      </w:r>
      <w:r w:rsidR="00AB06F3" w:rsidRPr="000E6FD9">
        <w:rPr>
          <w:rFonts w:ascii="Verdana" w:eastAsia="Verdana" w:hAnsi="Verdana" w:cs="Arial"/>
          <w:color w:val="000000" w:themeColor="text1"/>
        </w:rPr>
        <w:t xml:space="preserve"> </w:t>
      </w:r>
      <w:r>
        <w:rPr>
          <w:rFonts w:ascii="Verdana" w:eastAsia="Verdana" w:hAnsi="Verdana" w:cs="Arial"/>
          <w:color w:val="000000" w:themeColor="text1"/>
        </w:rPr>
        <w:t>oportunidades</w:t>
      </w:r>
      <w:r w:rsidR="00AB06F3" w:rsidRPr="000E6FD9">
        <w:rPr>
          <w:rFonts w:ascii="Verdana" w:eastAsia="Verdana" w:hAnsi="Verdana" w:cs="Arial"/>
          <w:color w:val="000000" w:themeColor="text1"/>
        </w:rPr>
        <w:t xml:space="preserve">, </w:t>
      </w:r>
      <w:r w:rsidR="00737B16" w:rsidRPr="000E6FD9">
        <w:rPr>
          <w:rFonts w:ascii="Verdana" w:eastAsia="Verdana" w:hAnsi="Verdana" w:cs="Arial"/>
          <w:color w:val="000000" w:themeColor="text1"/>
        </w:rPr>
        <w:t xml:space="preserve">correspondiente a </w:t>
      </w:r>
      <w:r w:rsidR="00590405">
        <w:rPr>
          <w:rFonts w:ascii="Verdana" w:eastAsia="Verdana" w:hAnsi="Verdana" w:cs="Arial"/>
          <w:color w:val="000000" w:themeColor="text1"/>
        </w:rPr>
        <w:t>cuatro (</w:t>
      </w:r>
      <w:r w:rsidR="007667B4" w:rsidRPr="000E6FD9">
        <w:rPr>
          <w:rFonts w:ascii="Verdana" w:eastAsia="Verdana" w:hAnsi="Verdana" w:cs="Arial"/>
          <w:color w:val="000000" w:themeColor="text1"/>
        </w:rPr>
        <w:t>4</w:t>
      </w:r>
      <w:r w:rsidR="00590405">
        <w:rPr>
          <w:rFonts w:ascii="Verdana" w:eastAsia="Verdana" w:hAnsi="Verdana" w:cs="Arial"/>
          <w:color w:val="000000" w:themeColor="text1"/>
        </w:rPr>
        <w:t>)</w:t>
      </w:r>
      <w:r w:rsidR="007667B4" w:rsidRPr="000E6FD9">
        <w:rPr>
          <w:rFonts w:ascii="Verdana" w:eastAsia="Verdana" w:hAnsi="Verdana" w:cs="Arial"/>
          <w:color w:val="000000" w:themeColor="text1"/>
        </w:rPr>
        <w:t xml:space="preserve"> sesiones ordinarias, </w:t>
      </w:r>
      <w:r w:rsidR="00590405">
        <w:rPr>
          <w:rFonts w:ascii="Verdana" w:eastAsia="Verdana" w:hAnsi="Verdana" w:cs="Arial"/>
          <w:color w:val="000000" w:themeColor="text1"/>
        </w:rPr>
        <w:t>una (</w:t>
      </w:r>
      <w:r w:rsidR="007667B4" w:rsidRPr="000E6FD9">
        <w:rPr>
          <w:rFonts w:ascii="Verdana" w:eastAsia="Verdana" w:hAnsi="Verdana" w:cs="Arial"/>
          <w:color w:val="000000" w:themeColor="text1"/>
        </w:rPr>
        <w:t>1</w:t>
      </w:r>
      <w:r w:rsidR="00590405">
        <w:rPr>
          <w:rFonts w:ascii="Verdana" w:eastAsia="Verdana" w:hAnsi="Verdana" w:cs="Arial"/>
          <w:color w:val="000000" w:themeColor="text1"/>
        </w:rPr>
        <w:t>)</w:t>
      </w:r>
      <w:r w:rsidR="007667B4" w:rsidRPr="000E6FD9">
        <w:rPr>
          <w:rFonts w:ascii="Verdana" w:eastAsia="Verdana" w:hAnsi="Verdana" w:cs="Arial"/>
          <w:color w:val="000000" w:themeColor="text1"/>
        </w:rPr>
        <w:t xml:space="preserve"> sesión extraordinaria</w:t>
      </w:r>
      <w:r w:rsidR="00590405">
        <w:rPr>
          <w:rFonts w:ascii="Verdana" w:eastAsia="Verdana" w:hAnsi="Verdana" w:cs="Arial"/>
          <w:color w:val="000000" w:themeColor="text1"/>
        </w:rPr>
        <w:t xml:space="preserve">, además de </w:t>
      </w:r>
      <w:r w:rsidR="007667B4" w:rsidRPr="000E6FD9">
        <w:rPr>
          <w:rFonts w:ascii="Verdana" w:eastAsia="Verdana" w:hAnsi="Verdana" w:cs="Arial"/>
          <w:color w:val="000000" w:themeColor="text1"/>
        </w:rPr>
        <w:t xml:space="preserve">dos </w:t>
      </w:r>
      <w:r w:rsidR="00590405">
        <w:rPr>
          <w:rFonts w:ascii="Verdana" w:eastAsia="Verdana" w:hAnsi="Verdana" w:cs="Arial"/>
          <w:color w:val="000000" w:themeColor="text1"/>
        </w:rPr>
        <w:t xml:space="preserve">(2) </w:t>
      </w:r>
      <w:r w:rsidR="007667B4" w:rsidRPr="000E6FD9">
        <w:rPr>
          <w:rFonts w:ascii="Verdana" w:eastAsia="Verdana" w:hAnsi="Verdana" w:cs="Arial"/>
          <w:color w:val="000000" w:themeColor="text1"/>
        </w:rPr>
        <w:t>sesiones de trabajo</w:t>
      </w:r>
      <w:r w:rsidR="00590405">
        <w:rPr>
          <w:rFonts w:ascii="Verdana" w:eastAsia="Verdana" w:hAnsi="Verdana" w:cs="Arial"/>
          <w:color w:val="000000" w:themeColor="text1"/>
        </w:rPr>
        <w:t xml:space="preserve">. En estos espacios se abordaron </w:t>
      </w:r>
      <w:r w:rsidR="00AB06F3" w:rsidRPr="000E6FD9">
        <w:rPr>
          <w:rFonts w:ascii="Verdana" w:eastAsia="Verdana" w:hAnsi="Verdana" w:cs="Arial"/>
          <w:color w:val="000000" w:themeColor="text1"/>
        </w:rPr>
        <w:t xml:space="preserve">temas </w:t>
      </w:r>
      <w:r w:rsidR="00590405">
        <w:rPr>
          <w:rFonts w:ascii="Verdana" w:eastAsia="Verdana" w:hAnsi="Verdana" w:cs="Arial"/>
          <w:color w:val="000000" w:themeColor="text1"/>
        </w:rPr>
        <w:t xml:space="preserve">estratégicos para el </w:t>
      </w:r>
      <w:r w:rsidR="00AB06F3" w:rsidRPr="000E6FD9">
        <w:rPr>
          <w:rFonts w:ascii="Verdana" w:eastAsia="Verdana" w:hAnsi="Verdana" w:cs="Arial"/>
          <w:color w:val="000000" w:themeColor="text1"/>
        </w:rPr>
        <w:t>proceso de reincorporación</w:t>
      </w:r>
      <w:r w:rsidR="00473EAE">
        <w:rPr>
          <w:rFonts w:ascii="Verdana" w:eastAsia="Verdana" w:hAnsi="Verdana" w:cs="Arial"/>
          <w:color w:val="000000" w:themeColor="text1"/>
        </w:rPr>
        <w:t xml:space="preserve">, entre ellos: la </w:t>
      </w:r>
      <w:r w:rsidR="00D8761F" w:rsidRPr="000E6FD9">
        <w:rPr>
          <w:rFonts w:ascii="Verdana" w:eastAsia="Verdana" w:hAnsi="Verdana" w:cs="Arial"/>
          <w:color w:val="000000" w:themeColor="text1"/>
        </w:rPr>
        <w:t xml:space="preserve">revisión y análisis </w:t>
      </w:r>
      <w:r w:rsidR="00D8761F" w:rsidRPr="000E6FD9">
        <w:rPr>
          <w:rFonts w:ascii="Verdana" w:eastAsia="Verdana" w:hAnsi="Verdana" w:cs="Arial"/>
          <w:color w:val="000000" w:themeColor="text1"/>
        </w:rPr>
        <w:lastRenderedPageBreak/>
        <w:t>de casos de proyectos productivos</w:t>
      </w:r>
      <w:r w:rsidR="00473EAE">
        <w:rPr>
          <w:rFonts w:ascii="Verdana" w:eastAsia="Verdana" w:hAnsi="Verdana" w:cs="Arial"/>
          <w:color w:val="000000" w:themeColor="text1"/>
        </w:rPr>
        <w:t>;</w:t>
      </w:r>
      <w:r w:rsidR="00D8761F" w:rsidRPr="000E6FD9">
        <w:rPr>
          <w:rFonts w:ascii="Verdana" w:eastAsia="Verdana" w:hAnsi="Verdana" w:cs="Arial"/>
          <w:color w:val="000000" w:themeColor="text1"/>
        </w:rPr>
        <w:t xml:space="preserve"> operación de los esquemas de salud </w:t>
      </w:r>
      <w:r w:rsidR="00537194">
        <w:rPr>
          <w:rFonts w:ascii="Verdana" w:eastAsia="Verdana" w:hAnsi="Verdana" w:cs="Arial"/>
          <w:color w:val="000000" w:themeColor="text1"/>
        </w:rPr>
        <w:t xml:space="preserve">y </w:t>
      </w:r>
      <w:r w:rsidR="009E5C37" w:rsidRPr="000E6FD9">
        <w:rPr>
          <w:rFonts w:ascii="Verdana" w:eastAsia="Verdana" w:hAnsi="Verdana" w:cs="Arial"/>
          <w:color w:val="000000" w:themeColor="text1"/>
        </w:rPr>
        <w:t>consolidación de</w:t>
      </w:r>
      <w:r w:rsidR="00D8761F" w:rsidRPr="000E6FD9">
        <w:rPr>
          <w:rFonts w:ascii="Verdana" w:eastAsia="Verdana" w:hAnsi="Verdana" w:cs="Arial"/>
          <w:color w:val="000000" w:themeColor="text1"/>
        </w:rPr>
        <w:t xml:space="preserve"> los Espacios Territoriales de Capacitación y Reincorporación</w:t>
      </w:r>
      <w:r w:rsidR="00473EAE">
        <w:rPr>
          <w:rFonts w:ascii="Verdana" w:eastAsia="Verdana" w:hAnsi="Verdana" w:cs="Arial"/>
          <w:color w:val="000000" w:themeColor="text1"/>
        </w:rPr>
        <w:t xml:space="preserve">; </w:t>
      </w:r>
      <w:r w:rsidR="00D8761F" w:rsidRPr="000E6FD9">
        <w:rPr>
          <w:rFonts w:ascii="Verdana" w:eastAsia="Verdana" w:hAnsi="Verdana" w:cs="Arial"/>
          <w:color w:val="000000" w:themeColor="text1"/>
        </w:rPr>
        <w:t xml:space="preserve">los avances en la implementación del Programa de Reincorporación Integral y </w:t>
      </w:r>
      <w:r w:rsidR="00473EAE">
        <w:rPr>
          <w:rFonts w:ascii="Verdana" w:eastAsia="Verdana" w:hAnsi="Verdana" w:cs="Arial"/>
          <w:color w:val="000000" w:themeColor="text1"/>
        </w:rPr>
        <w:t xml:space="preserve">de los </w:t>
      </w:r>
      <w:r w:rsidR="00D8761F" w:rsidRPr="000E6FD9">
        <w:rPr>
          <w:rFonts w:ascii="Verdana" w:eastAsia="Verdana" w:hAnsi="Verdana" w:cs="Arial"/>
          <w:color w:val="000000" w:themeColor="text1"/>
        </w:rPr>
        <w:t>Planes de Reincorporación Individual</w:t>
      </w:r>
      <w:r w:rsidR="00473EAE">
        <w:rPr>
          <w:rFonts w:ascii="Verdana" w:eastAsia="Verdana" w:hAnsi="Verdana" w:cs="Arial"/>
          <w:color w:val="000000" w:themeColor="text1"/>
        </w:rPr>
        <w:t xml:space="preserve">; </w:t>
      </w:r>
      <w:r w:rsidR="006D650F">
        <w:rPr>
          <w:rFonts w:ascii="Verdana" w:eastAsia="Verdana" w:hAnsi="Verdana" w:cs="Arial"/>
          <w:color w:val="000000" w:themeColor="text1"/>
        </w:rPr>
        <w:t xml:space="preserve"> el estado de </w:t>
      </w:r>
      <w:r w:rsidR="00D8761F" w:rsidRPr="000E6FD9">
        <w:rPr>
          <w:rFonts w:ascii="Verdana" w:eastAsia="Verdana" w:hAnsi="Verdana" w:cs="Arial"/>
          <w:color w:val="000000" w:themeColor="text1"/>
        </w:rPr>
        <w:t>implementación del Sistema Nacional de Reincorporació</w:t>
      </w:r>
      <w:r w:rsidR="006D650F">
        <w:rPr>
          <w:rFonts w:ascii="Verdana" w:eastAsia="Verdana" w:hAnsi="Verdana" w:cs="Arial"/>
          <w:color w:val="000000" w:themeColor="text1"/>
        </w:rPr>
        <w:t xml:space="preserve">n; </w:t>
      </w:r>
      <w:r w:rsidR="00D8761F" w:rsidRPr="000E6FD9">
        <w:rPr>
          <w:rFonts w:ascii="Verdana" w:eastAsia="Verdana" w:hAnsi="Verdana" w:cs="Arial"/>
          <w:color w:val="000000" w:themeColor="text1"/>
        </w:rPr>
        <w:t xml:space="preserve">la </w:t>
      </w:r>
      <w:r w:rsidR="00537194">
        <w:rPr>
          <w:rFonts w:ascii="Verdana" w:eastAsia="Verdana" w:hAnsi="Verdana" w:cs="Arial"/>
          <w:color w:val="000000" w:themeColor="text1"/>
        </w:rPr>
        <w:t>m</w:t>
      </w:r>
      <w:r w:rsidR="00D8761F" w:rsidRPr="000E6FD9">
        <w:rPr>
          <w:rFonts w:ascii="Verdana" w:eastAsia="Verdana" w:hAnsi="Verdana" w:cs="Arial"/>
          <w:color w:val="000000" w:themeColor="text1"/>
        </w:rPr>
        <w:t>etodología para la implementación de los Planes de Reincorporación Colectiva</w:t>
      </w:r>
      <w:r w:rsidR="006D650F">
        <w:rPr>
          <w:rFonts w:ascii="Verdana" w:eastAsia="Verdana" w:hAnsi="Verdana" w:cs="Arial"/>
          <w:color w:val="000000" w:themeColor="text1"/>
        </w:rPr>
        <w:t xml:space="preserve">; los </w:t>
      </w:r>
      <w:r w:rsidR="00537194">
        <w:rPr>
          <w:rFonts w:ascii="Verdana" w:eastAsia="Verdana" w:hAnsi="Verdana" w:cs="Arial"/>
          <w:color w:val="000000" w:themeColor="text1"/>
        </w:rPr>
        <w:t>p</w:t>
      </w:r>
      <w:r w:rsidR="00D8761F" w:rsidRPr="000E6FD9">
        <w:rPr>
          <w:rFonts w:ascii="Verdana" w:eastAsia="Verdana" w:hAnsi="Verdana" w:cs="Arial"/>
          <w:color w:val="000000" w:themeColor="text1"/>
        </w:rPr>
        <w:t>rocedimientos para el reconocimiento de las Áreas Especiales de Reincorporación Colectiva</w:t>
      </w:r>
      <w:r w:rsidR="008B1E5E">
        <w:rPr>
          <w:rFonts w:ascii="Verdana" w:eastAsia="Verdana" w:hAnsi="Verdana" w:cs="Arial"/>
          <w:color w:val="000000" w:themeColor="text1"/>
        </w:rPr>
        <w:t xml:space="preserve">; </w:t>
      </w:r>
      <w:r w:rsidR="00D8761F" w:rsidRPr="000E6FD9">
        <w:rPr>
          <w:rFonts w:ascii="Verdana" w:eastAsia="Verdana" w:hAnsi="Verdana" w:cs="Arial"/>
          <w:color w:val="000000" w:themeColor="text1"/>
        </w:rPr>
        <w:t>el contexto de seguridad</w:t>
      </w:r>
      <w:r w:rsidR="008B1E5E">
        <w:rPr>
          <w:rFonts w:ascii="Verdana" w:eastAsia="Verdana" w:hAnsi="Verdana" w:cs="Arial"/>
          <w:color w:val="000000" w:themeColor="text1"/>
        </w:rPr>
        <w:t xml:space="preserve"> en los territorios; los avances </w:t>
      </w:r>
      <w:r w:rsidR="00D8761F" w:rsidRPr="000E6FD9">
        <w:rPr>
          <w:rFonts w:ascii="Verdana" w:eastAsia="Verdana" w:hAnsi="Verdana" w:cs="Arial"/>
          <w:color w:val="000000" w:themeColor="text1"/>
        </w:rPr>
        <w:t>de la Estrategia de Sostenibilidad Económica</w:t>
      </w:r>
      <w:r w:rsidR="008B1E5E">
        <w:rPr>
          <w:rFonts w:ascii="Verdana" w:eastAsia="Verdana" w:hAnsi="Verdana" w:cs="Arial"/>
          <w:color w:val="000000" w:themeColor="text1"/>
        </w:rPr>
        <w:t xml:space="preserve">; </w:t>
      </w:r>
      <w:r w:rsidR="00D8761F" w:rsidRPr="000E6FD9">
        <w:rPr>
          <w:rFonts w:ascii="Verdana" w:eastAsia="Verdana" w:hAnsi="Verdana" w:cs="Arial"/>
          <w:color w:val="000000" w:themeColor="text1"/>
        </w:rPr>
        <w:t xml:space="preserve">el índice de reincorporación y </w:t>
      </w:r>
      <w:r w:rsidR="00522D1C">
        <w:rPr>
          <w:rFonts w:ascii="Verdana" w:eastAsia="Verdana" w:hAnsi="Verdana" w:cs="Arial"/>
          <w:color w:val="000000" w:themeColor="text1"/>
        </w:rPr>
        <w:t xml:space="preserve">su </w:t>
      </w:r>
      <w:r w:rsidR="00D8761F" w:rsidRPr="000E6FD9">
        <w:rPr>
          <w:rFonts w:ascii="Verdana" w:eastAsia="Verdana" w:hAnsi="Verdana" w:cs="Arial"/>
          <w:color w:val="000000" w:themeColor="text1"/>
        </w:rPr>
        <w:t xml:space="preserve">metodología </w:t>
      </w:r>
      <w:r w:rsidR="00522D1C">
        <w:rPr>
          <w:rFonts w:ascii="Verdana" w:eastAsia="Verdana" w:hAnsi="Verdana" w:cs="Arial"/>
          <w:color w:val="000000" w:themeColor="text1"/>
        </w:rPr>
        <w:t xml:space="preserve">de </w:t>
      </w:r>
      <w:r w:rsidR="00D8761F" w:rsidRPr="000E6FD9">
        <w:rPr>
          <w:rFonts w:ascii="Verdana" w:eastAsia="Verdana" w:hAnsi="Verdana" w:cs="Arial"/>
          <w:color w:val="000000" w:themeColor="text1"/>
        </w:rPr>
        <w:t>evaluación</w:t>
      </w:r>
      <w:r w:rsidR="00522D1C">
        <w:rPr>
          <w:rFonts w:ascii="Verdana" w:eastAsia="Verdana" w:hAnsi="Verdana" w:cs="Arial"/>
          <w:color w:val="000000" w:themeColor="text1"/>
        </w:rPr>
        <w:t xml:space="preserve">; así como el </w:t>
      </w:r>
      <w:r w:rsidR="00D8761F" w:rsidRPr="000E6FD9">
        <w:rPr>
          <w:rFonts w:ascii="Verdana" w:eastAsia="Verdana" w:hAnsi="Verdana" w:cs="Arial"/>
          <w:color w:val="000000" w:themeColor="text1"/>
        </w:rPr>
        <w:t>acceso a vivienda y tierras</w:t>
      </w:r>
      <w:r w:rsidR="00522D1C">
        <w:rPr>
          <w:rFonts w:ascii="Verdana" w:eastAsia="Verdana" w:hAnsi="Verdana" w:cs="Arial"/>
          <w:color w:val="000000" w:themeColor="text1"/>
        </w:rPr>
        <w:t xml:space="preserve"> para la población firmante del Acuerdo de Paz</w:t>
      </w:r>
      <w:r w:rsidR="00D8761F" w:rsidRPr="000E6FD9">
        <w:rPr>
          <w:rFonts w:ascii="Verdana" w:eastAsia="Verdana" w:hAnsi="Verdana" w:cs="Arial"/>
          <w:color w:val="000000" w:themeColor="text1"/>
        </w:rPr>
        <w:t>.</w:t>
      </w:r>
    </w:p>
    <w:p w14:paraId="1A36B6B0" w14:textId="77777777" w:rsidR="00D8761F" w:rsidRPr="00D57D9A" w:rsidRDefault="00D8761F" w:rsidP="00C25586">
      <w:pPr>
        <w:spacing w:after="0" w:line="276" w:lineRule="auto"/>
        <w:jc w:val="both"/>
        <w:rPr>
          <w:rFonts w:ascii="Verdana" w:eastAsia="Verdana" w:hAnsi="Verdana" w:cs="Arial"/>
          <w:color w:val="000000" w:themeColor="text1"/>
        </w:rPr>
      </w:pPr>
    </w:p>
    <w:p w14:paraId="2F1AB7DE" w14:textId="266E74C9" w:rsidR="00471DD8" w:rsidRPr="00471DD8" w:rsidRDefault="00522D1C" w:rsidP="00187721">
      <w:pPr>
        <w:pStyle w:val="Descripcin"/>
        <w:keepNext/>
        <w:jc w:val="both"/>
        <w:rPr>
          <w:rFonts w:ascii="Verdana" w:eastAsia="Verdana" w:hAnsi="Verdana" w:cs="Arial"/>
          <w:i w:val="0"/>
          <w:iCs w:val="0"/>
          <w:color w:val="000000" w:themeColor="text1"/>
          <w:sz w:val="22"/>
          <w:szCs w:val="22"/>
        </w:rPr>
      </w:pPr>
      <w:r>
        <w:rPr>
          <w:rFonts w:ascii="Verdana" w:eastAsia="Verdana" w:hAnsi="Verdana" w:cs="Arial"/>
          <w:i w:val="0"/>
          <w:iCs w:val="0"/>
          <w:color w:val="000000" w:themeColor="text1"/>
          <w:sz w:val="22"/>
          <w:szCs w:val="22"/>
        </w:rPr>
        <w:t xml:space="preserve">Entre los principales resultados en el marco del CNR durante </w:t>
      </w:r>
      <w:r w:rsidR="00471DD8" w:rsidRPr="00471DD8">
        <w:rPr>
          <w:rFonts w:ascii="Verdana" w:eastAsia="Verdana" w:hAnsi="Verdana" w:cs="Arial"/>
          <w:i w:val="0"/>
          <w:iCs w:val="0"/>
          <w:color w:val="000000" w:themeColor="text1"/>
          <w:sz w:val="22"/>
          <w:szCs w:val="22"/>
        </w:rPr>
        <w:t xml:space="preserve">2025 </w:t>
      </w:r>
      <w:r>
        <w:rPr>
          <w:rFonts w:ascii="Verdana" w:eastAsia="Verdana" w:hAnsi="Verdana" w:cs="Arial"/>
          <w:i w:val="0"/>
          <w:iCs w:val="0"/>
          <w:color w:val="000000" w:themeColor="text1"/>
          <w:sz w:val="22"/>
          <w:szCs w:val="22"/>
        </w:rPr>
        <w:t xml:space="preserve">se destacan: </w:t>
      </w:r>
    </w:p>
    <w:p w14:paraId="12073AF9" w14:textId="7BECFF1B"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xml:space="preserve">• Aprobación de los esquemas de salud para los ETCR, conforme a lo establecido en el Acuerdo de Paz (punto 3.2), el Decreto 2026 de 2017, el CONPES 3931 de 2017 y el Decreto 846 de 2024. </w:t>
      </w:r>
      <w:r w:rsidR="006C3106">
        <w:rPr>
          <w:rFonts w:ascii="Verdana" w:eastAsia="Verdana" w:hAnsi="Verdana" w:cs="Arial"/>
          <w:i w:val="0"/>
          <w:iCs w:val="0"/>
          <w:color w:val="000000" w:themeColor="text1"/>
          <w:sz w:val="22"/>
          <w:szCs w:val="22"/>
        </w:rPr>
        <w:t xml:space="preserve">Esta </w:t>
      </w:r>
      <w:r w:rsidRPr="00471DD8">
        <w:rPr>
          <w:rFonts w:ascii="Verdana" w:eastAsia="Verdana" w:hAnsi="Verdana" w:cs="Arial"/>
          <w:i w:val="0"/>
          <w:iCs w:val="0"/>
          <w:color w:val="000000" w:themeColor="text1"/>
          <w:sz w:val="22"/>
          <w:szCs w:val="22"/>
        </w:rPr>
        <w:t>medida implementada por el Ministerio de Salud, cuenta con una asignación presupuestal de $2.294.514.442</w:t>
      </w:r>
      <w:r w:rsidR="006C3106" w:rsidRPr="006C3106">
        <w:rPr>
          <w:rFonts w:ascii="Verdana" w:eastAsia="Verdana" w:hAnsi="Verdana" w:cs="Arial"/>
          <w:i w:val="0"/>
          <w:iCs w:val="0"/>
          <w:color w:val="000000" w:themeColor="text1"/>
          <w:sz w:val="22"/>
          <w:szCs w:val="22"/>
        </w:rPr>
        <w:t>, orientada a fortalecer la garantía del derecho a la salud de la población en reincorporación en estos espacios.</w:t>
      </w:r>
    </w:p>
    <w:p w14:paraId="3A6E1901" w14:textId="00F93D44"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xml:space="preserve">• Gestión de recursos extraordinarios para atender la emergencia humanitaria, en el marco de la declaratoria de conmoción interior, mediante la asignación de $26.212.000.000 a la ARN. De estos, </w:t>
      </w:r>
      <w:r w:rsidR="00CB3F82" w:rsidRPr="00D33AEA">
        <w:rPr>
          <w:rFonts w:ascii="Verdana" w:eastAsia="Verdana" w:hAnsi="Verdana" w:cs="Arial"/>
          <w:i w:val="0"/>
          <w:iCs w:val="0"/>
          <w:color w:val="000000" w:themeColor="text1"/>
          <w:sz w:val="22"/>
          <w:szCs w:val="22"/>
        </w:rPr>
        <w:t>$1.989.723.750 se destinaron con el fin de llevar a cabo el traslado del ETCR Caño Indio y avanzar en soluciones habitacionales y el acceso a servicios públicos esenciales en un nuevo predio</w:t>
      </w:r>
      <w:r w:rsidR="009241B2" w:rsidRPr="00D33AEA">
        <w:rPr>
          <w:rFonts w:ascii="Verdana" w:eastAsia="Verdana" w:hAnsi="Verdana" w:cs="Arial"/>
          <w:i w:val="0"/>
          <w:iCs w:val="0"/>
          <w:color w:val="000000" w:themeColor="text1"/>
          <w:sz w:val="22"/>
          <w:szCs w:val="22"/>
        </w:rPr>
        <w:t xml:space="preserve">, </w:t>
      </w:r>
      <w:r w:rsidR="00267EE9" w:rsidRPr="00D33AEA">
        <w:rPr>
          <w:rFonts w:ascii="Verdana" w:eastAsia="Verdana" w:hAnsi="Verdana" w:cs="Arial"/>
          <w:i w:val="0"/>
          <w:iCs w:val="0"/>
          <w:color w:val="000000" w:themeColor="text1"/>
          <w:sz w:val="22"/>
          <w:szCs w:val="22"/>
        </w:rPr>
        <w:t>de $9.096.165.000</w:t>
      </w:r>
      <w:r w:rsidR="00D33AEA" w:rsidRPr="00D33AEA">
        <w:rPr>
          <w:rFonts w:ascii="Verdana" w:eastAsia="Verdana" w:hAnsi="Verdana" w:cs="Arial"/>
          <w:i w:val="0"/>
          <w:iCs w:val="0"/>
          <w:color w:val="000000" w:themeColor="text1"/>
          <w:sz w:val="22"/>
          <w:szCs w:val="22"/>
        </w:rPr>
        <w:t>, para la financiación y ejecución de subsidios familiares de vivienda rural en especie, y acciones asociadas a procesos de habitabilidad focalizado en las personas en proceso de reincorporación para el ETCR Caño Indio</w:t>
      </w:r>
      <w:r w:rsidR="00CB3F82" w:rsidRPr="00471DD8">
        <w:rPr>
          <w:rFonts w:ascii="Verdana" w:eastAsia="Verdana" w:hAnsi="Verdana" w:cs="Arial"/>
          <w:i w:val="0"/>
          <w:iCs w:val="0"/>
          <w:color w:val="000000" w:themeColor="text1"/>
          <w:sz w:val="22"/>
          <w:szCs w:val="22"/>
        </w:rPr>
        <w:t xml:space="preserve"> </w:t>
      </w:r>
      <w:r w:rsidR="00CB3F82">
        <w:rPr>
          <w:rFonts w:ascii="Verdana" w:eastAsia="Verdana" w:hAnsi="Verdana" w:cs="Arial"/>
          <w:i w:val="0"/>
          <w:iCs w:val="0"/>
          <w:color w:val="000000" w:themeColor="text1"/>
          <w:sz w:val="22"/>
          <w:szCs w:val="22"/>
        </w:rPr>
        <w:t xml:space="preserve"> </w:t>
      </w:r>
      <w:r w:rsidRPr="00471DD8">
        <w:rPr>
          <w:rFonts w:ascii="Verdana" w:eastAsia="Verdana" w:hAnsi="Verdana" w:cs="Arial"/>
          <w:i w:val="0"/>
          <w:iCs w:val="0"/>
          <w:color w:val="000000" w:themeColor="text1"/>
          <w:sz w:val="22"/>
          <w:szCs w:val="22"/>
        </w:rPr>
        <w:t xml:space="preserve">y </w:t>
      </w:r>
      <w:r w:rsidR="003E2AF3" w:rsidRPr="00D33AEA">
        <w:rPr>
          <w:rFonts w:ascii="Verdana" w:eastAsia="Verdana" w:hAnsi="Verdana" w:cs="Arial"/>
          <w:i w:val="0"/>
          <w:iCs w:val="0"/>
          <w:color w:val="000000" w:themeColor="text1"/>
          <w:sz w:val="22"/>
          <w:szCs w:val="22"/>
        </w:rPr>
        <w:t xml:space="preserve">$15.126.111.250 </w:t>
      </w:r>
      <w:r w:rsidRPr="00471DD8">
        <w:rPr>
          <w:rFonts w:ascii="Verdana" w:eastAsia="Verdana" w:hAnsi="Verdana" w:cs="Arial"/>
          <w:i w:val="0"/>
          <w:iCs w:val="0"/>
          <w:color w:val="000000" w:themeColor="text1"/>
          <w:sz w:val="22"/>
          <w:szCs w:val="22"/>
        </w:rPr>
        <w:t>a la reactivación y sostenibilidad de proyectos productivos afectados. </w:t>
      </w:r>
    </w:p>
    <w:p w14:paraId="2CC21E32" w14:textId="1F562FC6"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Seguimiento a los avances del Sistema Nacional de Reincorporación, a través de una sesión dedicada a presentar resultados, identificar retos y fortalecer la articulación interinstitucional en los distintos componentes de la política de reincorporación. </w:t>
      </w:r>
    </w:p>
    <w:p w14:paraId="2E0D2E0B" w14:textId="1BEC0B5F"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Socialización de los procedimientos para la formalización de las Áreas Especiales de Reincorporación Colectiva y para la consolidación de los ETCR, aportando claridad normativa y operativa para la estabilidad territorial de los procesos colectivos. </w:t>
      </w:r>
    </w:p>
    <w:p w14:paraId="4AAC3995" w14:textId="0DAC1DD3"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xml:space="preserve">• Aprobación de tres </w:t>
      </w:r>
      <w:r w:rsidR="00CD3818">
        <w:rPr>
          <w:rFonts w:ascii="Verdana" w:eastAsia="Verdana" w:hAnsi="Verdana" w:cs="Arial"/>
          <w:i w:val="0"/>
          <w:iCs w:val="0"/>
          <w:color w:val="000000" w:themeColor="text1"/>
          <w:sz w:val="22"/>
          <w:szCs w:val="22"/>
        </w:rPr>
        <w:t xml:space="preserve">(3) </w:t>
      </w:r>
      <w:r w:rsidRPr="00471DD8">
        <w:rPr>
          <w:rFonts w:ascii="Verdana" w:eastAsia="Verdana" w:hAnsi="Verdana" w:cs="Arial"/>
          <w:i w:val="0"/>
          <w:iCs w:val="0"/>
          <w:color w:val="000000" w:themeColor="text1"/>
          <w:sz w:val="22"/>
          <w:szCs w:val="22"/>
        </w:rPr>
        <w:t>proyectos productivos colectivos, que beneficia</w:t>
      </w:r>
      <w:r w:rsidR="00CD3818">
        <w:rPr>
          <w:rFonts w:ascii="Verdana" w:eastAsia="Verdana" w:hAnsi="Verdana" w:cs="Arial"/>
          <w:i w:val="0"/>
          <w:iCs w:val="0"/>
          <w:color w:val="000000" w:themeColor="text1"/>
          <w:sz w:val="22"/>
          <w:szCs w:val="22"/>
        </w:rPr>
        <w:t>ron</w:t>
      </w:r>
      <w:r w:rsidRPr="00471DD8">
        <w:rPr>
          <w:rFonts w:ascii="Verdana" w:eastAsia="Verdana" w:hAnsi="Verdana" w:cs="Arial"/>
          <w:i w:val="0"/>
          <w:iCs w:val="0"/>
          <w:color w:val="000000" w:themeColor="text1"/>
          <w:sz w:val="22"/>
          <w:szCs w:val="22"/>
        </w:rPr>
        <w:t xml:space="preserve"> a 104 personas en reincorporación, incluyendo la reformulación de uno de ellos </w:t>
      </w:r>
      <w:r w:rsidRPr="00471DD8">
        <w:rPr>
          <w:rFonts w:ascii="Verdana" w:eastAsia="Verdana" w:hAnsi="Verdana" w:cs="Arial"/>
          <w:i w:val="0"/>
          <w:iCs w:val="0"/>
          <w:color w:val="000000" w:themeColor="text1"/>
          <w:sz w:val="22"/>
          <w:szCs w:val="22"/>
        </w:rPr>
        <w:lastRenderedPageBreak/>
        <w:t xml:space="preserve">tras el traslado de la forma asociativa a un predio adjudicado por la </w:t>
      </w:r>
      <w:r w:rsidR="00DC4D2F" w:rsidRPr="00DC4D2F">
        <w:rPr>
          <w:rFonts w:ascii="Verdana" w:eastAsia="Verdana" w:hAnsi="Verdana" w:cs="Arial"/>
          <w:i w:val="0"/>
          <w:iCs w:val="0"/>
          <w:color w:val="000000" w:themeColor="text1"/>
          <w:sz w:val="22"/>
          <w:szCs w:val="22"/>
        </w:rPr>
        <w:t xml:space="preserve">Agencia Nacional de Tierras </w:t>
      </w:r>
      <w:r w:rsidR="00DC4D2F">
        <w:rPr>
          <w:rFonts w:ascii="Verdana" w:eastAsia="Verdana" w:hAnsi="Verdana" w:cs="Arial"/>
          <w:i w:val="0"/>
          <w:iCs w:val="0"/>
          <w:color w:val="000000" w:themeColor="text1"/>
          <w:sz w:val="22"/>
          <w:szCs w:val="22"/>
        </w:rPr>
        <w:t>(</w:t>
      </w:r>
      <w:r w:rsidRPr="00471DD8">
        <w:rPr>
          <w:rFonts w:ascii="Verdana" w:eastAsia="Verdana" w:hAnsi="Verdana" w:cs="Arial"/>
          <w:i w:val="0"/>
          <w:iCs w:val="0"/>
          <w:color w:val="000000" w:themeColor="text1"/>
          <w:sz w:val="22"/>
          <w:szCs w:val="22"/>
        </w:rPr>
        <w:t>ANT</w:t>
      </w:r>
      <w:r w:rsidR="00DC4D2F">
        <w:rPr>
          <w:rFonts w:ascii="Verdana" w:eastAsia="Verdana" w:hAnsi="Verdana" w:cs="Arial"/>
          <w:i w:val="0"/>
          <w:iCs w:val="0"/>
          <w:color w:val="000000" w:themeColor="text1"/>
          <w:sz w:val="22"/>
          <w:szCs w:val="22"/>
        </w:rPr>
        <w:t>)</w:t>
      </w:r>
      <w:r w:rsidRPr="00471DD8">
        <w:rPr>
          <w:rFonts w:ascii="Verdana" w:eastAsia="Verdana" w:hAnsi="Verdana" w:cs="Arial"/>
          <w:i w:val="0"/>
          <w:iCs w:val="0"/>
          <w:color w:val="000000" w:themeColor="text1"/>
          <w:sz w:val="22"/>
          <w:szCs w:val="22"/>
        </w:rPr>
        <w:t>,</w:t>
      </w:r>
      <w:r w:rsidR="00DC4D2F">
        <w:rPr>
          <w:rFonts w:ascii="Verdana" w:eastAsia="Verdana" w:hAnsi="Verdana" w:cs="Arial"/>
          <w:i w:val="0"/>
          <w:iCs w:val="0"/>
          <w:color w:val="000000" w:themeColor="text1"/>
          <w:sz w:val="22"/>
          <w:szCs w:val="22"/>
        </w:rPr>
        <w:t xml:space="preserve"> con el fin de </w:t>
      </w:r>
      <w:r w:rsidRPr="00471DD8">
        <w:rPr>
          <w:rFonts w:ascii="Verdana" w:eastAsia="Verdana" w:hAnsi="Verdana" w:cs="Arial"/>
          <w:i w:val="0"/>
          <w:iCs w:val="0"/>
          <w:color w:val="000000" w:themeColor="text1"/>
          <w:sz w:val="22"/>
          <w:szCs w:val="22"/>
        </w:rPr>
        <w:t>garantiza</w:t>
      </w:r>
      <w:r w:rsidR="00DC4D2F">
        <w:rPr>
          <w:rFonts w:ascii="Verdana" w:eastAsia="Verdana" w:hAnsi="Verdana" w:cs="Arial"/>
          <w:i w:val="0"/>
          <w:iCs w:val="0"/>
          <w:color w:val="000000" w:themeColor="text1"/>
          <w:sz w:val="22"/>
          <w:szCs w:val="22"/>
        </w:rPr>
        <w:t xml:space="preserve">r </w:t>
      </w:r>
      <w:r w:rsidRPr="00471DD8">
        <w:rPr>
          <w:rFonts w:ascii="Verdana" w:eastAsia="Verdana" w:hAnsi="Verdana" w:cs="Arial"/>
          <w:i w:val="0"/>
          <w:iCs w:val="0"/>
          <w:color w:val="000000" w:themeColor="text1"/>
          <w:sz w:val="22"/>
          <w:szCs w:val="22"/>
        </w:rPr>
        <w:t>su viabilidad y sostenibilidad. </w:t>
      </w:r>
    </w:p>
    <w:p w14:paraId="4C29DDF3" w14:textId="77777777"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Ejercicios de balance sobre acceso a tierras y vivienda, reafirmando estos temas como ejes centrales de la reincorporación y priorizando su seguimiento permanente en la agenda del CNR. </w:t>
      </w:r>
    </w:p>
    <w:p w14:paraId="7D347E6D" w14:textId="2A488BA7"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00471DD8">
        <w:rPr>
          <w:rFonts w:ascii="Verdana" w:eastAsia="Verdana" w:hAnsi="Verdana" w:cs="Arial"/>
          <w:i w:val="0"/>
          <w:iCs w:val="0"/>
          <w:color w:val="000000" w:themeColor="text1"/>
          <w:sz w:val="22"/>
          <w:szCs w:val="22"/>
        </w:rPr>
        <w:t>• Seguimiento a la implementación del Programa de Reincorporación Integral, con énfasis en el estado de formulación de los planes individuales, las acciones priorizadas por la población firmante y la definición de instrumentos y cronograma para la medición del Índice de Reincorporación. </w:t>
      </w:r>
    </w:p>
    <w:p w14:paraId="61E322EB" w14:textId="3812A633" w:rsidR="00471DD8" w:rsidRPr="00471DD8" w:rsidRDefault="00471DD8" w:rsidP="00187721">
      <w:pPr>
        <w:pStyle w:val="Descripcin"/>
        <w:keepNext/>
        <w:jc w:val="both"/>
        <w:rPr>
          <w:rFonts w:ascii="Verdana" w:eastAsia="Verdana" w:hAnsi="Verdana" w:cs="Arial"/>
          <w:i w:val="0"/>
          <w:iCs w:val="0"/>
          <w:color w:val="000000" w:themeColor="text1"/>
          <w:sz w:val="22"/>
          <w:szCs w:val="22"/>
        </w:rPr>
      </w:pPr>
      <w:r w:rsidRPr="696F6128">
        <w:rPr>
          <w:rFonts w:ascii="Verdana" w:eastAsia="Verdana" w:hAnsi="Verdana" w:cs="Arial"/>
          <w:i w:val="0"/>
          <w:iCs w:val="0"/>
          <w:color w:val="000000" w:themeColor="text1"/>
          <w:sz w:val="22"/>
          <w:szCs w:val="22"/>
        </w:rPr>
        <w:t xml:space="preserve">• Presentación de instrumentos para fortalecer la inclusión financiera y productiva, </w:t>
      </w:r>
      <w:r w:rsidR="00254EFF" w:rsidRPr="696F6128">
        <w:rPr>
          <w:rFonts w:ascii="Verdana" w:eastAsia="Verdana" w:hAnsi="Verdana" w:cs="Arial"/>
          <w:i w:val="0"/>
          <w:iCs w:val="0"/>
          <w:color w:val="000000" w:themeColor="text1"/>
          <w:sz w:val="22"/>
          <w:szCs w:val="22"/>
        </w:rPr>
        <w:t xml:space="preserve">entre ellos </w:t>
      </w:r>
      <w:r w:rsidRPr="696F6128">
        <w:rPr>
          <w:rFonts w:ascii="Verdana" w:eastAsia="Verdana" w:hAnsi="Verdana" w:cs="Arial"/>
          <w:i w:val="0"/>
          <w:iCs w:val="0"/>
          <w:color w:val="000000" w:themeColor="text1"/>
          <w:sz w:val="22"/>
          <w:szCs w:val="22"/>
        </w:rPr>
        <w:t xml:space="preserve">el Convenio No. 1574 de 2025 entre el Banco Agrario y la ARN, orientado </w:t>
      </w:r>
      <w:r w:rsidR="00254EFF" w:rsidRPr="696F6128">
        <w:rPr>
          <w:rFonts w:ascii="Verdana" w:eastAsia="Verdana" w:hAnsi="Verdana" w:cs="Arial"/>
          <w:i w:val="0"/>
          <w:iCs w:val="0"/>
          <w:color w:val="000000" w:themeColor="text1"/>
          <w:sz w:val="22"/>
          <w:szCs w:val="22"/>
        </w:rPr>
        <w:t>a facilitar e</w:t>
      </w:r>
      <w:r w:rsidRPr="696F6128">
        <w:rPr>
          <w:rFonts w:ascii="Verdana" w:eastAsia="Verdana" w:hAnsi="Verdana" w:cs="Arial"/>
          <w:i w:val="0"/>
          <w:iCs w:val="0"/>
          <w:color w:val="000000" w:themeColor="text1"/>
          <w:sz w:val="22"/>
          <w:szCs w:val="22"/>
        </w:rPr>
        <w:t>l acceso al crédito, y el Contrato de Adhesión No. 1555 de 2024 entre</w:t>
      </w:r>
      <w:r w:rsidR="5C971030" w:rsidRPr="696F6128">
        <w:rPr>
          <w:rFonts w:ascii="Verdana" w:eastAsia="Verdana" w:hAnsi="Verdana" w:cs="Arial"/>
          <w:i w:val="0"/>
          <w:iCs w:val="0"/>
          <w:color w:val="000000" w:themeColor="text1"/>
          <w:sz w:val="22"/>
          <w:szCs w:val="22"/>
        </w:rPr>
        <w:t xml:space="preserve"> Unidades Tecnológicas de Santander</w:t>
      </w:r>
      <w:r w:rsidR="60646D6A" w:rsidRPr="696F6128">
        <w:rPr>
          <w:rFonts w:ascii="Verdana" w:eastAsia="Verdana" w:hAnsi="Verdana" w:cs="Arial"/>
          <w:i w:val="0"/>
          <w:iCs w:val="0"/>
          <w:color w:val="000000" w:themeColor="text1"/>
          <w:sz w:val="22"/>
          <w:szCs w:val="22"/>
        </w:rPr>
        <w:t xml:space="preserve"> (UTS)</w:t>
      </w:r>
      <w:r w:rsidR="5C971030" w:rsidRPr="696F6128">
        <w:rPr>
          <w:rFonts w:ascii="Verdana" w:eastAsia="Verdana" w:hAnsi="Verdana" w:cs="Arial"/>
          <w:i w:val="0"/>
          <w:iCs w:val="0"/>
          <w:color w:val="000000" w:themeColor="text1"/>
          <w:sz w:val="22"/>
          <w:szCs w:val="22"/>
        </w:rPr>
        <w:t xml:space="preserve"> </w:t>
      </w:r>
      <w:r w:rsidR="4C4126D4" w:rsidRPr="696F6128">
        <w:rPr>
          <w:rFonts w:eastAsiaTheme="minorEastAsia"/>
          <w:i w:val="0"/>
          <w:iCs w:val="0"/>
          <w:color w:val="000000" w:themeColor="text1"/>
          <w:sz w:val="22"/>
          <w:szCs w:val="22"/>
        </w:rPr>
        <w:t>Fondo Emprender</w:t>
      </w:r>
      <w:r w:rsidRPr="696F6128">
        <w:rPr>
          <w:rFonts w:eastAsiaTheme="minorEastAsia"/>
          <w:i w:val="0"/>
          <w:iCs w:val="0"/>
          <w:color w:val="000000" w:themeColor="text1"/>
          <w:sz w:val="22"/>
          <w:szCs w:val="22"/>
        </w:rPr>
        <w:t xml:space="preserve"> y SENA, </w:t>
      </w:r>
      <w:r w:rsidR="007D6657" w:rsidRPr="696F6128">
        <w:rPr>
          <w:rFonts w:ascii="Verdana" w:eastAsia="Verdana" w:hAnsi="Verdana" w:cs="Arial"/>
          <w:i w:val="0"/>
          <w:iCs w:val="0"/>
          <w:color w:val="000000" w:themeColor="text1"/>
          <w:sz w:val="22"/>
          <w:szCs w:val="22"/>
        </w:rPr>
        <w:t xml:space="preserve">dirigido a </w:t>
      </w:r>
      <w:r w:rsidRPr="696F6128">
        <w:rPr>
          <w:rFonts w:ascii="Verdana" w:eastAsia="Verdana" w:hAnsi="Verdana" w:cs="Arial"/>
          <w:i w:val="0"/>
          <w:iCs w:val="0"/>
          <w:color w:val="000000" w:themeColor="text1"/>
          <w:sz w:val="22"/>
          <w:szCs w:val="22"/>
        </w:rPr>
        <w:t>financiar iniciativas productivas de la economía campesina, especialmente en los sectores agropecuario y agroindustrial. </w:t>
      </w:r>
    </w:p>
    <w:p w14:paraId="5AF3A533" w14:textId="35D35C23" w:rsidR="0084614E" w:rsidRPr="0084614E" w:rsidRDefault="0084614E" w:rsidP="0084614E">
      <w:pPr>
        <w:pStyle w:val="Descripcin"/>
        <w:keepNext/>
        <w:jc w:val="center"/>
        <w:rPr>
          <w:rFonts w:ascii="Verdana" w:eastAsia="Verdana" w:hAnsi="Verdana" w:cs="Arial"/>
          <w:i w:val="0"/>
          <w:iCs w:val="0"/>
          <w:color w:val="000000" w:themeColor="text1"/>
        </w:rPr>
      </w:pPr>
      <w:bookmarkStart w:id="26" w:name="_Toc225283135"/>
      <w:r w:rsidRPr="0084614E">
        <w:rPr>
          <w:rFonts w:ascii="Verdana" w:eastAsia="Verdana" w:hAnsi="Verdana" w:cs="Arial"/>
          <w:i w:val="0"/>
          <w:iCs w:val="0"/>
          <w:color w:val="000000" w:themeColor="text1"/>
        </w:rPr>
        <w:t xml:space="preserve">Tabla </w:t>
      </w:r>
      <w:r w:rsidRPr="0084614E">
        <w:rPr>
          <w:rFonts w:ascii="Verdana" w:eastAsia="Verdana" w:hAnsi="Verdana" w:cs="Arial"/>
          <w:i w:val="0"/>
          <w:iCs w:val="0"/>
          <w:color w:val="000000" w:themeColor="text1"/>
        </w:rPr>
        <w:fldChar w:fldCharType="begin"/>
      </w:r>
      <w:r w:rsidRPr="0084614E">
        <w:rPr>
          <w:rFonts w:ascii="Verdana" w:eastAsia="Verdana" w:hAnsi="Verdana" w:cs="Arial"/>
          <w:i w:val="0"/>
          <w:iCs w:val="0"/>
          <w:color w:val="000000" w:themeColor="text1"/>
        </w:rPr>
        <w:instrText xml:space="preserve"> SEQ Tabla \* ARABIC </w:instrText>
      </w:r>
      <w:r w:rsidRPr="0084614E">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23</w:t>
      </w:r>
      <w:r w:rsidRPr="0084614E">
        <w:rPr>
          <w:rFonts w:ascii="Verdana" w:eastAsia="Verdana" w:hAnsi="Verdana" w:cs="Arial"/>
          <w:i w:val="0"/>
          <w:iCs w:val="0"/>
          <w:color w:val="000000" w:themeColor="text1"/>
        </w:rPr>
        <w:fldChar w:fldCharType="end"/>
      </w:r>
      <w:r w:rsidRPr="0084614E">
        <w:rPr>
          <w:rFonts w:ascii="Verdana" w:eastAsia="Verdana" w:hAnsi="Verdana" w:cs="Arial"/>
          <w:i w:val="0"/>
          <w:iCs w:val="0"/>
          <w:color w:val="000000" w:themeColor="text1"/>
        </w:rPr>
        <w:t>. Detalle de las principales acciones del indicador C.221</w:t>
      </w:r>
      <w:bookmarkEnd w:id="26"/>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33167E86" w:rsidRPr="00AB06F3" w14:paraId="0C8C3364" w14:textId="77777777" w:rsidTr="0084614E">
        <w:trPr>
          <w:trHeight w:val="113"/>
          <w:tblHeader/>
        </w:trPr>
        <w:tc>
          <w:tcPr>
            <w:tcW w:w="1985" w:type="dxa"/>
            <w:tcMar>
              <w:left w:w="108" w:type="dxa"/>
              <w:right w:w="108" w:type="dxa"/>
            </w:tcMar>
          </w:tcPr>
          <w:p w14:paraId="5E2EA170" w14:textId="6B3DBE29" w:rsidR="33167E86" w:rsidRPr="00436D99" w:rsidRDefault="33167E86" w:rsidP="00436D99">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23FB361F" w14:textId="2CE8AD9A" w:rsidR="33167E86" w:rsidRPr="00436D99" w:rsidRDefault="33167E86" w:rsidP="00436D99">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62883E55" w14:textId="34E08C6C" w:rsidR="33167E86" w:rsidRPr="00436D99" w:rsidRDefault="33167E86" w:rsidP="00436D99">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sidR="00941EDC">
              <w:rPr>
                <w:rFonts w:ascii="Verdana" w:eastAsia="Verdana" w:hAnsi="Verdana" w:cs="Arial"/>
                <w:b/>
                <w:bCs/>
                <w:color w:val="000000" w:themeColor="text1"/>
                <w:sz w:val="18"/>
                <w:szCs w:val="18"/>
              </w:rPr>
              <w:t>5</w:t>
            </w:r>
          </w:p>
        </w:tc>
      </w:tr>
      <w:tr w:rsidR="00D0286F" w:rsidRPr="00AB06F3" w14:paraId="4E72B880" w14:textId="77777777" w:rsidTr="00D52395">
        <w:trPr>
          <w:trHeight w:val="1650"/>
        </w:trPr>
        <w:tc>
          <w:tcPr>
            <w:tcW w:w="1985" w:type="dxa"/>
            <w:tcMar>
              <w:left w:w="108" w:type="dxa"/>
              <w:right w:w="108" w:type="dxa"/>
            </w:tcMar>
          </w:tcPr>
          <w:p w14:paraId="06637CBA" w14:textId="2254AC98" w:rsidR="00D0286F" w:rsidRPr="00AB06F3" w:rsidRDefault="00D0286F" w:rsidP="002C74D3">
            <w:pPr>
              <w:spacing w:line="276" w:lineRule="auto"/>
              <w:jc w:val="both"/>
              <w:rPr>
                <w:rFonts w:ascii="Verdana" w:hAnsi="Verdana" w:cs="Arial"/>
              </w:rPr>
            </w:pPr>
            <w:r w:rsidRPr="00AB06F3">
              <w:rPr>
                <w:rFonts w:ascii="Verdana" w:eastAsia="Verdana" w:hAnsi="Verdana" w:cs="Arial"/>
                <w:sz w:val="18"/>
                <w:szCs w:val="18"/>
              </w:rPr>
              <w:t>C.221 Consejo Nacional de Reincorporación creado y en funcionamiento</w:t>
            </w:r>
          </w:p>
        </w:tc>
        <w:tc>
          <w:tcPr>
            <w:tcW w:w="4677" w:type="dxa"/>
            <w:tcMar>
              <w:left w:w="108" w:type="dxa"/>
              <w:right w:w="108" w:type="dxa"/>
            </w:tcMar>
          </w:tcPr>
          <w:p w14:paraId="0F88E93E" w14:textId="6F9C66A6" w:rsidR="00F25B52" w:rsidRDefault="00D0286F" w:rsidP="00F25B52">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Durante</w:t>
            </w:r>
            <w:r w:rsidR="00F25B52" w:rsidRPr="00AB06F3">
              <w:rPr>
                <w:rFonts w:ascii="Verdana" w:eastAsia="Verdana" w:hAnsi="Verdana" w:cs="Arial"/>
                <w:color w:val="000000" w:themeColor="text1"/>
                <w:sz w:val="18"/>
                <w:szCs w:val="18"/>
              </w:rPr>
              <w:t xml:space="preserve"> el año 202</w:t>
            </w:r>
            <w:r w:rsidR="00F25B52">
              <w:rPr>
                <w:rFonts w:ascii="Verdana" w:eastAsia="Verdana" w:hAnsi="Verdana" w:cs="Arial"/>
                <w:color w:val="000000" w:themeColor="text1"/>
                <w:sz w:val="18"/>
                <w:szCs w:val="18"/>
              </w:rPr>
              <w:t>5</w:t>
            </w:r>
            <w:r w:rsidR="00F25B52" w:rsidRPr="00AB06F3">
              <w:rPr>
                <w:rFonts w:ascii="Verdana" w:eastAsia="Verdana" w:hAnsi="Verdana" w:cs="Arial"/>
                <w:color w:val="000000" w:themeColor="text1"/>
                <w:sz w:val="18"/>
                <w:szCs w:val="18"/>
              </w:rPr>
              <w:t xml:space="preserve"> se realizaron </w:t>
            </w:r>
            <w:r w:rsidR="00D67979">
              <w:rPr>
                <w:rFonts w:ascii="Verdana" w:eastAsia="Verdana" w:hAnsi="Verdana" w:cs="Arial"/>
                <w:color w:val="000000" w:themeColor="text1"/>
                <w:sz w:val="18"/>
                <w:szCs w:val="18"/>
              </w:rPr>
              <w:t>5</w:t>
            </w:r>
            <w:r w:rsidR="00F25B52" w:rsidRPr="00AB06F3">
              <w:rPr>
                <w:rFonts w:ascii="Verdana" w:eastAsia="Verdana" w:hAnsi="Verdana" w:cs="Arial"/>
                <w:color w:val="000000" w:themeColor="text1"/>
                <w:sz w:val="18"/>
                <w:szCs w:val="18"/>
              </w:rPr>
              <w:t xml:space="preserve"> sesiones del </w:t>
            </w:r>
            <w:r w:rsidR="00774030" w:rsidRPr="00774030">
              <w:rPr>
                <w:rFonts w:ascii="Verdana" w:eastAsia="Verdana" w:hAnsi="Verdana" w:cs="Arial"/>
                <w:color w:val="000000" w:themeColor="text1"/>
                <w:sz w:val="18"/>
                <w:szCs w:val="18"/>
              </w:rPr>
              <w:t>Consejo Nacional de Reincorporació</w:t>
            </w:r>
            <w:r w:rsidR="00774030">
              <w:rPr>
                <w:rFonts w:ascii="Verdana" w:eastAsia="Verdana" w:hAnsi="Verdana" w:cs="Arial"/>
                <w:color w:val="000000" w:themeColor="text1"/>
                <w:sz w:val="18"/>
                <w:szCs w:val="18"/>
              </w:rPr>
              <w:t>n -4</w:t>
            </w:r>
            <w:r w:rsidR="00774030" w:rsidRPr="00DE6BE6">
              <w:rPr>
                <w:rFonts w:ascii="Verdana" w:eastAsia="Verdana" w:hAnsi="Verdana" w:cs="Arial"/>
                <w:color w:val="000000" w:themeColor="text1"/>
                <w:sz w:val="18"/>
                <w:szCs w:val="18"/>
              </w:rPr>
              <w:t xml:space="preserve"> sesiones </w:t>
            </w:r>
            <w:r w:rsidR="00774030">
              <w:rPr>
                <w:rFonts w:ascii="Verdana" w:eastAsia="Verdana" w:hAnsi="Verdana" w:cs="Arial"/>
                <w:color w:val="000000" w:themeColor="text1"/>
                <w:sz w:val="18"/>
                <w:szCs w:val="18"/>
              </w:rPr>
              <w:t>ordinarias</w:t>
            </w:r>
            <w:r w:rsidR="00616927">
              <w:rPr>
                <w:rFonts w:ascii="Verdana" w:eastAsia="Verdana" w:hAnsi="Verdana" w:cs="Arial"/>
                <w:color w:val="000000" w:themeColor="text1"/>
                <w:sz w:val="18"/>
                <w:szCs w:val="18"/>
              </w:rPr>
              <w:t xml:space="preserve"> y </w:t>
            </w:r>
            <w:r w:rsidR="00DE6BE6" w:rsidRPr="00DE6BE6">
              <w:rPr>
                <w:rFonts w:ascii="Verdana" w:eastAsia="Verdana" w:hAnsi="Verdana" w:cs="Arial"/>
                <w:color w:val="000000" w:themeColor="text1"/>
                <w:sz w:val="18"/>
                <w:szCs w:val="18"/>
              </w:rPr>
              <w:t>1 sesión extraordinaria</w:t>
            </w:r>
            <w:r w:rsidR="00616927">
              <w:rPr>
                <w:rFonts w:ascii="Verdana" w:eastAsia="Verdana" w:hAnsi="Verdana" w:cs="Arial"/>
                <w:color w:val="000000" w:themeColor="text1"/>
                <w:sz w:val="18"/>
                <w:szCs w:val="18"/>
              </w:rPr>
              <w:t>-</w:t>
            </w:r>
            <w:r w:rsidR="00DE6BE6" w:rsidRPr="00DE6BE6">
              <w:rPr>
                <w:rFonts w:ascii="Verdana" w:eastAsia="Verdana" w:hAnsi="Verdana" w:cs="Arial"/>
                <w:color w:val="000000" w:themeColor="text1"/>
                <w:sz w:val="18"/>
                <w:szCs w:val="18"/>
              </w:rPr>
              <w:t xml:space="preserve"> </w:t>
            </w:r>
            <w:r w:rsidR="00F25B52">
              <w:rPr>
                <w:rFonts w:ascii="Verdana" w:eastAsia="Verdana" w:hAnsi="Verdana" w:cs="Arial"/>
                <w:color w:val="000000" w:themeColor="text1"/>
                <w:sz w:val="18"/>
                <w:szCs w:val="18"/>
              </w:rPr>
              <w:t>en las cuales se abordaron las siguientes temáticas:</w:t>
            </w:r>
          </w:p>
          <w:p w14:paraId="7BB79ACB" w14:textId="77777777" w:rsid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982808">
              <w:rPr>
                <w:rFonts w:ascii="Verdana" w:eastAsia="Verdana" w:hAnsi="Verdana" w:cs="Arial"/>
                <w:color w:val="000000" w:themeColor="text1"/>
                <w:sz w:val="18"/>
                <w:szCs w:val="18"/>
              </w:rPr>
              <w:t>Recepción y análisis de la retroalimentación de Comunes sobre el funcionamiento de la Secretaría del CNR.</w:t>
            </w:r>
            <w:r w:rsidR="00982808" w:rsidRPr="00982808">
              <w:rPr>
                <w:rFonts w:ascii="Verdana" w:eastAsia="Verdana" w:hAnsi="Verdana" w:cs="Arial"/>
                <w:color w:val="000000" w:themeColor="text1"/>
                <w:sz w:val="18"/>
                <w:szCs w:val="18"/>
              </w:rPr>
              <w:t xml:space="preserve"> </w:t>
            </w:r>
          </w:p>
          <w:p w14:paraId="53DC1EF9" w14:textId="77777777" w:rsid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6C7C22">
              <w:rPr>
                <w:rFonts w:ascii="Verdana" w:eastAsia="Verdana" w:hAnsi="Verdana" w:cs="Arial"/>
                <w:color w:val="000000" w:themeColor="text1"/>
                <w:sz w:val="18"/>
                <w:szCs w:val="18"/>
              </w:rPr>
              <w:t>Propuesta de acciones para fortalecer la articulación y capacidad de incidencia de la Secretaría.</w:t>
            </w:r>
          </w:p>
          <w:p w14:paraId="09F2F0B6" w14:textId="77777777" w:rsid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982808">
              <w:rPr>
                <w:rFonts w:ascii="Verdana" w:eastAsia="Verdana" w:hAnsi="Verdana" w:cs="Arial"/>
                <w:color w:val="000000" w:themeColor="text1"/>
                <w:sz w:val="18"/>
                <w:szCs w:val="18"/>
              </w:rPr>
              <w:t>Presentación de ajuste al número de enlaces territoriales y nacionales de la delegación de Comunes.</w:t>
            </w:r>
          </w:p>
          <w:p w14:paraId="714A84B0" w14:textId="77777777" w:rsid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982808">
              <w:rPr>
                <w:rFonts w:ascii="Verdana" w:eastAsia="Verdana" w:hAnsi="Verdana" w:cs="Arial"/>
                <w:color w:val="000000" w:themeColor="text1"/>
                <w:sz w:val="18"/>
                <w:szCs w:val="18"/>
              </w:rPr>
              <w:t>Espacio de diálogo técnico y paritario entre Gobierno y Comunes.</w:t>
            </w:r>
          </w:p>
          <w:p w14:paraId="3CC6FE15" w14:textId="17C81140" w:rsidR="006C7C22" w:rsidRPr="00982808" w:rsidRDefault="006C7C22" w:rsidP="00164ED5">
            <w:pPr>
              <w:pStyle w:val="Prrafodelista"/>
              <w:numPr>
                <w:ilvl w:val="0"/>
                <w:numId w:val="14"/>
              </w:numPr>
              <w:tabs>
                <w:tab w:val="left" w:pos="318"/>
              </w:tabs>
              <w:spacing w:line="276" w:lineRule="auto"/>
              <w:ind w:left="0" w:firstLine="23"/>
              <w:jc w:val="both"/>
              <w:rPr>
                <w:rFonts w:ascii="Verdana" w:eastAsia="Verdana" w:hAnsi="Verdana" w:cs="Arial"/>
                <w:color w:val="000000" w:themeColor="text1"/>
                <w:sz w:val="18"/>
                <w:szCs w:val="18"/>
              </w:rPr>
            </w:pPr>
            <w:r w:rsidRPr="00982808">
              <w:rPr>
                <w:rFonts w:ascii="Verdana" w:eastAsia="Verdana" w:hAnsi="Verdana" w:cs="Arial"/>
                <w:color w:val="000000" w:themeColor="text1"/>
                <w:sz w:val="18"/>
                <w:szCs w:val="18"/>
              </w:rPr>
              <w:t>Definición y aprobación de acuerdos sobre la ruta de funcionamiento del CNR y su Secretaría.</w:t>
            </w:r>
          </w:p>
          <w:p w14:paraId="4DA67343" w14:textId="77777777" w:rsidR="00EC3FEA" w:rsidRDefault="00EC3FEA" w:rsidP="006C7C22">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6C7C22" w:rsidRPr="006C7C22">
              <w:rPr>
                <w:rFonts w:ascii="Verdana" w:eastAsia="Verdana" w:hAnsi="Verdana" w:cs="Arial"/>
                <w:color w:val="000000" w:themeColor="text1"/>
                <w:sz w:val="18"/>
                <w:szCs w:val="18"/>
              </w:rPr>
              <w:t xml:space="preserve"> Clarificación de roles y dinámica operativa de la instancia.</w:t>
            </w:r>
          </w:p>
          <w:p w14:paraId="11F19995" w14:textId="77777777" w:rsidR="00412118"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6C7C22" w:rsidRPr="006C7C22">
              <w:rPr>
                <w:rFonts w:ascii="Verdana" w:eastAsia="Verdana" w:hAnsi="Verdana" w:cs="Arial"/>
                <w:color w:val="000000" w:themeColor="text1"/>
                <w:sz w:val="18"/>
                <w:szCs w:val="18"/>
              </w:rPr>
              <w:t>Consolidación de consensos entre las delegaciones.</w:t>
            </w:r>
          </w:p>
          <w:p w14:paraId="66C5F7B9" w14:textId="48A4346A" w:rsidR="00852AC6" w:rsidRPr="00852AC6"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Generación de un espacio de diálogo directo entre firmantes del Catatumbo y entidades nacionales y territoriales.</w:t>
            </w:r>
          </w:p>
          <w:p w14:paraId="53BD6D4A" w14:textId="04E7853B" w:rsidR="00852AC6" w:rsidRPr="00852AC6"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Visibilización de retos en tierras, vivienda, sostenibilidad económica y seguridad.</w:t>
            </w:r>
          </w:p>
          <w:p w14:paraId="25169E1B" w14:textId="127D29E7" w:rsidR="00852AC6" w:rsidRPr="00852AC6"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 xml:space="preserve"> Enfoque territorial en contexto de emergencia humanitaria.</w:t>
            </w:r>
          </w:p>
          <w:p w14:paraId="2BE85280" w14:textId="040C5440" w:rsidR="00852AC6" w:rsidRPr="00852AC6" w:rsidRDefault="00412118"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lastRenderedPageBreak/>
              <w:t xml:space="preserve">- </w:t>
            </w:r>
            <w:r w:rsidR="00852AC6" w:rsidRPr="00852AC6">
              <w:rPr>
                <w:rFonts w:ascii="Verdana" w:eastAsia="Verdana" w:hAnsi="Verdana" w:cs="Arial"/>
                <w:color w:val="000000" w:themeColor="text1"/>
                <w:sz w:val="18"/>
                <w:szCs w:val="18"/>
              </w:rPr>
              <w:t>Balance de avances del Programa de Reincorporación Integral (PRI) y planes individuales.</w:t>
            </w:r>
          </w:p>
          <w:p w14:paraId="0AB1B280" w14:textId="083EA99B"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Avances en la implementación del Sistema Nacional de Reincorporación (SNR).</w:t>
            </w:r>
          </w:p>
          <w:p w14:paraId="5E197C3D" w14:textId="32302BFE"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Definición de metodología para Planes de Reincorporación Colectiva.</w:t>
            </w:r>
          </w:p>
          <w:p w14:paraId="12C022A7" w14:textId="4397D0C0"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Avances en procedimientos para reconocimiento de AERC y consolidación de ETCR.</w:t>
            </w:r>
          </w:p>
          <w:p w14:paraId="6FFE291F" w14:textId="41A6C62E"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Presentación del balance de seguridad por la Unidad de Implementación del Acuerdo.</w:t>
            </w:r>
          </w:p>
          <w:p w14:paraId="0BDAA3B5" w14:textId="53AA2166"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 xml:space="preserve"> Expedición del Informe No. 7 de seguimiento al Acuerdo de Paz.</w:t>
            </w:r>
          </w:p>
          <w:p w14:paraId="5DC6FC97" w14:textId="311CBC5A"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 xml:space="preserve">Aprobación de </w:t>
            </w:r>
            <w:r w:rsidR="00517D0F">
              <w:rPr>
                <w:rFonts w:ascii="Verdana" w:eastAsia="Verdana" w:hAnsi="Verdana" w:cs="Arial"/>
                <w:color w:val="000000" w:themeColor="text1"/>
                <w:sz w:val="18"/>
                <w:szCs w:val="18"/>
              </w:rPr>
              <w:t>tres</w:t>
            </w:r>
            <w:r w:rsidR="00852AC6" w:rsidRPr="00852AC6">
              <w:rPr>
                <w:rFonts w:ascii="Verdana" w:eastAsia="Verdana" w:hAnsi="Verdana" w:cs="Arial"/>
                <w:color w:val="000000" w:themeColor="text1"/>
                <w:sz w:val="18"/>
                <w:szCs w:val="18"/>
              </w:rPr>
              <w:t xml:space="preserve"> proyectos productivos colectivos.</w:t>
            </w:r>
          </w:p>
          <w:p w14:paraId="35D522A5" w14:textId="54D3B095"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Balance de la Estrategia de Sostenibilidad Económica.</w:t>
            </w:r>
          </w:p>
          <w:p w14:paraId="4C9EDC19" w14:textId="1DB81844"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Presentación del Índice de Reincorporación y su metodología de evaluación.</w:t>
            </w:r>
          </w:p>
          <w:p w14:paraId="056E81DA" w14:textId="7A657AA9"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Seguimiento a avances en acceso a vivienda y tierras.</w:t>
            </w:r>
          </w:p>
          <w:p w14:paraId="01025BA0" w14:textId="6EB7A62A"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Presentación para aprobación de proyecto productivo colectivo ganadero.</w:t>
            </w:r>
          </w:p>
          <w:p w14:paraId="5281B089" w14:textId="7305ADC8" w:rsidR="00852AC6" w:rsidRPr="00852AC6"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Actualización del cronograma de aplicación del Índice de Reincorporación Individual.</w:t>
            </w:r>
          </w:p>
          <w:p w14:paraId="4B4373AB" w14:textId="77777777" w:rsidR="001B44B3" w:rsidRDefault="009A1F66"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Balance de avances en estrategia de empleabilidad.</w:t>
            </w:r>
          </w:p>
          <w:p w14:paraId="448CC6DB" w14:textId="68B8E3EB" w:rsidR="00852AC6" w:rsidRPr="00852AC6" w:rsidRDefault="001B44B3"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Presentación del Convenio 1574 de 2025 (Banco Agrario – ARN).</w:t>
            </w:r>
          </w:p>
          <w:p w14:paraId="67B5962C" w14:textId="0A122FC7" w:rsidR="00852AC6" w:rsidRPr="00852AC6" w:rsidRDefault="001B44B3"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Socialización de la línea Fondo Emprender del SENA.</w:t>
            </w:r>
          </w:p>
          <w:p w14:paraId="3C4F154A" w14:textId="6863FE65" w:rsidR="00852AC6" w:rsidRPr="00852AC6" w:rsidRDefault="001B44B3" w:rsidP="00852AC6">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 </w:t>
            </w:r>
            <w:r w:rsidR="00852AC6" w:rsidRPr="00852AC6">
              <w:rPr>
                <w:rFonts w:ascii="Verdana" w:eastAsia="Verdana" w:hAnsi="Verdana" w:cs="Arial"/>
                <w:color w:val="000000" w:themeColor="text1"/>
                <w:sz w:val="18"/>
                <w:szCs w:val="18"/>
              </w:rPr>
              <w:t>Seguimiento a convenio en salud (Clínica Barraquer).</w:t>
            </w:r>
          </w:p>
          <w:p w14:paraId="216A1050" w14:textId="37AE1C95" w:rsidR="003C20FD" w:rsidRPr="00436D99" w:rsidRDefault="001B44B3" w:rsidP="009F0037">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w:t>
            </w:r>
            <w:r w:rsidR="00852AC6" w:rsidRPr="00852AC6">
              <w:rPr>
                <w:rFonts w:ascii="Verdana" w:eastAsia="Verdana" w:hAnsi="Verdana" w:cs="Arial"/>
                <w:color w:val="000000" w:themeColor="text1"/>
                <w:sz w:val="18"/>
                <w:szCs w:val="18"/>
              </w:rPr>
              <w:t xml:space="preserve"> Definición de ejes temáticos para sesión virtual de balance 2026.</w:t>
            </w:r>
          </w:p>
        </w:tc>
        <w:tc>
          <w:tcPr>
            <w:tcW w:w="1985" w:type="dxa"/>
            <w:tcMar>
              <w:left w:w="108" w:type="dxa"/>
              <w:right w:w="108" w:type="dxa"/>
            </w:tcMar>
          </w:tcPr>
          <w:p w14:paraId="0D05E29D" w14:textId="0FA4227E" w:rsidR="00D0286F" w:rsidRPr="00AB06F3" w:rsidRDefault="00D0286F" w:rsidP="002C74D3">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lastRenderedPageBreak/>
              <w:t>$</w:t>
            </w:r>
            <w:r w:rsidR="0032478E">
              <w:rPr>
                <w:rFonts w:ascii="Verdana" w:eastAsia="Verdana" w:hAnsi="Verdana" w:cs="Arial"/>
                <w:color w:val="000000" w:themeColor="text1"/>
                <w:sz w:val="18"/>
                <w:szCs w:val="18"/>
              </w:rPr>
              <w:t xml:space="preserve"> </w:t>
            </w:r>
            <w:r w:rsidR="0032478E" w:rsidRPr="08E07181">
              <w:rPr>
                <w:rFonts w:ascii="Verdana" w:eastAsia="Verdana" w:hAnsi="Verdana" w:cs="Arial"/>
                <w:color w:val="000000" w:themeColor="text1"/>
                <w:sz w:val="18"/>
                <w:szCs w:val="18"/>
              </w:rPr>
              <w:t>3.763.468.594</w:t>
            </w:r>
          </w:p>
          <w:p w14:paraId="0FAB1463" w14:textId="2511CB60" w:rsidR="00D0286F" w:rsidRPr="00AB06F3" w:rsidRDefault="00D0286F" w:rsidP="002C74D3">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(Recursos de Funcionamiento)</w:t>
            </w:r>
          </w:p>
        </w:tc>
      </w:tr>
    </w:tbl>
    <w:p w14:paraId="7DF6D5FB"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E71367D" w14:textId="3079C078" w:rsidR="7E870C49" w:rsidRPr="00AB06F3" w:rsidRDefault="7E870C49" w:rsidP="00C25586">
      <w:pPr>
        <w:spacing w:after="0" w:line="276" w:lineRule="auto"/>
        <w:jc w:val="both"/>
        <w:rPr>
          <w:rFonts w:ascii="Verdana" w:hAnsi="Verdana" w:cs="Arial"/>
        </w:rPr>
      </w:pPr>
    </w:p>
    <w:p w14:paraId="7E6FCF6E" w14:textId="0F7E526A" w:rsidR="7E870C49" w:rsidRDefault="003FB9B9" w:rsidP="00164ED5">
      <w:pPr>
        <w:pStyle w:val="Prrafodelista"/>
        <w:numPr>
          <w:ilvl w:val="0"/>
          <w:numId w:val="19"/>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1D1EB6AE" w14:textId="77777777" w:rsidR="002C74D3" w:rsidRDefault="002C74D3" w:rsidP="002C74D3">
      <w:pPr>
        <w:pStyle w:val="Prrafodelista"/>
        <w:spacing w:after="0" w:line="276" w:lineRule="auto"/>
        <w:jc w:val="both"/>
        <w:rPr>
          <w:rFonts w:ascii="Verdana" w:eastAsia="Verdana" w:hAnsi="Verdana" w:cs="Arial"/>
          <w:color w:val="000000" w:themeColor="text1"/>
          <w:sz w:val="24"/>
          <w:szCs w:val="24"/>
        </w:rPr>
      </w:pPr>
    </w:p>
    <w:p w14:paraId="5A3A6EB4" w14:textId="5B8A96A1" w:rsidR="0075363F" w:rsidRPr="0075363F" w:rsidRDefault="0075363F" w:rsidP="0075363F">
      <w:pPr>
        <w:pStyle w:val="Descripcin"/>
        <w:keepNext/>
        <w:jc w:val="center"/>
        <w:rPr>
          <w:rFonts w:ascii="Verdana" w:eastAsia="Verdana" w:hAnsi="Verdana" w:cs="Arial"/>
          <w:i w:val="0"/>
          <w:iCs w:val="0"/>
          <w:color w:val="000000" w:themeColor="text1"/>
        </w:rPr>
      </w:pPr>
      <w:bookmarkStart w:id="27" w:name="_Toc225283136"/>
      <w:r w:rsidRPr="0075363F">
        <w:rPr>
          <w:rFonts w:ascii="Verdana" w:eastAsia="Verdana" w:hAnsi="Verdana" w:cs="Arial"/>
          <w:i w:val="0"/>
          <w:iCs w:val="0"/>
          <w:color w:val="000000" w:themeColor="text1"/>
        </w:rPr>
        <w:t xml:space="preserve">Tabla </w:t>
      </w:r>
      <w:r w:rsidRPr="0075363F">
        <w:rPr>
          <w:rFonts w:ascii="Verdana" w:eastAsia="Verdana" w:hAnsi="Verdana" w:cs="Arial"/>
          <w:i w:val="0"/>
          <w:iCs w:val="0"/>
          <w:color w:val="000000" w:themeColor="text1"/>
        </w:rPr>
        <w:fldChar w:fldCharType="begin"/>
      </w:r>
      <w:r w:rsidRPr="0075363F">
        <w:rPr>
          <w:rFonts w:ascii="Verdana" w:eastAsia="Verdana" w:hAnsi="Verdana" w:cs="Arial"/>
          <w:i w:val="0"/>
          <w:iCs w:val="0"/>
          <w:color w:val="000000" w:themeColor="text1"/>
        </w:rPr>
        <w:instrText xml:space="preserve"> SEQ Tabla \* ARABIC </w:instrText>
      </w:r>
      <w:r w:rsidRPr="0075363F">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24</w:t>
      </w:r>
      <w:r w:rsidRPr="0075363F">
        <w:rPr>
          <w:rFonts w:ascii="Verdana" w:eastAsia="Verdana" w:hAnsi="Verdana" w:cs="Arial"/>
          <w:i w:val="0"/>
          <w:iCs w:val="0"/>
          <w:color w:val="000000" w:themeColor="text1"/>
        </w:rPr>
        <w:fldChar w:fldCharType="end"/>
      </w:r>
      <w:r w:rsidRPr="0075363F">
        <w:rPr>
          <w:rFonts w:ascii="Verdana" w:eastAsia="Verdana" w:hAnsi="Verdana" w:cs="Arial"/>
          <w:i w:val="0"/>
          <w:iCs w:val="0"/>
          <w:color w:val="000000" w:themeColor="text1"/>
        </w:rPr>
        <w:t>. Detalle de regionalización del indicador C.221</w:t>
      </w:r>
      <w:bookmarkEnd w:id="27"/>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regionalización del indicador"/>
        <w:tblDescription w:val="Tabla que contiene los siguientes items: indicador del PMI, sesiones y beneficiarios&#10;"/>
      </w:tblPr>
      <w:tblGrid>
        <w:gridCol w:w="1762"/>
        <w:gridCol w:w="2551"/>
        <w:gridCol w:w="4111"/>
      </w:tblGrid>
      <w:tr w:rsidR="00ED3319" w:rsidRPr="00436D99" w14:paraId="51679043" w14:textId="77777777" w:rsidTr="0075363F">
        <w:trPr>
          <w:trHeight w:val="113"/>
          <w:tblHeader/>
        </w:trPr>
        <w:tc>
          <w:tcPr>
            <w:tcW w:w="1762" w:type="dxa"/>
            <w:tcMar>
              <w:left w:w="108" w:type="dxa"/>
              <w:right w:w="108" w:type="dxa"/>
            </w:tcMar>
          </w:tcPr>
          <w:p w14:paraId="6B03195D" w14:textId="77777777" w:rsidR="00ED3319" w:rsidRPr="00436D99" w:rsidRDefault="00ED3319"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2551" w:type="dxa"/>
            <w:tcMar>
              <w:left w:w="108" w:type="dxa"/>
              <w:right w:w="108" w:type="dxa"/>
            </w:tcMar>
          </w:tcPr>
          <w:p w14:paraId="70F0E9B6" w14:textId="33313D64" w:rsidR="00ED3319" w:rsidRPr="00436D99" w:rsidRDefault="004D1233"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Sesiones </w:t>
            </w:r>
          </w:p>
        </w:tc>
        <w:tc>
          <w:tcPr>
            <w:tcW w:w="4111" w:type="dxa"/>
            <w:tcMar>
              <w:left w:w="108" w:type="dxa"/>
              <w:right w:w="108" w:type="dxa"/>
            </w:tcMar>
          </w:tcPr>
          <w:p w14:paraId="6542DEBB" w14:textId="4C0098C4" w:rsidR="00ED3319" w:rsidRPr="00436D99" w:rsidRDefault="00ED3319"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Beneficiarios </w:t>
            </w:r>
          </w:p>
        </w:tc>
      </w:tr>
      <w:tr w:rsidR="00D0286F" w:rsidRPr="00436D99" w14:paraId="1F48D1E3" w14:textId="77777777" w:rsidTr="00187721">
        <w:trPr>
          <w:trHeight w:val="177"/>
        </w:trPr>
        <w:tc>
          <w:tcPr>
            <w:tcW w:w="1762" w:type="dxa"/>
            <w:tcMar>
              <w:left w:w="108" w:type="dxa"/>
              <w:right w:w="108" w:type="dxa"/>
            </w:tcMar>
          </w:tcPr>
          <w:p w14:paraId="0860F702" w14:textId="17B9D183" w:rsidR="00D0286F" w:rsidRPr="00ED3319" w:rsidRDefault="00D0286F" w:rsidP="002C74D3">
            <w:pPr>
              <w:spacing w:line="276" w:lineRule="auto"/>
              <w:jc w:val="both"/>
              <w:rPr>
                <w:rFonts w:ascii="Verdana" w:eastAsia="Verdana" w:hAnsi="Verdana" w:cs="Arial"/>
                <w:color w:val="000000" w:themeColor="text1"/>
                <w:sz w:val="18"/>
                <w:szCs w:val="18"/>
              </w:rPr>
            </w:pPr>
            <w:r w:rsidRPr="00AB06F3">
              <w:rPr>
                <w:rFonts w:ascii="Verdana" w:eastAsia="Verdana" w:hAnsi="Verdana" w:cs="Arial"/>
                <w:sz w:val="18"/>
                <w:szCs w:val="18"/>
              </w:rPr>
              <w:t xml:space="preserve">C.221 Consejo Nacional de Reincorporación </w:t>
            </w:r>
            <w:r w:rsidRPr="00AB06F3">
              <w:rPr>
                <w:rFonts w:ascii="Verdana" w:eastAsia="Verdana" w:hAnsi="Verdana" w:cs="Arial"/>
                <w:sz w:val="18"/>
                <w:szCs w:val="18"/>
              </w:rPr>
              <w:lastRenderedPageBreak/>
              <w:t>creado y en funcionamiento</w:t>
            </w:r>
          </w:p>
        </w:tc>
        <w:tc>
          <w:tcPr>
            <w:tcW w:w="2551" w:type="dxa"/>
            <w:tcMar>
              <w:left w:w="108" w:type="dxa"/>
              <w:right w:w="108" w:type="dxa"/>
            </w:tcMar>
          </w:tcPr>
          <w:p w14:paraId="1A40360E" w14:textId="7A001D92" w:rsidR="00B137EA" w:rsidRDefault="001E3CDE" w:rsidP="00A043C4">
            <w:pPr>
              <w:spacing w:line="276" w:lineRule="auto"/>
              <w:jc w:val="both"/>
              <w:rPr>
                <w:rFonts w:ascii="Verdana" w:eastAsia="Verdana" w:hAnsi="Verdana" w:cs="Arial"/>
                <w:sz w:val="18"/>
                <w:szCs w:val="18"/>
              </w:rPr>
            </w:pPr>
            <w:r w:rsidRPr="005A5E9D">
              <w:rPr>
                <w:rFonts w:ascii="Verdana" w:eastAsia="Verdana" w:hAnsi="Verdana" w:cs="Arial"/>
                <w:sz w:val="18"/>
                <w:szCs w:val="18"/>
              </w:rPr>
              <w:lastRenderedPageBreak/>
              <w:t>S</w:t>
            </w:r>
            <w:r w:rsidRPr="00B5105B">
              <w:rPr>
                <w:rFonts w:ascii="Verdana" w:eastAsia="Verdana" w:hAnsi="Verdana" w:cs="Arial"/>
                <w:sz w:val="18"/>
                <w:szCs w:val="18"/>
              </w:rPr>
              <w:t>esión Extraordinaria 153</w:t>
            </w:r>
            <w:r w:rsidRPr="005A5E9D">
              <w:rPr>
                <w:rFonts w:ascii="Verdana" w:eastAsia="Verdana" w:hAnsi="Verdana" w:cs="Arial"/>
                <w:sz w:val="18"/>
                <w:szCs w:val="18"/>
              </w:rPr>
              <w:t xml:space="preserve"> A,</w:t>
            </w:r>
            <w:r w:rsidRPr="00B5105B">
              <w:rPr>
                <w:rFonts w:ascii="Verdana" w:eastAsia="Verdana" w:hAnsi="Verdana" w:cs="Arial"/>
                <w:sz w:val="18"/>
                <w:szCs w:val="18"/>
              </w:rPr>
              <w:t xml:space="preserve"> 28 de marzo de 2025</w:t>
            </w:r>
          </w:p>
          <w:p w14:paraId="053897F1" w14:textId="77777777" w:rsidR="00B137EA" w:rsidRDefault="00B137EA" w:rsidP="00A043C4">
            <w:pPr>
              <w:spacing w:line="276" w:lineRule="auto"/>
              <w:jc w:val="both"/>
              <w:rPr>
                <w:rFonts w:ascii="Verdana" w:eastAsia="Verdana" w:hAnsi="Verdana" w:cs="Arial"/>
                <w:sz w:val="18"/>
                <w:szCs w:val="18"/>
              </w:rPr>
            </w:pPr>
          </w:p>
          <w:p w14:paraId="462F0967" w14:textId="77777777" w:rsidR="00B137EA" w:rsidRDefault="00B137EA" w:rsidP="00A043C4">
            <w:pPr>
              <w:spacing w:line="276" w:lineRule="auto"/>
              <w:jc w:val="both"/>
              <w:rPr>
                <w:rFonts w:ascii="Verdana" w:eastAsia="Verdana" w:hAnsi="Verdana" w:cs="Arial"/>
                <w:sz w:val="18"/>
                <w:szCs w:val="18"/>
              </w:rPr>
            </w:pPr>
          </w:p>
          <w:p w14:paraId="0AF0CC37" w14:textId="11DBF6DB" w:rsidR="00B137EA" w:rsidRPr="00ED3319" w:rsidRDefault="00B137EA" w:rsidP="00A043C4">
            <w:pPr>
              <w:spacing w:line="276" w:lineRule="auto"/>
              <w:jc w:val="both"/>
              <w:rPr>
                <w:rFonts w:ascii="Verdana" w:eastAsia="Verdana" w:hAnsi="Verdana" w:cs="Arial"/>
                <w:sz w:val="18"/>
                <w:szCs w:val="18"/>
              </w:rPr>
            </w:pPr>
          </w:p>
        </w:tc>
        <w:tc>
          <w:tcPr>
            <w:tcW w:w="4111" w:type="dxa"/>
            <w:tcMar>
              <w:left w:w="108" w:type="dxa"/>
              <w:right w:w="108" w:type="dxa"/>
            </w:tcMar>
          </w:tcPr>
          <w:p w14:paraId="52D70E34" w14:textId="04714024" w:rsidR="00B137EA" w:rsidRPr="00DC7C6D" w:rsidRDefault="00770293" w:rsidP="00DC7C6D">
            <w:pPr>
              <w:tabs>
                <w:tab w:val="num" w:pos="720"/>
              </w:tabs>
              <w:spacing w:line="276" w:lineRule="auto"/>
              <w:jc w:val="both"/>
              <w:rPr>
                <w:rFonts w:ascii="Verdana" w:eastAsia="Verdana" w:hAnsi="Verdana" w:cs="Arial"/>
                <w:sz w:val="18"/>
                <w:szCs w:val="18"/>
              </w:rPr>
            </w:pPr>
            <w:r>
              <w:rPr>
                <w:rFonts w:ascii="Verdana" w:eastAsia="Verdana" w:hAnsi="Verdana" w:cs="Arial"/>
                <w:color w:val="000000" w:themeColor="text1"/>
                <w:sz w:val="18"/>
                <w:szCs w:val="18"/>
              </w:rPr>
              <w:lastRenderedPageBreak/>
              <w:t xml:space="preserve">Firmantes en general, </w:t>
            </w:r>
            <w:r w:rsidR="001977CC">
              <w:rPr>
                <w:rFonts w:ascii="Verdana" w:eastAsia="Verdana" w:hAnsi="Verdana" w:cs="Arial"/>
                <w:color w:val="000000" w:themeColor="text1"/>
                <w:sz w:val="18"/>
                <w:szCs w:val="18"/>
              </w:rPr>
              <w:t>para abordar</w:t>
            </w:r>
            <w:r w:rsidR="00E7354A">
              <w:rPr>
                <w:rFonts w:ascii="Verdana" w:eastAsia="Verdana" w:hAnsi="Verdana" w:cs="Arial"/>
                <w:color w:val="000000" w:themeColor="text1"/>
                <w:sz w:val="18"/>
                <w:szCs w:val="18"/>
              </w:rPr>
              <w:t xml:space="preserve"> </w:t>
            </w:r>
            <w:r w:rsidR="009054B1">
              <w:rPr>
                <w:rFonts w:ascii="Verdana" w:eastAsia="Verdana" w:hAnsi="Verdana" w:cs="Arial"/>
                <w:color w:val="000000" w:themeColor="text1"/>
                <w:sz w:val="18"/>
                <w:szCs w:val="18"/>
              </w:rPr>
              <w:t>los a</w:t>
            </w:r>
            <w:r w:rsidR="00B5105B" w:rsidRPr="00B5105B">
              <w:rPr>
                <w:rFonts w:ascii="Verdana" w:eastAsia="Verdana" w:hAnsi="Verdana" w:cs="Arial"/>
                <w:sz w:val="18"/>
                <w:szCs w:val="18"/>
              </w:rPr>
              <w:t>juste</w:t>
            </w:r>
            <w:r w:rsidR="009054B1">
              <w:rPr>
                <w:rFonts w:ascii="Verdana" w:eastAsia="Verdana" w:hAnsi="Verdana" w:cs="Arial"/>
                <w:sz w:val="18"/>
                <w:szCs w:val="18"/>
              </w:rPr>
              <w:t>s</w:t>
            </w:r>
            <w:r w:rsidR="00B5105B" w:rsidRPr="00B5105B">
              <w:rPr>
                <w:rFonts w:ascii="Verdana" w:eastAsia="Verdana" w:hAnsi="Verdana" w:cs="Arial"/>
                <w:sz w:val="18"/>
                <w:szCs w:val="18"/>
              </w:rPr>
              <w:t xml:space="preserve"> a la operación de los esquemas de salud en los ETCR para la vigencia 2025</w:t>
            </w:r>
            <w:r w:rsidR="005C62B3">
              <w:rPr>
                <w:rFonts w:ascii="Verdana" w:eastAsia="Verdana" w:hAnsi="Verdana" w:cs="Arial"/>
                <w:sz w:val="18"/>
                <w:szCs w:val="18"/>
              </w:rPr>
              <w:t xml:space="preserve"> y l</w:t>
            </w:r>
            <w:r w:rsidR="009054B1">
              <w:rPr>
                <w:rFonts w:ascii="Verdana" w:eastAsia="Verdana" w:hAnsi="Verdana" w:cs="Arial"/>
                <w:sz w:val="18"/>
                <w:szCs w:val="18"/>
              </w:rPr>
              <w:t>a t</w:t>
            </w:r>
            <w:r w:rsidR="00B5105B" w:rsidRPr="00B5105B">
              <w:rPr>
                <w:rFonts w:ascii="Verdana" w:eastAsia="Verdana" w:hAnsi="Verdana" w:cs="Arial"/>
                <w:sz w:val="18"/>
                <w:szCs w:val="18"/>
              </w:rPr>
              <w:t xml:space="preserve">oma de decisiones orientadas a </w:t>
            </w:r>
            <w:r w:rsidR="00B5105B" w:rsidRPr="00B5105B">
              <w:rPr>
                <w:rFonts w:ascii="Verdana" w:eastAsia="Verdana" w:hAnsi="Verdana" w:cs="Arial"/>
                <w:sz w:val="18"/>
                <w:szCs w:val="18"/>
              </w:rPr>
              <w:lastRenderedPageBreak/>
              <w:t>garantizar condiciones dignas de reincorporació</w:t>
            </w:r>
            <w:r w:rsidR="005C62B3">
              <w:rPr>
                <w:rFonts w:ascii="Verdana" w:eastAsia="Verdana" w:hAnsi="Verdana" w:cs="Arial"/>
                <w:sz w:val="18"/>
                <w:szCs w:val="18"/>
              </w:rPr>
              <w:t>n.</w:t>
            </w:r>
          </w:p>
        </w:tc>
      </w:tr>
      <w:tr w:rsidR="00DC7C6D" w:rsidRPr="00436D99" w14:paraId="3DE7B0FF" w14:textId="77777777" w:rsidTr="000111B5">
        <w:trPr>
          <w:trHeight w:val="113"/>
        </w:trPr>
        <w:tc>
          <w:tcPr>
            <w:tcW w:w="1762" w:type="dxa"/>
            <w:tcMar>
              <w:left w:w="108" w:type="dxa"/>
              <w:right w:w="108" w:type="dxa"/>
            </w:tcMar>
          </w:tcPr>
          <w:p w14:paraId="56B9D1F1" w14:textId="77777777" w:rsidR="00DC7C6D" w:rsidRPr="00AB06F3" w:rsidRDefault="00DC7C6D" w:rsidP="002C74D3">
            <w:pPr>
              <w:spacing w:line="276" w:lineRule="auto"/>
              <w:jc w:val="both"/>
              <w:rPr>
                <w:rFonts w:ascii="Verdana" w:eastAsia="Verdana" w:hAnsi="Verdana" w:cs="Arial"/>
                <w:sz w:val="18"/>
                <w:szCs w:val="18"/>
              </w:rPr>
            </w:pPr>
          </w:p>
        </w:tc>
        <w:tc>
          <w:tcPr>
            <w:tcW w:w="2551" w:type="dxa"/>
            <w:tcMar>
              <w:left w:w="108" w:type="dxa"/>
              <w:right w:w="108" w:type="dxa"/>
            </w:tcMar>
          </w:tcPr>
          <w:p w14:paraId="717B5C01" w14:textId="77777777" w:rsidR="00DC7C6D" w:rsidRDefault="00DC7C6D" w:rsidP="00DC7C6D">
            <w:pPr>
              <w:spacing w:line="276" w:lineRule="auto"/>
              <w:jc w:val="both"/>
              <w:rPr>
                <w:rFonts w:ascii="Verdana" w:eastAsia="Verdana" w:hAnsi="Verdana" w:cs="Arial"/>
                <w:sz w:val="18"/>
                <w:szCs w:val="18"/>
              </w:rPr>
            </w:pPr>
            <w:r w:rsidRPr="00E04F3F">
              <w:rPr>
                <w:rFonts w:ascii="Verdana" w:eastAsia="Verdana" w:hAnsi="Verdana" w:cs="Arial"/>
                <w:sz w:val="18"/>
                <w:szCs w:val="18"/>
              </w:rPr>
              <w:t>Sesión 154 – 27 de mayo de 2025 (Cúcuta)</w:t>
            </w:r>
          </w:p>
          <w:p w14:paraId="31B7F939" w14:textId="77777777" w:rsidR="00DC7C6D" w:rsidRPr="005A5E9D" w:rsidRDefault="00DC7C6D" w:rsidP="001E3CDE">
            <w:pPr>
              <w:spacing w:line="276" w:lineRule="auto"/>
              <w:jc w:val="both"/>
              <w:rPr>
                <w:rFonts w:ascii="Verdana" w:eastAsia="Verdana" w:hAnsi="Verdana" w:cs="Arial"/>
                <w:sz w:val="18"/>
                <w:szCs w:val="18"/>
              </w:rPr>
            </w:pPr>
          </w:p>
        </w:tc>
        <w:tc>
          <w:tcPr>
            <w:tcW w:w="4111" w:type="dxa"/>
            <w:tcMar>
              <w:left w:w="108" w:type="dxa"/>
              <w:right w:w="108" w:type="dxa"/>
            </w:tcMar>
          </w:tcPr>
          <w:p w14:paraId="79E0BE0B" w14:textId="368768A2" w:rsidR="00DC7C6D" w:rsidRDefault="00DC7C6D" w:rsidP="005C62B3">
            <w:pPr>
              <w:tabs>
                <w:tab w:val="num" w:pos="720"/>
              </w:tabs>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Firmantes en general</w:t>
            </w:r>
            <w:r w:rsidR="00E7354A">
              <w:rPr>
                <w:rFonts w:ascii="Verdana" w:eastAsia="Verdana" w:hAnsi="Verdana" w:cs="Arial"/>
                <w:color w:val="000000" w:themeColor="text1"/>
                <w:sz w:val="18"/>
                <w:szCs w:val="18"/>
              </w:rPr>
              <w:t xml:space="preserve"> para </w:t>
            </w:r>
            <w:r>
              <w:rPr>
                <w:rFonts w:ascii="Verdana" w:eastAsia="Verdana" w:hAnsi="Verdana" w:cs="Arial"/>
                <w:color w:val="000000" w:themeColor="text1"/>
                <w:sz w:val="18"/>
                <w:szCs w:val="18"/>
              </w:rPr>
              <w:t>g</w:t>
            </w:r>
            <w:r w:rsidRPr="00F748EC">
              <w:rPr>
                <w:rFonts w:ascii="Verdana" w:eastAsia="Verdana" w:hAnsi="Verdana" w:cs="Arial"/>
                <w:color w:val="000000" w:themeColor="text1"/>
                <w:sz w:val="18"/>
                <w:szCs w:val="18"/>
              </w:rPr>
              <w:t>enera</w:t>
            </w:r>
            <w:r w:rsidR="00E7354A">
              <w:rPr>
                <w:rFonts w:ascii="Verdana" w:eastAsia="Verdana" w:hAnsi="Verdana" w:cs="Arial"/>
                <w:color w:val="000000" w:themeColor="text1"/>
                <w:sz w:val="18"/>
                <w:szCs w:val="18"/>
              </w:rPr>
              <w:t xml:space="preserve">r </w:t>
            </w:r>
            <w:r w:rsidRPr="00F748EC">
              <w:rPr>
                <w:rFonts w:ascii="Verdana" w:eastAsia="Verdana" w:hAnsi="Verdana" w:cs="Arial"/>
                <w:color w:val="000000" w:themeColor="text1"/>
                <w:sz w:val="18"/>
                <w:szCs w:val="18"/>
              </w:rPr>
              <w:t>de un espacio de diálogo directo entre firmantes del Catatumbo y entidades nacionales y territoriales.</w:t>
            </w:r>
            <w:r>
              <w:rPr>
                <w:rFonts w:ascii="Verdana" w:eastAsia="Verdana" w:hAnsi="Verdana" w:cs="Arial"/>
                <w:color w:val="000000" w:themeColor="text1"/>
                <w:sz w:val="18"/>
                <w:szCs w:val="18"/>
              </w:rPr>
              <w:t xml:space="preserve"> La v</w:t>
            </w:r>
            <w:r w:rsidRPr="00F748EC">
              <w:rPr>
                <w:rFonts w:ascii="Verdana" w:eastAsia="Verdana" w:hAnsi="Verdana" w:cs="Arial"/>
                <w:color w:val="000000" w:themeColor="text1"/>
                <w:sz w:val="18"/>
                <w:szCs w:val="18"/>
              </w:rPr>
              <w:t>isibilización de retos en tierras, vivienda, sostenibilidad económica y seguridad</w:t>
            </w:r>
            <w:r>
              <w:rPr>
                <w:rFonts w:ascii="Verdana" w:eastAsia="Verdana" w:hAnsi="Verdana" w:cs="Arial"/>
                <w:color w:val="000000" w:themeColor="text1"/>
                <w:sz w:val="18"/>
                <w:szCs w:val="18"/>
              </w:rPr>
              <w:t xml:space="preserve"> y finalmente con el e</w:t>
            </w:r>
            <w:r w:rsidRPr="00F748EC">
              <w:rPr>
                <w:rFonts w:ascii="Verdana" w:eastAsia="Verdana" w:hAnsi="Verdana" w:cs="Arial"/>
                <w:color w:val="000000" w:themeColor="text1"/>
                <w:sz w:val="18"/>
                <w:szCs w:val="18"/>
              </w:rPr>
              <w:t>nfoque territorial en contexto de emergencia humanitaria.</w:t>
            </w:r>
          </w:p>
        </w:tc>
      </w:tr>
      <w:tr w:rsidR="00DC7C6D" w:rsidRPr="00436D99" w14:paraId="7CD9946E" w14:textId="77777777" w:rsidTr="000111B5">
        <w:trPr>
          <w:trHeight w:val="113"/>
        </w:trPr>
        <w:tc>
          <w:tcPr>
            <w:tcW w:w="1762" w:type="dxa"/>
            <w:tcMar>
              <w:left w:w="108" w:type="dxa"/>
              <w:right w:w="108" w:type="dxa"/>
            </w:tcMar>
          </w:tcPr>
          <w:p w14:paraId="742850E4" w14:textId="77777777" w:rsidR="00DC7C6D" w:rsidRPr="00AB06F3" w:rsidRDefault="00DC7C6D" w:rsidP="002C74D3">
            <w:pPr>
              <w:spacing w:line="276" w:lineRule="auto"/>
              <w:jc w:val="both"/>
              <w:rPr>
                <w:rFonts w:ascii="Verdana" w:eastAsia="Verdana" w:hAnsi="Verdana" w:cs="Arial"/>
                <w:sz w:val="18"/>
                <w:szCs w:val="18"/>
              </w:rPr>
            </w:pPr>
          </w:p>
        </w:tc>
        <w:tc>
          <w:tcPr>
            <w:tcW w:w="2551" w:type="dxa"/>
            <w:tcMar>
              <w:left w:w="108" w:type="dxa"/>
              <w:right w:w="108" w:type="dxa"/>
            </w:tcMar>
          </w:tcPr>
          <w:p w14:paraId="7C7B1C74" w14:textId="77777777" w:rsidR="00DC7C6D" w:rsidRDefault="00DC7C6D" w:rsidP="00DC7C6D">
            <w:pPr>
              <w:spacing w:line="276" w:lineRule="auto"/>
              <w:jc w:val="both"/>
              <w:rPr>
                <w:rFonts w:ascii="Verdana" w:eastAsia="Verdana" w:hAnsi="Verdana" w:cs="Arial"/>
                <w:sz w:val="18"/>
                <w:szCs w:val="18"/>
              </w:rPr>
            </w:pPr>
          </w:p>
          <w:p w14:paraId="49B43962" w14:textId="5FDAB5DA" w:rsidR="00DC7C6D" w:rsidRPr="005A5E9D" w:rsidRDefault="00DC7C6D" w:rsidP="001E3CDE">
            <w:pPr>
              <w:spacing w:line="276" w:lineRule="auto"/>
              <w:jc w:val="both"/>
              <w:rPr>
                <w:rFonts w:ascii="Verdana" w:eastAsia="Verdana" w:hAnsi="Verdana" w:cs="Arial"/>
                <w:sz w:val="18"/>
                <w:szCs w:val="18"/>
              </w:rPr>
            </w:pPr>
            <w:r w:rsidRPr="00E04F3F">
              <w:rPr>
                <w:rFonts w:ascii="Verdana" w:eastAsia="Verdana" w:hAnsi="Verdana" w:cs="Arial"/>
                <w:sz w:val="18"/>
                <w:szCs w:val="18"/>
              </w:rPr>
              <w:t>Sesión 155 – 16 de julio de 2025 (Bogotá)</w:t>
            </w:r>
          </w:p>
        </w:tc>
        <w:tc>
          <w:tcPr>
            <w:tcW w:w="4111" w:type="dxa"/>
            <w:tcMar>
              <w:left w:w="108" w:type="dxa"/>
              <w:right w:w="108" w:type="dxa"/>
            </w:tcMar>
          </w:tcPr>
          <w:p w14:paraId="220A3680" w14:textId="1CE73E1A" w:rsidR="00DC7C6D" w:rsidRPr="00DC7C6D" w:rsidRDefault="00DC7C6D" w:rsidP="005C62B3">
            <w:pPr>
              <w:tabs>
                <w:tab w:val="num" w:pos="720"/>
              </w:tabs>
              <w:spacing w:line="276" w:lineRule="auto"/>
              <w:jc w:val="both"/>
              <w:rPr>
                <w:rFonts w:ascii="Verdana" w:eastAsia="Verdana" w:hAnsi="Verdana" w:cs="Arial"/>
                <w:sz w:val="18"/>
                <w:szCs w:val="18"/>
              </w:rPr>
            </w:pPr>
            <w:r>
              <w:rPr>
                <w:rFonts w:ascii="Verdana" w:eastAsia="Verdana" w:hAnsi="Verdana" w:cs="Arial"/>
                <w:color w:val="000000" w:themeColor="text1"/>
                <w:sz w:val="18"/>
                <w:szCs w:val="18"/>
              </w:rPr>
              <w:t>Firmantes en general</w:t>
            </w:r>
            <w:r w:rsidR="00E7354A">
              <w:rPr>
                <w:rFonts w:ascii="Verdana" w:eastAsia="Verdana" w:hAnsi="Verdana" w:cs="Arial"/>
                <w:color w:val="000000" w:themeColor="text1"/>
                <w:sz w:val="18"/>
                <w:szCs w:val="18"/>
              </w:rPr>
              <w:t xml:space="preserve"> para presentar </w:t>
            </w:r>
            <w:r>
              <w:rPr>
                <w:rFonts w:ascii="Verdana" w:eastAsia="Verdana" w:hAnsi="Verdana" w:cs="Arial"/>
                <w:sz w:val="18"/>
                <w:szCs w:val="18"/>
              </w:rPr>
              <w:t>el b</w:t>
            </w:r>
            <w:r w:rsidRPr="00283A9A">
              <w:rPr>
                <w:rFonts w:ascii="Verdana" w:eastAsia="Verdana" w:hAnsi="Verdana" w:cs="Arial"/>
                <w:sz w:val="18"/>
                <w:szCs w:val="18"/>
              </w:rPr>
              <w:t>alance de avances del Programa de Reincorporación Integral y planes individuales.</w:t>
            </w:r>
            <w:r>
              <w:rPr>
                <w:rFonts w:ascii="Verdana" w:eastAsia="Verdana" w:hAnsi="Verdana" w:cs="Arial"/>
                <w:sz w:val="18"/>
                <w:szCs w:val="18"/>
              </w:rPr>
              <w:t xml:space="preserve"> Los a</w:t>
            </w:r>
            <w:r w:rsidRPr="00283A9A">
              <w:rPr>
                <w:rFonts w:ascii="Verdana" w:eastAsia="Verdana" w:hAnsi="Verdana" w:cs="Arial"/>
                <w:sz w:val="18"/>
                <w:szCs w:val="18"/>
              </w:rPr>
              <w:t>vances en la implementación del Sistema Nacional de Reincorporación.</w:t>
            </w:r>
            <w:r>
              <w:rPr>
                <w:rFonts w:ascii="Verdana" w:eastAsia="Verdana" w:hAnsi="Verdana" w:cs="Arial"/>
                <w:sz w:val="18"/>
                <w:szCs w:val="18"/>
              </w:rPr>
              <w:t xml:space="preserve"> La de</w:t>
            </w:r>
            <w:r w:rsidRPr="00283A9A">
              <w:rPr>
                <w:rFonts w:ascii="Verdana" w:eastAsia="Verdana" w:hAnsi="Verdana" w:cs="Arial"/>
                <w:sz w:val="18"/>
                <w:szCs w:val="18"/>
              </w:rPr>
              <w:t>finición de metodología para Planes de Reincorporación Colectiva.</w:t>
            </w:r>
            <w:r>
              <w:rPr>
                <w:rFonts w:ascii="Verdana" w:eastAsia="Verdana" w:hAnsi="Verdana" w:cs="Arial"/>
                <w:sz w:val="18"/>
                <w:szCs w:val="18"/>
              </w:rPr>
              <w:t xml:space="preserve"> Los a</w:t>
            </w:r>
            <w:r w:rsidRPr="00283A9A">
              <w:rPr>
                <w:rFonts w:ascii="Verdana" w:eastAsia="Verdana" w:hAnsi="Verdana" w:cs="Arial"/>
                <w:sz w:val="18"/>
                <w:szCs w:val="18"/>
              </w:rPr>
              <w:t>vances en procedimientos para reconocimiento de AERC y consolidación de ETCR.</w:t>
            </w:r>
            <w:r>
              <w:rPr>
                <w:rFonts w:ascii="Verdana" w:eastAsia="Verdana" w:hAnsi="Verdana" w:cs="Arial"/>
                <w:sz w:val="18"/>
                <w:szCs w:val="18"/>
              </w:rPr>
              <w:t xml:space="preserve"> Y finalmente con la pr</w:t>
            </w:r>
            <w:r w:rsidRPr="00283A9A">
              <w:rPr>
                <w:rFonts w:ascii="Verdana" w:eastAsia="Verdana" w:hAnsi="Verdana" w:cs="Arial"/>
                <w:sz w:val="18"/>
                <w:szCs w:val="18"/>
              </w:rPr>
              <w:t>esentación del balance de seguridad por la Unidad de Implementación del Acuerdo</w:t>
            </w:r>
            <w:r>
              <w:rPr>
                <w:rFonts w:ascii="Verdana" w:eastAsia="Verdana" w:hAnsi="Verdana" w:cs="Arial"/>
                <w:sz w:val="18"/>
                <w:szCs w:val="18"/>
              </w:rPr>
              <w:t>.</w:t>
            </w:r>
          </w:p>
        </w:tc>
      </w:tr>
      <w:tr w:rsidR="00DC7C6D" w:rsidRPr="00436D99" w14:paraId="11637DD5" w14:textId="77777777" w:rsidTr="000111B5">
        <w:trPr>
          <w:trHeight w:val="113"/>
        </w:trPr>
        <w:tc>
          <w:tcPr>
            <w:tcW w:w="1762" w:type="dxa"/>
            <w:tcMar>
              <w:left w:w="108" w:type="dxa"/>
              <w:right w:w="108" w:type="dxa"/>
            </w:tcMar>
          </w:tcPr>
          <w:p w14:paraId="7C6F756C" w14:textId="77777777" w:rsidR="00DC7C6D" w:rsidRPr="00AB06F3" w:rsidRDefault="00DC7C6D" w:rsidP="002C74D3">
            <w:pPr>
              <w:spacing w:line="276" w:lineRule="auto"/>
              <w:jc w:val="both"/>
              <w:rPr>
                <w:rFonts w:ascii="Verdana" w:eastAsia="Verdana" w:hAnsi="Verdana" w:cs="Arial"/>
                <w:sz w:val="18"/>
                <w:szCs w:val="18"/>
              </w:rPr>
            </w:pPr>
          </w:p>
        </w:tc>
        <w:tc>
          <w:tcPr>
            <w:tcW w:w="2551" w:type="dxa"/>
            <w:tcMar>
              <w:left w:w="108" w:type="dxa"/>
              <w:right w:w="108" w:type="dxa"/>
            </w:tcMar>
          </w:tcPr>
          <w:p w14:paraId="1C624447" w14:textId="77777777" w:rsidR="00DC7C6D" w:rsidRDefault="00DC7C6D" w:rsidP="00DC7C6D">
            <w:pPr>
              <w:spacing w:line="276" w:lineRule="auto"/>
              <w:jc w:val="both"/>
              <w:rPr>
                <w:rFonts w:ascii="Verdana" w:eastAsia="Verdana" w:hAnsi="Verdana" w:cs="Arial"/>
                <w:sz w:val="18"/>
                <w:szCs w:val="18"/>
              </w:rPr>
            </w:pPr>
            <w:r w:rsidRPr="00E04F3F">
              <w:rPr>
                <w:rFonts w:ascii="Verdana" w:eastAsia="Verdana" w:hAnsi="Verdana" w:cs="Arial"/>
                <w:sz w:val="18"/>
                <w:szCs w:val="18"/>
              </w:rPr>
              <w:t>Sesión 156 – 29 de septiembre de 2025 (Bogotá)</w:t>
            </w:r>
          </w:p>
          <w:p w14:paraId="5AF8B11C" w14:textId="77777777" w:rsidR="00DC7C6D" w:rsidRPr="005A5E9D" w:rsidRDefault="00DC7C6D" w:rsidP="001E3CDE">
            <w:pPr>
              <w:spacing w:line="276" w:lineRule="auto"/>
              <w:jc w:val="both"/>
              <w:rPr>
                <w:rFonts w:ascii="Verdana" w:eastAsia="Verdana" w:hAnsi="Verdana" w:cs="Arial"/>
                <w:sz w:val="18"/>
                <w:szCs w:val="18"/>
              </w:rPr>
            </w:pPr>
          </w:p>
        </w:tc>
        <w:tc>
          <w:tcPr>
            <w:tcW w:w="4111" w:type="dxa"/>
            <w:tcMar>
              <w:left w:w="108" w:type="dxa"/>
              <w:right w:w="108" w:type="dxa"/>
            </w:tcMar>
          </w:tcPr>
          <w:p w14:paraId="11AF6933" w14:textId="6237BD37" w:rsidR="00DC7C6D" w:rsidRPr="00E7354A" w:rsidRDefault="00DC7C6D" w:rsidP="005C62B3">
            <w:pPr>
              <w:tabs>
                <w:tab w:val="num" w:pos="720"/>
              </w:tabs>
              <w:spacing w:line="276" w:lineRule="auto"/>
              <w:jc w:val="both"/>
              <w:rPr>
                <w:rFonts w:ascii="Verdana" w:eastAsia="Verdana" w:hAnsi="Verdana" w:cs="Arial"/>
                <w:sz w:val="18"/>
                <w:szCs w:val="18"/>
              </w:rPr>
            </w:pPr>
            <w:r>
              <w:rPr>
                <w:rFonts w:ascii="Verdana" w:eastAsia="Verdana" w:hAnsi="Verdana" w:cs="Arial"/>
                <w:color w:val="000000" w:themeColor="text1"/>
                <w:sz w:val="18"/>
                <w:szCs w:val="18"/>
              </w:rPr>
              <w:t>Firmantes en general</w:t>
            </w:r>
            <w:r>
              <w:rPr>
                <w:rFonts w:ascii="Verdana" w:eastAsia="Verdana" w:hAnsi="Verdana" w:cs="Arial"/>
                <w:sz w:val="18"/>
                <w:szCs w:val="18"/>
              </w:rPr>
              <w:t xml:space="preserve">, </w:t>
            </w:r>
            <w:r w:rsidR="00E7354A">
              <w:rPr>
                <w:rFonts w:ascii="Verdana" w:eastAsia="Verdana" w:hAnsi="Verdana" w:cs="Arial"/>
                <w:sz w:val="18"/>
                <w:szCs w:val="18"/>
              </w:rPr>
              <w:t xml:space="preserve">para </w:t>
            </w:r>
            <w:r>
              <w:rPr>
                <w:rFonts w:ascii="Verdana" w:eastAsia="Verdana" w:hAnsi="Verdana" w:cs="Arial"/>
                <w:sz w:val="18"/>
                <w:szCs w:val="18"/>
              </w:rPr>
              <w:t>la a</w:t>
            </w:r>
            <w:r w:rsidRPr="00283A9A">
              <w:rPr>
                <w:rFonts w:ascii="Verdana" w:eastAsia="Verdana" w:hAnsi="Verdana" w:cs="Arial"/>
                <w:sz w:val="18"/>
                <w:szCs w:val="18"/>
              </w:rPr>
              <w:t>probación de dos proyectos productivos co</w:t>
            </w:r>
            <w:r>
              <w:rPr>
                <w:rFonts w:ascii="Verdana" w:eastAsia="Verdana" w:hAnsi="Verdana" w:cs="Arial"/>
                <w:sz w:val="18"/>
                <w:szCs w:val="18"/>
              </w:rPr>
              <w:t>l</w:t>
            </w:r>
            <w:r w:rsidRPr="00283A9A">
              <w:rPr>
                <w:rFonts w:ascii="Verdana" w:eastAsia="Verdana" w:hAnsi="Verdana" w:cs="Arial"/>
                <w:sz w:val="18"/>
                <w:szCs w:val="18"/>
              </w:rPr>
              <w:t>ectivos.</w:t>
            </w:r>
            <w:r>
              <w:rPr>
                <w:rFonts w:ascii="Verdana" w:eastAsia="Verdana" w:hAnsi="Verdana" w:cs="Arial"/>
                <w:sz w:val="18"/>
                <w:szCs w:val="18"/>
              </w:rPr>
              <w:t xml:space="preserve"> El b</w:t>
            </w:r>
            <w:r w:rsidRPr="00283A9A">
              <w:rPr>
                <w:rFonts w:ascii="Verdana" w:eastAsia="Verdana" w:hAnsi="Verdana" w:cs="Arial"/>
                <w:sz w:val="18"/>
                <w:szCs w:val="18"/>
              </w:rPr>
              <w:t>alance de la Estrategia de Sostenibilidad Económica.</w:t>
            </w:r>
            <w:r>
              <w:rPr>
                <w:rFonts w:ascii="Verdana" w:eastAsia="Verdana" w:hAnsi="Verdana" w:cs="Arial"/>
                <w:sz w:val="18"/>
                <w:szCs w:val="18"/>
              </w:rPr>
              <w:t xml:space="preserve"> La p</w:t>
            </w:r>
            <w:r w:rsidRPr="00283A9A">
              <w:rPr>
                <w:rFonts w:ascii="Verdana" w:eastAsia="Verdana" w:hAnsi="Verdana" w:cs="Arial"/>
                <w:sz w:val="18"/>
                <w:szCs w:val="18"/>
              </w:rPr>
              <w:t>resentación del Índice de Reincorporación y su metodología de evaluación.</w:t>
            </w:r>
            <w:r>
              <w:rPr>
                <w:rFonts w:ascii="Verdana" w:eastAsia="Verdana" w:hAnsi="Verdana" w:cs="Arial"/>
                <w:sz w:val="18"/>
                <w:szCs w:val="18"/>
              </w:rPr>
              <w:t xml:space="preserve"> Y finalmente con el s</w:t>
            </w:r>
            <w:r w:rsidRPr="00283A9A">
              <w:rPr>
                <w:rFonts w:ascii="Verdana" w:eastAsia="Verdana" w:hAnsi="Verdana" w:cs="Arial"/>
                <w:sz w:val="18"/>
                <w:szCs w:val="18"/>
              </w:rPr>
              <w:t>eguimiento a avances en acceso a vivienda y tierras.</w:t>
            </w:r>
          </w:p>
        </w:tc>
      </w:tr>
      <w:tr w:rsidR="00DC7C6D" w:rsidRPr="00436D99" w14:paraId="61257BD8" w14:textId="77777777" w:rsidTr="000111B5">
        <w:trPr>
          <w:trHeight w:val="113"/>
        </w:trPr>
        <w:tc>
          <w:tcPr>
            <w:tcW w:w="1762" w:type="dxa"/>
            <w:tcMar>
              <w:left w:w="108" w:type="dxa"/>
              <w:right w:w="108" w:type="dxa"/>
            </w:tcMar>
          </w:tcPr>
          <w:p w14:paraId="5B6204A6" w14:textId="77777777" w:rsidR="00DC7C6D" w:rsidRPr="00AB06F3" w:rsidRDefault="00DC7C6D" w:rsidP="002C74D3">
            <w:pPr>
              <w:spacing w:line="276" w:lineRule="auto"/>
              <w:jc w:val="both"/>
              <w:rPr>
                <w:rFonts w:ascii="Verdana" w:eastAsia="Verdana" w:hAnsi="Verdana" w:cs="Arial"/>
                <w:sz w:val="18"/>
                <w:szCs w:val="18"/>
              </w:rPr>
            </w:pPr>
          </w:p>
        </w:tc>
        <w:tc>
          <w:tcPr>
            <w:tcW w:w="2551" w:type="dxa"/>
            <w:tcMar>
              <w:left w:w="108" w:type="dxa"/>
              <w:right w:w="108" w:type="dxa"/>
            </w:tcMar>
          </w:tcPr>
          <w:p w14:paraId="3E99D7A5" w14:textId="77777777" w:rsidR="00DC7C6D" w:rsidRDefault="00DC7C6D" w:rsidP="00DC7C6D">
            <w:pPr>
              <w:spacing w:line="276" w:lineRule="auto"/>
              <w:jc w:val="both"/>
              <w:rPr>
                <w:rFonts w:ascii="Verdana" w:eastAsia="Verdana" w:hAnsi="Verdana" w:cs="Arial"/>
                <w:sz w:val="18"/>
                <w:szCs w:val="18"/>
              </w:rPr>
            </w:pPr>
          </w:p>
          <w:p w14:paraId="5A592AC5" w14:textId="2EF2B59A" w:rsidR="00DC7C6D" w:rsidRPr="005A5E9D" w:rsidRDefault="00DC7C6D" w:rsidP="00DC7C6D">
            <w:pPr>
              <w:spacing w:line="276" w:lineRule="auto"/>
              <w:jc w:val="both"/>
              <w:rPr>
                <w:rFonts w:ascii="Verdana" w:eastAsia="Verdana" w:hAnsi="Verdana" w:cs="Arial"/>
                <w:sz w:val="18"/>
                <w:szCs w:val="18"/>
              </w:rPr>
            </w:pPr>
            <w:r w:rsidRPr="00E04F3F">
              <w:rPr>
                <w:rFonts w:ascii="Verdana" w:eastAsia="Verdana" w:hAnsi="Verdana" w:cs="Arial"/>
                <w:sz w:val="18"/>
                <w:szCs w:val="18"/>
              </w:rPr>
              <w:t>Sesión 157 – 28 de noviembre de 2025 (Bogotá)</w:t>
            </w:r>
          </w:p>
        </w:tc>
        <w:tc>
          <w:tcPr>
            <w:tcW w:w="4111" w:type="dxa"/>
            <w:tcMar>
              <w:left w:w="108" w:type="dxa"/>
              <w:right w:w="108" w:type="dxa"/>
            </w:tcMar>
          </w:tcPr>
          <w:p w14:paraId="29CAB8EF" w14:textId="2DC18A09" w:rsidR="00DC7C6D" w:rsidRDefault="00DC7C6D" w:rsidP="005C62B3">
            <w:pPr>
              <w:tabs>
                <w:tab w:val="num" w:pos="720"/>
              </w:tabs>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Firmantes en general</w:t>
            </w:r>
            <w:r w:rsidR="00E316E0">
              <w:rPr>
                <w:rFonts w:ascii="Verdana" w:eastAsia="Verdana" w:hAnsi="Verdana" w:cs="Arial"/>
                <w:color w:val="000000" w:themeColor="text1"/>
                <w:sz w:val="18"/>
                <w:szCs w:val="18"/>
              </w:rPr>
              <w:t xml:space="preserve"> para </w:t>
            </w:r>
            <w:r>
              <w:rPr>
                <w:rFonts w:ascii="Verdana" w:eastAsia="Verdana" w:hAnsi="Verdana" w:cs="Arial"/>
                <w:sz w:val="18"/>
                <w:szCs w:val="18"/>
              </w:rPr>
              <w:t>p</w:t>
            </w:r>
            <w:r w:rsidRPr="00283A9A">
              <w:rPr>
                <w:rFonts w:ascii="Verdana" w:eastAsia="Verdana" w:hAnsi="Verdana" w:cs="Arial"/>
                <w:sz w:val="18"/>
                <w:szCs w:val="18"/>
              </w:rPr>
              <w:t>resenta</w:t>
            </w:r>
            <w:r w:rsidR="00E316E0">
              <w:rPr>
                <w:rFonts w:ascii="Verdana" w:eastAsia="Verdana" w:hAnsi="Verdana" w:cs="Arial"/>
                <w:sz w:val="18"/>
                <w:szCs w:val="18"/>
              </w:rPr>
              <w:t xml:space="preserve">r </w:t>
            </w:r>
            <w:r w:rsidRPr="00283A9A">
              <w:rPr>
                <w:rFonts w:ascii="Verdana" w:eastAsia="Verdana" w:hAnsi="Verdana" w:cs="Arial"/>
                <w:sz w:val="18"/>
                <w:szCs w:val="18"/>
              </w:rPr>
              <w:t>para aprobación de proyecto productivo colectivo ganadero.</w:t>
            </w:r>
            <w:r>
              <w:rPr>
                <w:rFonts w:ascii="Verdana" w:eastAsia="Verdana" w:hAnsi="Verdana" w:cs="Arial"/>
                <w:sz w:val="18"/>
                <w:szCs w:val="18"/>
              </w:rPr>
              <w:t xml:space="preserve"> La a</w:t>
            </w:r>
            <w:r w:rsidRPr="00283A9A">
              <w:rPr>
                <w:rFonts w:ascii="Verdana" w:eastAsia="Verdana" w:hAnsi="Verdana" w:cs="Arial"/>
                <w:sz w:val="18"/>
                <w:szCs w:val="18"/>
              </w:rPr>
              <w:t>ctualización del cronograma de aplicación del Índice de Reincorporación Individual.</w:t>
            </w:r>
            <w:r>
              <w:rPr>
                <w:rFonts w:ascii="Verdana" w:eastAsia="Verdana" w:hAnsi="Verdana" w:cs="Arial"/>
                <w:sz w:val="18"/>
                <w:szCs w:val="18"/>
              </w:rPr>
              <w:t xml:space="preserve"> El b</w:t>
            </w:r>
            <w:r w:rsidRPr="00283A9A">
              <w:rPr>
                <w:rFonts w:ascii="Verdana" w:eastAsia="Verdana" w:hAnsi="Verdana" w:cs="Arial"/>
                <w:sz w:val="18"/>
                <w:szCs w:val="18"/>
              </w:rPr>
              <w:t>alance de avances en estrategia de empleabilidad.</w:t>
            </w:r>
            <w:r>
              <w:rPr>
                <w:rFonts w:ascii="Verdana" w:eastAsia="Verdana" w:hAnsi="Verdana" w:cs="Arial"/>
                <w:sz w:val="18"/>
                <w:szCs w:val="18"/>
              </w:rPr>
              <w:t xml:space="preserve"> La p</w:t>
            </w:r>
            <w:r w:rsidRPr="00283A9A">
              <w:rPr>
                <w:rFonts w:ascii="Verdana" w:eastAsia="Verdana" w:hAnsi="Verdana" w:cs="Arial"/>
                <w:sz w:val="18"/>
                <w:szCs w:val="18"/>
              </w:rPr>
              <w:t>resentación del Convenio 1574 de 2025 (Banco Agrario – ARN).</w:t>
            </w:r>
            <w:r>
              <w:rPr>
                <w:rFonts w:ascii="Verdana" w:eastAsia="Verdana" w:hAnsi="Verdana" w:cs="Arial"/>
                <w:sz w:val="18"/>
                <w:szCs w:val="18"/>
              </w:rPr>
              <w:t xml:space="preserve"> La s</w:t>
            </w:r>
            <w:r w:rsidRPr="00283A9A">
              <w:rPr>
                <w:rFonts w:ascii="Verdana" w:eastAsia="Verdana" w:hAnsi="Verdana" w:cs="Arial"/>
                <w:sz w:val="18"/>
                <w:szCs w:val="18"/>
              </w:rPr>
              <w:t>ocialización de la línea Fondo Emprender del SENA.</w:t>
            </w:r>
            <w:r>
              <w:rPr>
                <w:rFonts w:ascii="Verdana" w:eastAsia="Verdana" w:hAnsi="Verdana" w:cs="Arial"/>
                <w:sz w:val="18"/>
                <w:szCs w:val="18"/>
              </w:rPr>
              <w:t xml:space="preserve"> El se</w:t>
            </w:r>
            <w:r w:rsidRPr="00283A9A">
              <w:rPr>
                <w:rFonts w:ascii="Verdana" w:eastAsia="Verdana" w:hAnsi="Verdana" w:cs="Arial"/>
                <w:sz w:val="18"/>
                <w:szCs w:val="18"/>
              </w:rPr>
              <w:t>guimiento a convenio en salud (Clínica Barraquer).</w:t>
            </w:r>
          </w:p>
        </w:tc>
      </w:tr>
    </w:tbl>
    <w:p w14:paraId="14DC7486" w14:textId="6EEE8648" w:rsidR="7E870C49" w:rsidRPr="00AB06F3" w:rsidRDefault="7E870C49" w:rsidP="00C25586">
      <w:pPr>
        <w:spacing w:after="0" w:line="276" w:lineRule="auto"/>
        <w:jc w:val="both"/>
        <w:rPr>
          <w:rFonts w:ascii="Verdana" w:hAnsi="Verdana" w:cs="Arial"/>
        </w:rPr>
      </w:pPr>
    </w:p>
    <w:p w14:paraId="7C7AA714" w14:textId="00199D7F" w:rsidR="001841C5" w:rsidRPr="001841C5" w:rsidRDefault="003FB9B9" w:rsidP="00C25586">
      <w:pPr>
        <w:shd w:val="clear" w:color="auto" w:fill="FFFFFF" w:themeFill="background1"/>
        <w:spacing w:after="0" w:line="276" w:lineRule="auto"/>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Las sesiones </w:t>
      </w:r>
      <w:r w:rsidR="1FBF301F" w:rsidRPr="00AB06F3">
        <w:rPr>
          <w:rFonts w:ascii="Verdana" w:eastAsia="Verdana" w:hAnsi="Verdana" w:cs="Arial"/>
          <w:color w:val="000000" w:themeColor="text1"/>
          <w:sz w:val="24"/>
          <w:szCs w:val="24"/>
        </w:rPr>
        <w:t>del CNR</w:t>
      </w:r>
      <w:r w:rsidRPr="00AB06F3">
        <w:rPr>
          <w:rFonts w:ascii="Verdana" w:eastAsia="Verdana" w:hAnsi="Verdana" w:cs="Arial"/>
          <w:color w:val="000000" w:themeColor="text1"/>
          <w:sz w:val="24"/>
          <w:szCs w:val="24"/>
        </w:rPr>
        <w:t xml:space="preserve"> pueden ser consultadas en el canal oficial de</w:t>
      </w:r>
      <w:r w:rsidR="00D90D3D">
        <w:rPr>
          <w:rFonts w:ascii="Verdana" w:eastAsia="Verdana" w:hAnsi="Verdana" w:cs="Arial"/>
          <w:color w:val="000000" w:themeColor="text1"/>
          <w:sz w:val="24"/>
          <w:szCs w:val="24"/>
        </w:rPr>
        <w:t xml:space="preserve"> la ARN </w:t>
      </w:r>
      <w:r w:rsidR="00D90D3D" w:rsidRPr="00D90D3D">
        <w:rPr>
          <w:rFonts w:ascii="Verdana" w:eastAsia="Verdana" w:hAnsi="Verdana" w:cs="Arial"/>
          <w:color w:val="000000" w:themeColor="text1"/>
          <w:sz w:val="24"/>
          <w:szCs w:val="24"/>
        </w:rPr>
        <w:t>– sesiones del CNR</w:t>
      </w:r>
      <w:r w:rsidRPr="00AB06F3">
        <w:rPr>
          <w:rFonts w:ascii="Verdana" w:eastAsia="Verdana" w:hAnsi="Verdana" w:cs="Arial"/>
          <w:color w:val="000000" w:themeColor="text1"/>
          <w:sz w:val="24"/>
          <w:szCs w:val="24"/>
        </w:rPr>
        <w:t xml:space="preserve"> </w:t>
      </w:r>
    </w:p>
    <w:p w14:paraId="3D73E451" w14:textId="7CF241B3" w:rsidR="7E870C49" w:rsidRPr="001841C5" w:rsidRDefault="001841C5" w:rsidP="00C25586">
      <w:pPr>
        <w:shd w:val="clear" w:color="auto" w:fill="FFFFFF" w:themeFill="background1"/>
        <w:spacing w:after="0" w:line="276" w:lineRule="auto"/>
        <w:rPr>
          <w:rFonts w:ascii="Verdana" w:eastAsia="Verdana" w:hAnsi="Verdana" w:cs="Arial"/>
          <w:color w:val="000000" w:themeColor="text1"/>
          <w:sz w:val="24"/>
          <w:szCs w:val="24"/>
        </w:rPr>
      </w:pPr>
      <w:hyperlink r:id="rId12" w:history="1">
        <w:r w:rsidRPr="001841C5">
          <w:rPr>
            <w:rStyle w:val="Hipervnculo"/>
            <w:rFonts w:ascii="Verdana" w:hAnsi="Verdana" w:cs="Arial"/>
          </w:rPr>
          <w:t>https://www.youtube.com/playlist?list=PL2YQ_jjjSXuv-lDh2QOUrWm5r5NDYqFgg</w:t>
        </w:r>
      </w:hyperlink>
      <w:r w:rsidRPr="001841C5">
        <w:rPr>
          <w:rFonts w:ascii="Verdana" w:hAnsi="Verdana" w:cs="Arial"/>
        </w:rPr>
        <w:t xml:space="preserve"> </w:t>
      </w:r>
    </w:p>
    <w:p w14:paraId="472FEEB4" w14:textId="77777777" w:rsidR="00FB0134" w:rsidRPr="00AB06F3" w:rsidRDefault="00FB0134" w:rsidP="00C25586">
      <w:pPr>
        <w:spacing w:after="0" w:line="276" w:lineRule="auto"/>
        <w:rPr>
          <w:rFonts w:ascii="Verdana" w:eastAsia="Verdana" w:hAnsi="Verdana" w:cs="Arial"/>
          <w:sz w:val="24"/>
          <w:szCs w:val="24"/>
        </w:rPr>
      </w:pPr>
    </w:p>
    <w:p w14:paraId="6577A212" w14:textId="5C3DDEE6" w:rsidR="7E870C49" w:rsidRPr="00AB06F3" w:rsidRDefault="003FB9B9" w:rsidP="00164ED5">
      <w:pPr>
        <w:pStyle w:val="Prrafodelista"/>
        <w:numPr>
          <w:ilvl w:val="0"/>
          <w:numId w:val="19"/>
        </w:numPr>
        <w:spacing w:after="0" w:line="276" w:lineRule="auto"/>
        <w:jc w:val="both"/>
        <w:rPr>
          <w:rFonts w:ascii="Verdana" w:eastAsia="Calibri" w:hAnsi="Verdana" w:cs="Arial"/>
        </w:rPr>
      </w:pPr>
      <w:r w:rsidRPr="00AB06F3">
        <w:rPr>
          <w:rFonts w:ascii="Verdana" w:eastAsia="Verdana" w:hAnsi="Verdana" w:cs="Arial"/>
          <w:sz w:val="24"/>
          <w:szCs w:val="24"/>
        </w:rPr>
        <w:t xml:space="preserve">¿Qué desafíos y retos tuvimos para el cumplimiento </w:t>
      </w:r>
      <w:r w:rsidR="00626423" w:rsidRPr="00AB06F3">
        <w:rPr>
          <w:rFonts w:ascii="Verdana" w:eastAsia="Verdana" w:hAnsi="Verdana" w:cs="Arial"/>
          <w:sz w:val="24"/>
          <w:szCs w:val="24"/>
        </w:rPr>
        <w:t>del indicador</w:t>
      </w:r>
      <w:r w:rsidRPr="00AB06F3">
        <w:rPr>
          <w:rFonts w:ascii="Verdana" w:eastAsia="Verdana" w:hAnsi="Verdana" w:cs="Arial"/>
          <w:sz w:val="24"/>
          <w:szCs w:val="24"/>
        </w:rPr>
        <w:t xml:space="preserve"> PMI?</w:t>
      </w:r>
      <w:r w:rsidRPr="00AB06F3">
        <w:rPr>
          <w:rFonts w:ascii="Verdana" w:eastAsia="Calibri" w:hAnsi="Verdana" w:cs="Arial"/>
        </w:rPr>
        <w:t xml:space="preserve"> </w:t>
      </w:r>
    </w:p>
    <w:p w14:paraId="698F51F9" w14:textId="4ADEBB33" w:rsidR="00605453" w:rsidRPr="00605453" w:rsidRDefault="00605453" w:rsidP="00605453">
      <w:pPr>
        <w:pStyle w:val="Descripcin"/>
        <w:keepNext/>
        <w:jc w:val="center"/>
        <w:rPr>
          <w:rFonts w:ascii="Verdana" w:eastAsia="Verdana" w:hAnsi="Verdana" w:cs="Arial"/>
          <w:i w:val="0"/>
          <w:iCs w:val="0"/>
          <w:color w:val="000000" w:themeColor="text1"/>
        </w:rPr>
      </w:pPr>
      <w:bookmarkStart w:id="28" w:name="_Toc225283137"/>
      <w:r w:rsidRPr="00605453">
        <w:rPr>
          <w:rFonts w:ascii="Verdana" w:eastAsia="Verdana" w:hAnsi="Verdana" w:cs="Arial"/>
          <w:i w:val="0"/>
          <w:iCs w:val="0"/>
          <w:color w:val="000000" w:themeColor="text1"/>
        </w:rPr>
        <w:t xml:space="preserve">Tabla </w:t>
      </w:r>
      <w:r w:rsidRPr="00605453">
        <w:rPr>
          <w:rFonts w:ascii="Verdana" w:eastAsia="Verdana" w:hAnsi="Verdana" w:cs="Arial"/>
          <w:i w:val="0"/>
          <w:iCs w:val="0"/>
          <w:color w:val="000000" w:themeColor="text1"/>
        </w:rPr>
        <w:fldChar w:fldCharType="begin"/>
      </w:r>
      <w:r w:rsidRPr="00605453">
        <w:rPr>
          <w:rFonts w:ascii="Verdana" w:eastAsia="Verdana" w:hAnsi="Verdana" w:cs="Arial"/>
          <w:i w:val="0"/>
          <w:iCs w:val="0"/>
          <w:color w:val="000000" w:themeColor="text1"/>
        </w:rPr>
        <w:instrText xml:space="preserve"> SEQ Tabla \* ARABIC </w:instrText>
      </w:r>
      <w:r w:rsidRPr="00605453">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25</w:t>
      </w:r>
      <w:r w:rsidRPr="00605453">
        <w:rPr>
          <w:rFonts w:ascii="Verdana" w:eastAsia="Verdana" w:hAnsi="Verdana" w:cs="Arial"/>
          <w:i w:val="0"/>
          <w:iCs w:val="0"/>
          <w:color w:val="000000" w:themeColor="text1"/>
        </w:rPr>
        <w:fldChar w:fldCharType="end"/>
      </w:r>
      <w:r w:rsidRPr="00605453">
        <w:rPr>
          <w:rFonts w:ascii="Verdana" w:eastAsia="Verdana" w:hAnsi="Verdana" w:cs="Arial"/>
          <w:i w:val="0"/>
          <w:iCs w:val="0"/>
          <w:color w:val="000000" w:themeColor="text1"/>
        </w:rPr>
        <w:t>. Desafíos y retos del indicador C.221</w:t>
      </w:r>
      <w:bookmarkEnd w:id="28"/>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3265"/>
        <w:gridCol w:w="4155"/>
      </w:tblGrid>
      <w:tr w:rsidR="33167E86" w:rsidRPr="00AB06F3" w14:paraId="3B92C07F" w14:textId="77777777" w:rsidTr="00596EBA">
        <w:trPr>
          <w:trHeight w:val="300"/>
          <w:tblHeader/>
        </w:trPr>
        <w:tc>
          <w:tcPr>
            <w:tcW w:w="1408" w:type="dxa"/>
            <w:tcMar>
              <w:left w:w="108" w:type="dxa"/>
              <w:right w:w="108" w:type="dxa"/>
            </w:tcMar>
          </w:tcPr>
          <w:p w14:paraId="65B2EFF6" w14:textId="02E0F96A" w:rsidR="33167E86" w:rsidRPr="00436D99" w:rsidRDefault="6041069D" w:rsidP="00436D99">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764DEF61" w14:textId="20F4A7DF" w:rsidR="33167E86" w:rsidRPr="00436D99" w:rsidRDefault="6041069D" w:rsidP="00436D99">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2FDEAF7D" w14:textId="63E0F7FB" w:rsidR="33167E86" w:rsidRPr="00436D99" w:rsidRDefault="6041069D" w:rsidP="00436D99">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B5141A" w:rsidRPr="00AB06F3" w14:paraId="6E78CDD7" w14:textId="77777777" w:rsidTr="000111B5">
        <w:trPr>
          <w:trHeight w:val="300"/>
        </w:trPr>
        <w:tc>
          <w:tcPr>
            <w:tcW w:w="1408" w:type="dxa"/>
            <w:tcMar>
              <w:left w:w="108" w:type="dxa"/>
              <w:right w:w="108" w:type="dxa"/>
            </w:tcMar>
          </w:tcPr>
          <w:p w14:paraId="25E5C2B8" w14:textId="5F416EC6" w:rsidR="00B5141A" w:rsidRPr="00B5141A" w:rsidRDefault="00B5141A" w:rsidP="00187721">
            <w:pPr>
              <w:spacing w:line="276" w:lineRule="auto"/>
              <w:jc w:val="both"/>
              <w:rPr>
                <w:rFonts w:ascii="Verdana" w:eastAsia="Verdana" w:hAnsi="Verdana" w:cs="Arial"/>
                <w:color w:val="000000" w:themeColor="text1"/>
                <w:sz w:val="18"/>
                <w:szCs w:val="18"/>
              </w:rPr>
            </w:pPr>
            <w:r w:rsidRPr="00B5141A">
              <w:rPr>
                <w:rStyle w:val="normaltextrun"/>
                <w:rFonts w:ascii="Verdana" w:hAnsi="Verdana" w:cs="Segoe UI"/>
                <w:color w:val="000000"/>
                <w:sz w:val="18"/>
                <w:szCs w:val="18"/>
              </w:rPr>
              <w:t>Institucional </w:t>
            </w:r>
            <w:r w:rsidRPr="00B5141A">
              <w:rPr>
                <w:rStyle w:val="eop"/>
                <w:rFonts w:ascii="Verdana" w:hAnsi="Verdana" w:cs="Segoe UI"/>
                <w:color w:val="000000"/>
                <w:sz w:val="18"/>
                <w:szCs w:val="18"/>
              </w:rPr>
              <w:t> </w:t>
            </w:r>
          </w:p>
        </w:tc>
        <w:tc>
          <w:tcPr>
            <w:tcW w:w="3265" w:type="dxa"/>
            <w:tcMar>
              <w:left w:w="108" w:type="dxa"/>
              <w:right w:w="108" w:type="dxa"/>
            </w:tcMar>
          </w:tcPr>
          <w:p w14:paraId="4E158759" w14:textId="0AD62C54" w:rsidR="00B5141A" w:rsidRPr="00B5141A" w:rsidRDefault="006300C3" w:rsidP="00187721">
            <w:pPr>
              <w:pStyle w:val="paragraph"/>
              <w:numPr>
                <w:ilvl w:val="0"/>
                <w:numId w:val="24"/>
              </w:numPr>
              <w:tabs>
                <w:tab w:val="clear" w:pos="720"/>
                <w:tab w:val="left" w:pos="322"/>
              </w:tabs>
              <w:spacing w:before="0" w:beforeAutospacing="0" w:after="0" w:afterAutospacing="0"/>
              <w:ind w:left="39" w:firstLine="0"/>
              <w:jc w:val="both"/>
              <w:textAlignment w:val="baseline"/>
              <w:divId w:val="1010831942"/>
              <w:rPr>
                <w:rFonts w:ascii="Verdana" w:hAnsi="Verdana" w:cs="Segoe UI"/>
                <w:sz w:val="18"/>
                <w:szCs w:val="18"/>
              </w:rPr>
            </w:pPr>
            <w:r>
              <w:rPr>
                <w:rStyle w:val="normaltextrun"/>
                <w:rFonts w:ascii="Verdana" w:hAnsi="Verdana" w:cs="Segoe UI"/>
                <w:color w:val="000000"/>
                <w:sz w:val="18"/>
                <w:szCs w:val="18"/>
              </w:rPr>
              <w:t>I</w:t>
            </w:r>
            <w:r w:rsidR="00B5141A" w:rsidRPr="00B5141A">
              <w:rPr>
                <w:rStyle w:val="normaltextrun"/>
                <w:rFonts w:ascii="Verdana" w:hAnsi="Verdana" w:cs="Segoe UI"/>
                <w:color w:val="000000"/>
                <w:sz w:val="18"/>
                <w:szCs w:val="18"/>
              </w:rPr>
              <w:t xml:space="preserve">mposibilidad de realizar una nueva sesión </w:t>
            </w:r>
            <w:r w:rsidR="00915752" w:rsidRPr="00915752">
              <w:rPr>
                <w:rFonts w:ascii="Verdana" w:hAnsi="Verdana" w:cs="Segoe UI"/>
                <w:color w:val="000000"/>
                <w:sz w:val="18"/>
                <w:szCs w:val="18"/>
              </w:rPr>
              <w:t>territorial del Consejo Nacional de Reincorporación</w:t>
            </w:r>
            <w:r w:rsidR="00B5141A" w:rsidRPr="00B5141A">
              <w:rPr>
                <w:rStyle w:val="normaltextrun"/>
                <w:rFonts w:ascii="Verdana" w:hAnsi="Verdana" w:cs="Segoe UI"/>
                <w:color w:val="000000"/>
                <w:sz w:val="18"/>
                <w:szCs w:val="18"/>
              </w:rPr>
              <w:t xml:space="preserve">. Inicialmente, se tenía previsto desarrollar una sesión en el departamento del Cauca; sin embargo, por razones de seguridad </w:t>
            </w:r>
            <w:r w:rsidR="00915752">
              <w:rPr>
                <w:rStyle w:val="normaltextrun"/>
                <w:rFonts w:ascii="Verdana" w:hAnsi="Verdana" w:cs="Segoe UI"/>
                <w:color w:val="000000"/>
                <w:sz w:val="18"/>
                <w:szCs w:val="18"/>
              </w:rPr>
              <w:t xml:space="preserve">en el territorio </w:t>
            </w:r>
            <w:r w:rsidR="00B5141A" w:rsidRPr="00B5141A">
              <w:rPr>
                <w:rStyle w:val="normaltextrun"/>
                <w:rFonts w:ascii="Verdana" w:hAnsi="Verdana" w:cs="Segoe UI"/>
                <w:color w:val="000000"/>
                <w:sz w:val="18"/>
                <w:szCs w:val="18"/>
              </w:rPr>
              <w:t xml:space="preserve">y limitaciones en las agendas de los procesos organizativos </w:t>
            </w:r>
            <w:r w:rsidR="00915752">
              <w:rPr>
                <w:rStyle w:val="normaltextrun"/>
                <w:rFonts w:ascii="Verdana" w:hAnsi="Verdana" w:cs="Segoe UI"/>
                <w:color w:val="000000"/>
                <w:sz w:val="18"/>
                <w:szCs w:val="18"/>
              </w:rPr>
              <w:t>locales</w:t>
            </w:r>
            <w:r w:rsidR="00B5141A" w:rsidRPr="00B5141A">
              <w:rPr>
                <w:rStyle w:val="normaltextrun"/>
                <w:rFonts w:ascii="Verdana" w:hAnsi="Verdana" w:cs="Segoe UI"/>
                <w:color w:val="000000"/>
                <w:sz w:val="18"/>
                <w:szCs w:val="18"/>
              </w:rPr>
              <w:t>, no fue posible llevarla a cabo</w:t>
            </w:r>
            <w:r w:rsidR="0020576B">
              <w:rPr>
                <w:rStyle w:val="normaltextrun"/>
                <w:rFonts w:ascii="Verdana" w:hAnsi="Verdana" w:cs="Segoe UI"/>
                <w:color w:val="000000"/>
                <w:sz w:val="18"/>
                <w:szCs w:val="18"/>
              </w:rPr>
              <w:t xml:space="preserve"> durante la vigencia 2025</w:t>
            </w:r>
            <w:r w:rsidR="00B5141A" w:rsidRPr="00B5141A">
              <w:rPr>
                <w:rStyle w:val="normaltextrun"/>
                <w:rFonts w:ascii="Verdana" w:hAnsi="Verdana" w:cs="Segoe UI"/>
                <w:color w:val="000000"/>
                <w:sz w:val="18"/>
                <w:szCs w:val="18"/>
              </w:rPr>
              <w:t>. </w:t>
            </w:r>
            <w:r w:rsidR="00B5141A" w:rsidRPr="00B5141A">
              <w:rPr>
                <w:rStyle w:val="eop"/>
                <w:rFonts w:ascii="Verdana" w:hAnsi="Verdana" w:cs="Segoe UI"/>
                <w:color w:val="000000"/>
                <w:sz w:val="18"/>
                <w:szCs w:val="18"/>
              </w:rPr>
              <w:t> </w:t>
            </w:r>
          </w:p>
          <w:p w14:paraId="544928F3" w14:textId="77777777" w:rsidR="00B5141A" w:rsidRPr="00B5141A" w:rsidRDefault="00B5141A" w:rsidP="00187721">
            <w:pPr>
              <w:pStyle w:val="paragraph"/>
              <w:numPr>
                <w:ilvl w:val="0"/>
                <w:numId w:val="24"/>
              </w:numPr>
              <w:tabs>
                <w:tab w:val="clear" w:pos="720"/>
                <w:tab w:val="left" w:pos="322"/>
              </w:tabs>
              <w:spacing w:before="0" w:beforeAutospacing="0" w:after="0" w:afterAutospacing="0"/>
              <w:ind w:left="39" w:firstLine="0"/>
              <w:jc w:val="both"/>
              <w:textAlignment w:val="baseline"/>
              <w:divId w:val="1010831942"/>
              <w:rPr>
                <w:rStyle w:val="normaltextrun"/>
                <w:rFonts w:ascii="Verdana" w:hAnsi="Verdana" w:cs="Segoe UI"/>
                <w:sz w:val="18"/>
                <w:szCs w:val="18"/>
              </w:rPr>
            </w:pPr>
            <w:r w:rsidRPr="00B5141A">
              <w:rPr>
                <w:rStyle w:val="normaltextrun"/>
                <w:rFonts w:ascii="Verdana" w:hAnsi="Verdana" w:cs="Segoe UI"/>
                <w:color w:val="000000"/>
                <w:sz w:val="18"/>
                <w:szCs w:val="18"/>
              </w:rPr>
              <w:t>Retiro de la participación de los representantes de ECOMUN en la Instancia, quienes no asistieron a las dos últimas sesiones de la vigencia 2025.</w:t>
            </w:r>
          </w:p>
          <w:p w14:paraId="70847B8B" w14:textId="3CF959EE" w:rsidR="00B5141A" w:rsidRPr="00B5141A" w:rsidRDefault="0020576B" w:rsidP="00187721">
            <w:pPr>
              <w:pStyle w:val="paragraph"/>
              <w:numPr>
                <w:ilvl w:val="0"/>
                <w:numId w:val="24"/>
              </w:numPr>
              <w:tabs>
                <w:tab w:val="clear" w:pos="720"/>
                <w:tab w:val="left" w:pos="322"/>
              </w:tabs>
              <w:spacing w:before="0" w:beforeAutospacing="0" w:after="0" w:afterAutospacing="0"/>
              <w:ind w:left="39" w:firstLine="0"/>
              <w:jc w:val="both"/>
              <w:textAlignment w:val="baseline"/>
              <w:divId w:val="1010831942"/>
              <w:rPr>
                <w:rFonts w:ascii="Verdana" w:hAnsi="Verdana" w:cs="Segoe UI"/>
                <w:sz w:val="18"/>
                <w:szCs w:val="18"/>
              </w:rPr>
            </w:pPr>
            <w:r>
              <w:rPr>
                <w:rStyle w:val="normaltextrun"/>
                <w:rFonts w:ascii="Verdana" w:hAnsi="Verdana" w:cs="Segoe UI"/>
                <w:color w:val="000000"/>
                <w:sz w:val="18"/>
                <w:szCs w:val="18"/>
              </w:rPr>
              <w:t xml:space="preserve">Necesidad de fortalecer </w:t>
            </w:r>
            <w:r w:rsidR="00B5141A" w:rsidRPr="00B5141A">
              <w:rPr>
                <w:rStyle w:val="normaltextrun"/>
                <w:rFonts w:ascii="Verdana" w:hAnsi="Verdana" w:cs="Segoe UI"/>
                <w:color w:val="000000"/>
                <w:sz w:val="18"/>
                <w:szCs w:val="18"/>
              </w:rPr>
              <w:t xml:space="preserve">las acciones estratégicas de incidencia, seguimiento y </w:t>
            </w:r>
            <w:r w:rsidR="006A22B8">
              <w:rPr>
                <w:rStyle w:val="normaltextrun"/>
                <w:rFonts w:ascii="Verdana" w:hAnsi="Verdana" w:cs="Segoe UI"/>
                <w:color w:val="000000"/>
                <w:sz w:val="18"/>
                <w:szCs w:val="18"/>
              </w:rPr>
              <w:t xml:space="preserve">preparación para el proceso de </w:t>
            </w:r>
            <w:r w:rsidR="00B5141A" w:rsidRPr="00B5141A">
              <w:rPr>
                <w:rStyle w:val="normaltextrun"/>
                <w:rFonts w:ascii="Verdana" w:hAnsi="Verdana" w:cs="Segoe UI"/>
                <w:color w:val="000000"/>
                <w:sz w:val="18"/>
                <w:szCs w:val="18"/>
              </w:rPr>
              <w:t>empalme, en el contexto del cambio de gobierno. </w:t>
            </w:r>
            <w:r w:rsidR="00B5141A" w:rsidRPr="00B5141A">
              <w:rPr>
                <w:rStyle w:val="eop"/>
                <w:rFonts w:ascii="Verdana" w:hAnsi="Verdana" w:cs="Segoe UI"/>
                <w:color w:val="000000"/>
                <w:sz w:val="18"/>
                <w:szCs w:val="18"/>
              </w:rPr>
              <w:t> </w:t>
            </w:r>
          </w:p>
        </w:tc>
        <w:tc>
          <w:tcPr>
            <w:tcW w:w="4155" w:type="dxa"/>
            <w:tcMar>
              <w:left w:w="108" w:type="dxa"/>
              <w:right w:w="108" w:type="dxa"/>
            </w:tcMar>
          </w:tcPr>
          <w:p w14:paraId="4A4FAA70" w14:textId="179EA4A8" w:rsidR="00B5141A" w:rsidRDefault="00B5141A" w:rsidP="00187721">
            <w:pPr>
              <w:pStyle w:val="paragraph"/>
              <w:numPr>
                <w:ilvl w:val="0"/>
                <w:numId w:val="25"/>
              </w:numPr>
              <w:tabs>
                <w:tab w:val="clear" w:pos="720"/>
                <w:tab w:val="num" w:pos="321"/>
              </w:tabs>
              <w:spacing w:before="0" w:beforeAutospacing="0" w:after="0" w:afterAutospacing="0"/>
              <w:ind w:left="38" w:firstLine="27"/>
              <w:jc w:val="both"/>
              <w:textAlignment w:val="baseline"/>
              <w:divId w:val="2002659897"/>
              <w:rPr>
                <w:rStyle w:val="eop"/>
                <w:rFonts w:ascii="Verdana" w:hAnsi="Verdana" w:cs="Segoe UI"/>
                <w:color w:val="000000" w:themeColor="text1"/>
                <w:sz w:val="18"/>
                <w:szCs w:val="18"/>
              </w:rPr>
            </w:pPr>
            <w:r w:rsidRPr="00B5141A">
              <w:rPr>
                <w:rStyle w:val="normaltextrun"/>
                <w:rFonts w:ascii="Verdana" w:hAnsi="Verdana" w:cs="Segoe UI"/>
                <w:color w:val="000000" w:themeColor="text1"/>
                <w:sz w:val="18"/>
                <w:szCs w:val="18"/>
              </w:rPr>
              <w:t xml:space="preserve">Se definió como </w:t>
            </w:r>
            <w:r w:rsidR="006A22B8">
              <w:rPr>
                <w:rStyle w:val="normaltextrun"/>
                <w:rFonts w:ascii="Verdana" w:hAnsi="Verdana" w:cs="Segoe UI"/>
                <w:color w:val="000000" w:themeColor="text1"/>
                <w:sz w:val="18"/>
                <w:szCs w:val="18"/>
              </w:rPr>
              <w:t xml:space="preserve">para </w:t>
            </w:r>
            <w:r w:rsidRPr="00B5141A">
              <w:rPr>
                <w:rStyle w:val="normaltextrun"/>
                <w:rFonts w:ascii="Verdana" w:hAnsi="Verdana" w:cs="Segoe UI"/>
                <w:color w:val="000000" w:themeColor="text1"/>
                <w:sz w:val="18"/>
                <w:szCs w:val="18"/>
              </w:rPr>
              <w:t xml:space="preserve">el primer semestre de 2026, </w:t>
            </w:r>
            <w:r w:rsidR="006A22B8">
              <w:rPr>
                <w:rStyle w:val="normaltextrun"/>
                <w:rFonts w:ascii="Verdana" w:hAnsi="Verdana" w:cs="Segoe UI"/>
                <w:color w:val="000000" w:themeColor="text1"/>
                <w:sz w:val="18"/>
                <w:szCs w:val="18"/>
              </w:rPr>
              <w:t xml:space="preserve">la realización de </w:t>
            </w:r>
            <w:r w:rsidRPr="00B5141A">
              <w:rPr>
                <w:rStyle w:val="normaltextrun"/>
                <w:rFonts w:ascii="Verdana" w:hAnsi="Verdana" w:cs="Segoe UI"/>
                <w:color w:val="000000" w:themeColor="text1"/>
                <w:sz w:val="18"/>
                <w:szCs w:val="18"/>
              </w:rPr>
              <w:t xml:space="preserve">la sesión territorial del CNR </w:t>
            </w:r>
            <w:r w:rsidR="006A22B8">
              <w:rPr>
                <w:rStyle w:val="normaltextrun"/>
                <w:rFonts w:ascii="Verdana" w:hAnsi="Verdana" w:cs="Segoe UI"/>
                <w:color w:val="000000" w:themeColor="text1"/>
                <w:sz w:val="18"/>
                <w:szCs w:val="18"/>
              </w:rPr>
              <w:t>pendiente en el Departamento d</w:t>
            </w:r>
            <w:r w:rsidRPr="00B5141A">
              <w:rPr>
                <w:rStyle w:val="normaltextrun"/>
                <w:rFonts w:ascii="Verdana" w:hAnsi="Verdana" w:cs="Segoe UI"/>
                <w:color w:val="000000" w:themeColor="text1"/>
                <w:sz w:val="18"/>
                <w:szCs w:val="18"/>
              </w:rPr>
              <w:t>el departamento del Cauca</w:t>
            </w:r>
            <w:r w:rsidR="00F31B8C">
              <w:rPr>
                <w:rStyle w:val="normaltextrun"/>
                <w:rFonts w:ascii="Verdana" w:hAnsi="Verdana" w:cs="Segoe UI"/>
                <w:color w:val="000000" w:themeColor="text1"/>
                <w:sz w:val="18"/>
                <w:szCs w:val="18"/>
              </w:rPr>
              <w:t xml:space="preserve"> </w:t>
            </w:r>
            <w:r w:rsidR="00F31B8C" w:rsidRPr="00F31B8C">
              <w:rPr>
                <w:rFonts w:ascii="Verdana" w:hAnsi="Verdana" w:cs="Segoe UI"/>
                <w:color w:val="000000" w:themeColor="text1"/>
                <w:sz w:val="18"/>
                <w:szCs w:val="18"/>
              </w:rPr>
              <w:t>con el fin de fortalecer el diálogo directo con los actores territoriales y la población en proceso de reincorporación.</w:t>
            </w:r>
            <w:r w:rsidRPr="00B5141A">
              <w:rPr>
                <w:rStyle w:val="eop"/>
                <w:rFonts w:ascii="Verdana" w:hAnsi="Verdana" w:cs="Segoe UI"/>
                <w:color w:val="000000" w:themeColor="text1"/>
                <w:sz w:val="18"/>
                <w:szCs w:val="18"/>
              </w:rPr>
              <w:t> </w:t>
            </w:r>
          </w:p>
          <w:p w14:paraId="73127EF6" w14:textId="0C4739A7" w:rsidR="00B5141A" w:rsidRDefault="00B5141A" w:rsidP="00187721">
            <w:pPr>
              <w:pStyle w:val="paragraph"/>
              <w:numPr>
                <w:ilvl w:val="0"/>
                <w:numId w:val="25"/>
              </w:numPr>
              <w:tabs>
                <w:tab w:val="clear" w:pos="720"/>
                <w:tab w:val="num" w:pos="321"/>
              </w:tabs>
              <w:spacing w:before="0" w:beforeAutospacing="0" w:after="0" w:afterAutospacing="0"/>
              <w:ind w:left="38" w:firstLine="27"/>
              <w:jc w:val="both"/>
              <w:textAlignment w:val="baseline"/>
              <w:divId w:val="2002659897"/>
              <w:rPr>
                <w:rStyle w:val="eop"/>
                <w:rFonts w:ascii="Verdana" w:hAnsi="Verdana" w:cs="Segoe UI"/>
                <w:color w:val="000000" w:themeColor="text1"/>
                <w:sz w:val="18"/>
                <w:szCs w:val="18"/>
              </w:rPr>
            </w:pPr>
            <w:r w:rsidRPr="00B5141A">
              <w:rPr>
                <w:rStyle w:val="normaltextrun"/>
                <w:rFonts w:ascii="Verdana" w:hAnsi="Verdana" w:cs="Segoe UI"/>
                <w:color w:val="000000" w:themeColor="text1"/>
                <w:sz w:val="18"/>
                <w:szCs w:val="18"/>
              </w:rPr>
              <w:t xml:space="preserve">Desde la ARN se han adelantado espacios de diálogo con los representantes de la organización, </w:t>
            </w:r>
            <w:r w:rsidR="00F31B8C">
              <w:rPr>
                <w:rStyle w:val="normaltextrun"/>
                <w:rFonts w:ascii="Verdana" w:hAnsi="Verdana" w:cs="Segoe UI"/>
                <w:color w:val="000000" w:themeColor="text1"/>
                <w:sz w:val="18"/>
                <w:szCs w:val="18"/>
              </w:rPr>
              <w:t xml:space="preserve">orientados a </w:t>
            </w:r>
            <w:r w:rsidRPr="00B5141A">
              <w:rPr>
                <w:rStyle w:val="normaltextrun"/>
                <w:rFonts w:ascii="Verdana" w:hAnsi="Verdana" w:cs="Segoe UI"/>
                <w:color w:val="000000" w:themeColor="text1"/>
                <w:sz w:val="18"/>
                <w:szCs w:val="18"/>
              </w:rPr>
              <w:t>aclarar inquietudes y brindar las garantías necesarias para la continuidad de su participación en la Instancia.</w:t>
            </w:r>
            <w:r w:rsidRPr="00B5141A">
              <w:rPr>
                <w:rStyle w:val="eop"/>
                <w:rFonts w:ascii="Verdana" w:hAnsi="Verdana" w:cs="Segoe UI"/>
                <w:color w:val="000000" w:themeColor="text1"/>
                <w:sz w:val="18"/>
                <w:szCs w:val="18"/>
              </w:rPr>
              <w:t> </w:t>
            </w:r>
          </w:p>
          <w:p w14:paraId="1B08576C" w14:textId="20918B0F" w:rsidR="00B5141A" w:rsidRPr="00B5141A" w:rsidRDefault="00373274" w:rsidP="00187721">
            <w:pPr>
              <w:pStyle w:val="paragraph"/>
              <w:spacing w:before="0" w:beforeAutospacing="0" w:after="0" w:afterAutospacing="0"/>
              <w:jc w:val="both"/>
              <w:textAlignment w:val="baseline"/>
              <w:divId w:val="1485128081"/>
              <w:rPr>
                <w:rFonts w:ascii="Verdana" w:hAnsi="Verdana" w:cs="Segoe UI"/>
                <w:sz w:val="18"/>
                <w:szCs w:val="18"/>
              </w:rPr>
            </w:pPr>
            <w:r>
              <w:rPr>
                <w:rFonts w:ascii="Verdana" w:hAnsi="Verdana" w:cs="Segoe UI"/>
                <w:color w:val="000000" w:themeColor="text1"/>
                <w:sz w:val="18"/>
                <w:szCs w:val="18"/>
              </w:rPr>
              <w:t xml:space="preserve">3. </w:t>
            </w:r>
            <w:r w:rsidR="003D4546" w:rsidRPr="003D4546">
              <w:rPr>
                <w:rFonts w:ascii="Verdana" w:hAnsi="Verdana" w:cs="Segoe UI"/>
                <w:color w:val="000000" w:themeColor="text1"/>
                <w:sz w:val="18"/>
                <w:szCs w:val="18"/>
              </w:rPr>
              <w:t>En la sesión 157 del CNR, realizada en noviembre de 2025, se acordó que la primera sesión de 2026 (sesión 158) estaría dedicada a un ejercicio de balance sobre los avances del proceso de reincorporación, con énfasis en los temas estratégicos de la agenda. Este espacio permitió definir una ruta temática de trabajo para 2026, orientada a proyectar metas a junio de ese año e identificar acciones clave en el marco del empalme de gobierno, con el propósito de asegurar la sostenibilidad y continuidad de las acciones de reincorporación.</w:t>
            </w:r>
          </w:p>
        </w:tc>
      </w:tr>
    </w:tbl>
    <w:p w14:paraId="394364B2" w14:textId="29D77FFF" w:rsidR="00B709EF" w:rsidRPr="00AB06F3" w:rsidRDefault="1D687ACF"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Producto: Apoyo económico para proyectos productivos aprobados y viabilizados por el CNR (8 millones de pesos por proyecto / única vez) </w:t>
      </w:r>
    </w:p>
    <w:p w14:paraId="6241771A" w14:textId="069FEB73" w:rsidR="00B709EF" w:rsidRPr="00AB06F3" w:rsidRDefault="72D7EFC4" w:rsidP="00C25586">
      <w:pPr>
        <w:spacing w:before="240" w:after="0" w:line="276" w:lineRule="auto"/>
        <w:jc w:val="both"/>
        <w:rPr>
          <w:rFonts w:ascii="Verdana" w:eastAsia="Verdana" w:hAnsi="Verdana" w:cs="Arial"/>
          <w:color w:val="000000" w:themeColor="text1"/>
          <w:sz w:val="24"/>
          <w:szCs w:val="24"/>
        </w:rPr>
      </w:pPr>
      <w:r w:rsidRPr="00AB06F3">
        <w:rPr>
          <w:rFonts w:ascii="Verdana" w:eastAsia="Verdana" w:hAnsi="Verdana" w:cs="Arial"/>
          <w:b/>
          <w:bCs/>
          <w:color w:val="000000" w:themeColor="text1"/>
          <w:sz w:val="24"/>
          <w:szCs w:val="24"/>
        </w:rPr>
        <w:t xml:space="preserve">C.238 </w:t>
      </w:r>
      <w:r w:rsidRPr="00AB06F3">
        <w:rPr>
          <w:rFonts w:ascii="Verdana" w:eastAsia="Verdana" w:hAnsi="Verdana" w:cs="Arial"/>
          <w:color w:val="000000" w:themeColor="text1"/>
          <w:sz w:val="24"/>
          <w:szCs w:val="24"/>
        </w:rPr>
        <w:t>Porcentaje de integrantes de FARC- EP acreditados con proyecto productivo individual o colectivo viabilizado con apoyo económico entregado</w:t>
      </w:r>
      <w:r w:rsidR="750A6E49" w:rsidRPr="00AB06F3">
        <w:rPr>
          <w:rFonts w:ascii="Verdana" w:eastAsia="Verdana" w:hAnsi="Verdana" w:cs="Arial"/>
          <w:color w:val="000000" w:themeColor="text1"/>
          <w:sz w:val="18"/>
          <w:szCs w:val="18"/>
        </w:rPr>
        <w:t xml:space="preserve"> </w:t>
      </w:r>
    </w:p>
    <w:p w14:paraId="57EE57B6" w14:textId="753D9A29" w:rsidR="00100CF1" w:rsidRPr="00100CF1" w:rsidRDefault="00100CF1" w:rsidP="00100CF1">
      <w:pPr>
        <w:pStyle w:val="Descripcin"/>
        <w:keepNext/>
        <w:jc w:val="center"/>
        <w:rPr>
          <w:rFonts w:ascii="Verdana" w:eastAsia="Verdana" w:hAnsi="Verdana" w:cs="Arial"/>
          <w:i w:val="0"/>
          <w:iCs w:val="0"/>
          <w:color w:val="000000" w:themeColor="text1"/>
        </w:rPr>
      </w:pPr>
      <w:bookmarkStart w:id="29" w:name="_Toc225283138"/>
      <w:r w:rsidRPr="00100CF1">
        <w:rPr>
          <w:rFonts w:ascii="Verdana" w:eastAsia="Verdana" w:hAnsi="Verdana" w:cs="Arial"/>
          <w:i w:val="0"/>
          <w:iCs w:val="0"/>
          <w:color w:val="000000" w:themeColor="text1"/>
        </w:rPr>
        <w:t xml:space="preserve">Tabla </w:t>
      </w:r>
      <w:r w:rsidRPr="00100CF1">
        <w:rPr>
          <w:rFonts w:ascii="Verdana" w:eastAsia="Verdana" w:hAnsi="Verdana" w:cs="Arial"/>
          <w:i w:val="0"/>
          <w:iCs w:val="0"/>
          <w:color w:val="000000" w:themeColor="text1"/>
        </w:rPr>
        <w:fldChar w:fldCharType="begin"/>
      </w:r>
      <w:r w:rsidRPr="00100CF1">
        <w:rPr>
          <w:rFonts w:ascii="Verdana" w:eastAsia="Verdana" w:hAnsi="Verdana" w:cs="Arial"/>
          <w:i w:val="0"/>
          <w:iCs w:val="0"/>
          <w:color w:val="000000" w:themeColor="text1"/>
        </w:rPr>
        <w:instrText xml:space="preserve"> SEQ Tabla \* ARABIC </w:instrText>
      </w:r>
      <w:r w:rsidRPr="00100CF1">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26</w:t>
      </w:r>
      <w:r w:rsidRPr="00100CF1">
        <w:rPr>
          <w:rFonts w:ascii="Verdana" w:eastAsia="Verdana" w:hAnsi="Verdana" w:cs="Arial"/>
          <w:i w:val="0"/>
          <w:iCs w:val="0"/>
          <w:color w:val="000000" w:themeColor="text1"/>
        </w:rPr>
        <w:fldChar w:fldCharType="end"/>
      </w:r>
      <w:r w:rsidRPr="00100CF1">
        <w:rPr>
          <w:rFonts w:ascii="Verdana" w:eastAsia="Verdana" w:hAnsi="Verdana" w:cs="Arial"/>
          <w:i w:val="0"/>
          <w:iCs w:val="0"/>
          <w:color w:val="000000" w:themeColor="text1"/>
        </w:rPr>
        <w:t>. Detalle de avance en el indicador C.238</w:t>
      </w:r>
      <w:bookmarkEnd w:id="29"/>
    </w:p>
    <w:tbl>
      <w:tblPr>
        <w:tblStyle w:val="Tablaconcuadrcula1clara-nfasis4"/>
        <w:tblW w:w="8834"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del indicador"/>
        <w:tblDescription w:val="Tabla que continene el nombre del indicador, el tipo, fecha de inicio, fecha fin y el avance al 2025."/>
      </w:tblPr>
      <w:tblGrid>
        <w:gridCol w:w="3818"/>
        <w:gridCol w:w="1344"/>
        <w:gridCol w:w="1224"/>
        <w:gridCol w:w="1224"/>
        <w:gridCol w:w="1224"/>
      </w:tblGrid>
      <w:tr w:rsidR="33167E86" w:rsidRPr="00AB06F3" w14:paraId="52A800D7" w14:textId="77777777" w:rsidTr="00373274">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2C5F56B4" w14:textId="2B07B76D" w:rsidR="33167E86" w:rsidRPr="00AB06F3" w:rsidRDefault="33167E86"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1344" w:type="dxa"/>
            <w:tcMar>
              <w:left w:w="108" w:type="dxa"/>
              <w:right w:w="108" w:type="dxa"/>
            </w:tcMar>
            <w:vAlign w:val="center"/>
          </w:tcPr>
          <w:p w14:paraId="20951C90" w14:textId="291EBEFC"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24" w:type="dxa"/>
            <w:tcMar>
              <w:left w:w="108" w:type="dxa"/>
              <w:right w:w="108" w:type="dxa"/>
            </w:tcMar>
            <w:vAlign w:val="center"/>
          </w:tcPr>
          <w:p w14:paraId="29130234" w14:textId="433D9489"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24" w:type="dxa"/>
            <w:tcMar>
              <w:left w:w="108" w:type="dxa"/>
              <w:right w:w="108" w:type="dxa"/>
            </w:tcMar>
            <w:vAlign w:val="center"/>
          </w:tcPr>
          <w:p w14:paraId="77C41471" w14:textId="7CB78043"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24" w:type="dxa"/>
            <w:tcMar>
              <w:left w:w="108" w:type="dxa"/>
              <w:right w:w="108" w:type="dxa"/>
            </w:tcMar>
          </w:tcPr>
          <w:p w14:paraId="6868E3AB" w14:textId="67EBB4A8"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941EDC">
              <w:rPr>
                <w:rFonts w:ascii="Verdana" w:eastAsia="Verdana" w:hAnsi="Verdana" w:cs="Arial"/>
                <w:color w:val="000000" w:themeColor="text1"/>
                <w:sz w:val="18"/>
                <w:szCs w:val="18"/>
              </w:rPr>
              <w:t>5</w:t>
            </w:r>
          </w:p>
        </w:tc>
      </w:tr>
      <w:tr w:rsidR="33167E86" w:rsidRPr="00AB06F3" w14:paraId="73010D14" w14:textId="77777777" w:rsidTr="00373274">
        <w:trPr>
          <w:trHeight w:val="30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4F7F8714" w14:textId="04D0AD23" w:rsidR="33167E86" w:rsidRPr="00AB06F3" w:rsidRDefault="33167E86" w:rsidP="00C25586">
            <w:pPr>
              <w:spacing w:line="276" w:lineRule="auto"/>
              <w:jc w:val="center"/>
              <w:rPr>
                <w:rFonts w:ascii="Verdana" w:hAnsi="Verdana" w:cs="Arial"/>
                <w:b w:val="0"/>
                <w:bCs w:val="0"/>
              </w:rPr>
            </w:pPr>
            <w:r w:rsidRPr="00AB06F3">
              <w:rPr>
                <w:rFonts w:ascii="Verdana" w:eastAsia="Verdana" w:hAnsi="Verdana" w:cs="Arial"/>
                <w:b w:val="0"/>
                <w:bCs w:val="0"/>
                <w:sz w:val="18"/>
                <w:szCs w:val="18"/>
              </w:rPr>
              <w:t>C.238 Porcentaje de integrantes de FARC- EP acreditados con proyecto productivo individual o colectivo viabilizado con apoyo económico entregado</w:t>
            </w:r>
          </w:p>
        </w:tc>
        <w:tc>
          <w:tcPr>
            <w:tcW w:w="1344" w:type="dxa"/>
            <w:tcMar>
              <w:left w:w="108" w:type="dxa"/>
              <w:right w:w="108" w:type="dxa"/>
            </w:tcMar>
            <w:vAlign w:val="center"/>
          </w:tcPr>
          <w:p w14:paraId="4ED4D216" w14:textId="36BAF25E"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24" w:type="dxa"/>
            <w:shd w:val="clear" w:color="auto" w:fill="FFFFFF" w:themeFill="background1"/>
            <w:tcMar>
              <w:left w:w="108" w:type="dxa"/>
              <w:right w:w="108" w:type="dxa"/>
            </w:tcMar>
            <w:vAlign w:val="center"/>
          </w:tcPr>
          <w:p w14:paraId="36DB9D4E" w14:textId="15D05750"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24" w:type="dxa"/>
            <w:shd w:val="clear" w:color="auto" w:fill="FFFFFF" w:themeFill="background1"/>
            <w:tcMar>
              <w:left w:w="108" w:type="dxa"/>
              <w:right w:w="108" w:type="dxa"/>
            </w:tcMar>
            <w:vAlign w:val="center"/>
          </w:tcPr>
          <w:p w14:paraId="4A01A18F" w14:textId="1F1D6F4A"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sidR="001A4F59">
              <w:rPr>
                <w:rFonts w:ascii="Verdana" w:eastAsia="Verdana" w:hAnsi="Verdana" w:cs="Arial"/>
                <w:sz w:val="18"/>
                <w:szCs w:val="18"/>
              </w:rPr>
              <w:t>26</w:t>
            </w:r>
          </w:p>
        </w:tc>
        <w:tc>
          <w:tcPr>
            <w:tcW w:w="1224" w:type="dxa"/>
            <w:tcMar>
              <w:left w:w="108" w:type="dxa"/>
              <w:right w:w="108" w:type="dxa"/>
            </w:tcMar>
          </w:tcPr>
          <w:p w14:paraId="68D34E76" w14:textId="336A8DE8"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3B651F1C" w14:textId="77777777" w:rsidR="007E59E5" w:rsidRDefault="007E59E5"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04B5FC43" w14:textId="4A9CF97D" w:rsidR="33167E86" w:rsidRPr="00AB06F3" w:rsidRDefault="00E46FB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65,56</w:t>
            </w:r>
            <w:r w:rsidR="33167E86" w:rsidRPr="00AB06F3">
              <w:rPr>
                <w:rFonts w:ascii="Verdana" w:eastAsia="Verdana" w:hAnsi="Verdana" w:cs="Arial"/>
                <w:color w:val="000000" w:themeColor="text1"/>
                <w:sz w:val="18"/>
                <w:szCs w:val="18"/>
              </w:rPr>
              <w:t xml:space="preserve">% </w:t>
            </w:r>
          </w:p>
        </w:tc>
      </w:tr>
    </w:tbl>
    <w:p w14:paraId="69183801"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A921A1A" w14:textId="77777777" w:rsidR="002A0488" w:rsidRPr="002A0488" w:rsidRDefault="002A0488" w:rsidP="002A0488">
      <w:pPr>
        <w:spacing w:after="0" w:line="276" w:lineRule="auto"/>
        <w:jc w:val="center"/>
        <w:rPr>
          <w:rFonts w:ascii="Verdana" w:hAnsi="Verdana" w:cs="Arial"/>
        </w:rPr>
      </w:pPr>
    </w:p>
    <w:p w14:paraId="6AD11289" w14:textId="6D7990D4" w:rsidR="00B709EF" w:rsidRPr="00AB06F3" w:rsidRDefault="14AE56AA"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a) ¿</w:t>
      </w:r>
      <w:r w:rsidR="2EA5C02D" w:rsidRPr="00AB06F3">
        <w:rPr>
          <w:rFonts w:ascii="Verdana" w:eastAsia="Verdana" w:hAnsi="Verdana" w:cs="Arial"/>
          <w:color w:val="000000" w:themeColor="text1"/>
          <w:sz w:val="24"/>
          <w:szCs w:val="24"/>
        </w:rPr>
        <w:t xml:space="preserve">Cómo lo hicimos y con qué recursos?  </w:t>
      </w:r>
    </w:p>
    <w:p w14:paraId="33F05E26" w14:textId="3F0C8D96" w:rsidR="00B709EF" w:rsidRPr="00AB06F3" w:rsidRDefault="750A6E49" w:rsidP="00C25586">
      <w:pPr>
        <w:spacing w:after="0" w:line="276" w:lineRule="auto"/>
        <w:jc w:val="both"/>
        <w:rPr>
          <w:rFonts w:ascii="Verdana" w:hAnsi="Verdana" w:cs="Arial"/>
        </w:rPr>
      </w:pPr>
      <w:r w:rsidRPr="00AB06F3">
        <w:rPr>
          <w:rFonts w:ascii="Verdana" w:eastAsia="Verdana" w:hAnsi="Verdana" w:cs="Arial"/>
          <w:sz w:val="24"/>
          <w:szCs w:val="24"/>
        </w:rPr>
        <w:t xml:space="preserve"> </w:t>
      </w:r>
    </w:p>
    <w:p w14:paraId="4CE78583" w14:textId="77777777" w:rsidR="00C83CEE" w:rsidRDefault="2EA5C02D" w:rsidP="00187721">
      <w:pPr>
        <w:spacing w:after="0" w:line="276" w:lineRule="auto"/>
        <w:jc w:val="both"/>
        <w:rPr>
          <w:rFonts w:ascii="Verdana" w:eastAsia="Verdana" w:hAnsi="Verdana" w:cs="Arial"/>
          <w:sz w:val="24"/>
          <w:szCs w:val="24"/>
        </w:rPr>
      </w:pPr>
      <w:r w:rsidRPr="00AB06F3">
        <w:rPr>
          <w:rFonts w:ascii="Verdana" w:eastAsia="Verdana" w:hAnsi="Verdana" w:cs="Arial"/>
          <w:sz w:val="24"/>
          <w:szCs w:val="24"/>
        </w:rPr>
        <w:t xml:space="preserve">Con fundamento en el Acto Legislativo 01 de 2016, </w:t>
      </w:r>
      <w:r w:rsidR="07CC0892" w:rsidRPr="00AB06F3">
        <w:rPr>
          <w:rFonts w:ascii="Verdana" w:eastAsia="Verdana" w:hAnsi="Verdana" w:cs="Arial"/>
          <w:sz w:val="24"/>
          <w:szCs w:val="24"/>
        </w:rPr>
        <w:t>se</w:t>
      </w:r>
      <w:r w:rsidRPr="00AB06F3">
        <w:rPr>
          <w:rFonts w:ascii="Verdana" w:eastAsia="Verdana" w:hAnsi="Verdana" w:cs="Arial"/>
          <w:sz w:val="24"/>
          <w:szCs w:val="24"/>
        </w:rPr>
        <w:t xml:space="preserve"> expidió el Decreto Ley 899 de 2017, </w:t>
      </w:r>
      <w:r w:rsidR="00924D53">
        <w:rPr>
          <w:rFonts w:ascii="Verdana" w:eastAsia="Verdana" w:hAnsi="Verdana" w:cs="Arial"/>
          <w:sz w:val="24"/>
          <w:szCs w:val="24"/>
        </w:rPr>
        <w:t xml:space="preserve">mediante </w:t>
      </w:r>
      <w:r w:rsidRPr="00AB06F3">
        <w:rPr>
          <w:rFonts w:ascii="Verdana" w:eastAsia="Verdana" w:hAnsi="Verdana" w:cs="Arial"/>
          <w:sz w:val="24"/>
          <w:szCs w:val="24"/>
        </w:rPr>
        <w:t>el cual establece</w:t>
      </w:r>
      <w:r w:rsidR="00924D53">
        <w:rPr>
          <w:rFonts w:ascii="Verdana" w:eastAsia="Verdana" w:hAnsi="Verdana" w:cs="Arial"/>
          <w:sz w:val="24"/>
          <w:szCs w:val="24"/>
        </w:rPr>
        <w:t>n</w:t>
      </w:r>
      <w:r w:rsidRPr="00AB06F3">
        <w:rPr>
          <w:rFonts w:ascii="Verdana" w:eastAsia="Verdana" w:hAnsi="Verdana" w:cs="Arial"/>
          <w:sz w:val="24"/>
          <w:szCs w:val="24"/>
        </w:rPr>
        <w:t xml:space="preserve"> beneficios para los exintegrantes de las FARC-EP, acreditados por la </w:t>
      </w:r>
      <w:r w:rsidR="00072798" w:rsidRPr="00884DAC">
        <w:rPr>
          <w:rFonts w:ascii="Verdana" w:eastAsia="Verdana" w:hAnsi="Verdana" w:cs="Arial"/>
          <w:sz w:val="24"/>
          <w:szCs w:val="24"/>
        </w:rPr>
        <w:t>Consejería Comisionada de Paz</w:t>
      </w:r>
      <w:r w:rsidR="00072798" w:rsidRPr="00AB06F3">
        <w:rPr>
          <w:rFonts w:ascii="Verdana" w:eastAsia="Verdana" w:hAnsi="Verdana" w:cs="Arial"/>
          <w:sz w:val="24"/>
          <w:szCs w:val="24"/>
        </w:rPr>
        <w:t xml:space="preserve"> </w:t>
      </w:r>
      <w:r w:rsidR="00DB7B77">
        <w:rPr>
          <w:rFonts w:ascii="Verdana" w:eastAsia="Verdana" w:hAnsi="Verdana" w:cs="Arial"/>
          <w:sz w:val="24"/>
          <w:szCs w:val="24"/>
        </w:rPr>
        <w:t xml:space="preserve">anteriormente </w:t>
      </w:r>
      <w:r w:rsidRPr="00AB06F3">
        <w:rPr>
          <w:rFonts w:ascii="Verdana" w:eastAsia="Verdana" w:hAnsi="Verdana" w:cs="Arial"/>
          <w:sz w:val="24"/>
          <w:szCs w:val="24"/>
        </w:rPr>
        <w:t>Oficina del Alto Comisionado para la Paz</w:t>
      </w:r>
      <w:r w:rsidR="002A0488">
        <w:rPr>
          <w:rFonts w:ascii="Verdana" w:eastAsia="Verdana" w:hAnsi="Verdana" w:cs="Arial"/>
          <w:sz w:val="24"/>
          <w:szCs w:val="24"/>
        </w:rPr>
        <w:t xml:space="preserve"> (</w:t>
      </w:r>
      <w:r w:rsidRPr="00AB06F3">
        <w:rPr>
          <w:rFonts w:ascii="Verdana" w:eastAsia="Verdana" w:hAnsi="Verdana" w:cs="Arial"/>
          <w:sz w:val="24"/>
          <w:szCs w:val="24"/>
        </w:rPr>
        <w:t>OACP</w:t>
      </w:r>
      <w:r w:rsidR="002A0488">
        <w:rPr>
          <w:rFonts w:ascii="Verdana" w:eastAsia="Verdana" w:hAnsi="Verdana" w:cs="Arial"/>
          <w:sz w:val="24"/>
          <w:szCs w:val="24"/>
        </w:rPr>
        <w:t>)</w:t>
      </w:r>
      <w:r w:rsidR="00884DAC">
        <w:rPr>
          <w:rFonts w:ascii="Verdana" w:eastAsia="Verdana" w:hAnsi="Verdana" w:cs="Arial"/>
          <w:sz w:val="24"/>
          <w:szCs w:val="24"/>
        </w:rPr>
        <w:t xml:space="preserve">, </w:t>
      </w:r>
      <w:r w:rsidRPr="00AB06F3">
        <w:rPr>
          <w:rFonts w:ascii="Verdana" w:eastAsia="Verdana" w:hAnsi="Verdana" w:cs="Arial"/>
          <w:sz w:val="24"/>
          <w:szCs w:val="24"/>
        </w:rPr>
        <w:t>en materia de salud, protección social, proyectos productivos y vivienda</w:t>
      </w:r>
      <w:r w:rsidR="002A0488">
        <w:rPr>
          <w:rFonts w:ascii="Verdana" w:eastAsia="Verdana" w:hAnsi="Verdana" w:cs="Arial"/>
          <w:sz w:val="24"/>
          <w:szCs w:val="24"/>
        </w:rPr>
        <w:t>. A</w:t>
      </w:r>
      <w:r w:rsidRPr="00AB06F3">
        <w:rPr>
          <w:rFonts w:ascii="Verdana" w:eastAsia="Verdana" w:hAnsi="Verdana" w:cs="Arial"/>
          <w:sz w:val="24"/>
          <w:szCs w:val="24"/>
        </w:rPr>
        <w:t>s</w:t>
      </w:r>
      <w:r w:rsidR="002A0488">
        <w:rPr>
          <w:rFonts w:ascii="Verdana" w:eastAsia="Verdana" w:hAnsi="Verdana" w:cs="Arial"/>
          <w:sz w:val="24"/>
          <w:szCs w:val="24"/>
        </w:rPr>
        <w:t xml:space="preserve">imismo, </w:t>
      </w:r>
      <w:r w:rsidR="00924D53">
        <w:rPr>
          <w:rFonts w:ascii="Verdana" w:eastAsia="Verdana" w:hAnsi="Verdana" w:cs="Arial"/>
          <w:sz w:val="24"/>
          <w:szCs w:val="24"/>
        </w:rPr>
        <w:t xml:space="preserve">la norma </w:t>
      </w:r>
      <w:r w:rsidR="002A0488">
        <w:rPr>
          <w:rFonts w:ascii="Verdana" w:eastAsia="Verdana" w:hAnsi="Verdana" w:cs="Arial"/>
          <w:sz w:val="24"/>
          <w:szCs w:val="24"/>
        </w:rPr>
        <w:t xml:space="preserve">contempla disposiciones </w:t>
      </w:r>
      <w:r w:rsidRPr="00AB06F3">
        <w:rPr>
          <w:rFonts w:ascii="Verdana" w:eastAsia="Verdana" w:hAnsi="Verdana" w:cs="Arial"/>
          <w:sz w:val="24"/>
          <w:szCs w:val="24"/>
        </w:rPr>
        <w:t>como la renta básica, la asignación única de normalización y el acceso al sistema financiero, entre otr</w:t>
      </w:r>
      <w:r w:rsidR="002A0488">
        <w:rPr>
          <w:rFonts w:ascii="Verdana" w:eastAsia="Verdana" w:hAnsi="Verdana" w:cs="Arial"/>
          <w:sz w:val="24"/>
          <w:szCs w:val="24"/>
        </w:rPr>
        <w:t>o</w:t>
      </w:r>
      <w:r w:rsidRPr="00AB06F3">
        <w:rPr>
          <w:rFonts w:ascii="Verdana" w:eastAsia="Verdana" w:hAnsi="Verdana" w:cs="Arial"/>
          <w:sz w:val="24"/>
          <w:szCs w:val="24"/>
        </w:rPr>
        <w:t xml:space="preserve">s </w:t>
      </w:r>
      <w:r w:rsidR="002A0488">
        <w:rPr>
          <w:rFonts w:ascii="Verdana" w:eastAsia="Verdana" w:hAnsi="Verdana" w:cs="Arial"/>
          <w:sz w:val="24"/>
          <w:szCs w:val="24"/>
        </w:rPr>
        <w:t>beneficios</w:t>
      </w:r>
      <w:r w:rsidR="00C83CEE">
        <w:rPr>
          <w:rFonts w:ascii="Verdana" w:eastAsia="Verdana" w:hAnsi="Verdana" w:cs="Arial"/>
          <w:sz w:val="24"/>
          <w:szCs w:val="24"/>
        </w:rPr>
        <w:t xml:space="preserve"> </w:t>
      </w:r>
      <w:r w:rsidR="00C83CEE" w:rsidRPr="00C83CEE">
        <w:rPr>
          <w:rFonts w:ascii="Verdana" w:eastAsia="Verdana" w:hAnsi="Verdana" w:cs="Arial"/>
          <w:sz w:val="24"/>
          <w:szCs w:val="24"/>
        </w:rPr>
        <w:t>orientados a facilitar el proceso de reincorporación económica y social.</w:t>
      </w:r>
      <w:r w:rsidR="00EF3F2A">
        <w:rPr>
          <w:rFonts w:ascii="Verdana" w:eastAsia="Verdana" w:hAnsi="Verdana" w:cs="Arial"/>
          <w:sz w:val="24"/>
          <w:szCs w:val="24"/>
        </w:rPr>
        <w:t xml:space="preserve"> </w:t>
      </w:r>
    </w:p>
    <w:p w14:paraId="4FF3E2DA" w14:textId="77777777" w:rsidR="00C83CEE" w:rsidRDefault="00C83CEE" w:rsidP="00187721">
      <w:pPr>
        <w:spacing w:after="0" w:line="276" w:lineRule="auto"/>
        <w:jc w:val="both"/>
        <w:rPr>
          <w:rFonts w:ascii="Verdana" w:eastAsia="Verdana" w:hAnsi="Verdana" w:cs="Arial"/>
          <w:sz w:val="24"/>
          <w:szCs w:val="24"/>
        </w:rPr>
      </w:pPr>
    </w:p>
    <w:p w14:paraId="1189E875" w14:textId="2E4D1236" w:rsidR="002A0488" w:rsidRDefault="750A6E49" w:rsidP="00187721">
      <w:pPr>
        <w:spacing w:after="0" w:line="276" w:lineRule="auto"/>
        <w:jc w:val="both"/>
        <w:rPr>
          <w:rFonts w:ascii="Verdana" w:eastAsia="Verdana" w:hAnsi="Verdana" w:cs="Arial"/>
          <w:sz w:val="24"/>
          <w:szCs w:val="24"/>
        </w:rPr>
      </w:pPr>
      <w:r w:rsidRPr="00AB06F3">
        <w:rPr>
          <w:rFonts w:ascii="Verdana" w:eastAsia="Verdana" w:hAnsi="Verdana" w:cs="Arial"/>
          <w:sz w:val="24"/>
          <w:szCs w:val="24"/>
        </w:rPr>
        <w:t>El artículo 12 del Decreto Ley 899 de 2017 establece el “</w:t>
      </w:r>
      <w:r w:rsidR="00C83CEE">
        <w:rPr>
          <w:rFonts w:ascii="Verdana" w:eastAsia="Verdana" w:hAnsi="Verdana" w:cs="Arial"/>
          <w:sz w:val="24"/>
          <w:szCs w:val="24"/>
        </w:rPr>
        <w:t>v</w:t>
      </w:r>
      <w:r w:rsidRPr="00AB06F3">
        <w:rPr>
          <w:rFonts w:ascii="Verdana" w:eastAsia="Verdana" w:hAnsi="Verdana" w:cs="Arial"/>
          <w:sz w:val="24"/>
          <w:szCs w:val="24"/>
        </w:rPr>
        <w:t>alor asignable a cada integrante de las FARC-EP-EP”</w:t>
      </w:r>
      <w:r w:rsidR="002A0488">
        <w:rPr>
          <w:rFonts w:ascii="Verdana" w:eastAsia="Verdana" w:hAnsi="Verdana" w:cs="Arial"/>
          <w:sz w:val="24"/>
          <w:szCs w:val="24"/>
        </w:rPr>
        <w:t>,</w:t>
      </w:r>
      <w:r w:rsidRPr="00AB06F3">
        <w:rPr>
          <w:rFonts w:ascii="Verdana" w:eastAsia="Verdana" w:hAnsi="Verdana" w:cs="Arial"/>
          <w:sz w:val="24"/>
          <w:szCs w:val="24"/>
        </w:rPr>
        <w:t xml:space="preserve"> </w:t>
      </w:r>
      <w:r w:rsidR="002A0488" w:rsidRPr="002A0488">
        <w:rPr>
          <w:rFonts w:ascii="Verdana" w:eastAsia="Verdana" w:hAnsi="Verdana" w:cs="Arial"/>
          <w:sz w:val="24"/>
          <w:szCs w:val="24"/>
        </w:rPr>
        <w:t>indicando que cada persona en proceso de reincorporación tiene derecho, por una única vez, a un apoyo económico de ocho millones de pesos ($8.000.000,00) para emprender un proyecto productivo o de vivienda de carácter individual (artículo 14) o para participar en un proyecto productivo colectivo (artículo 13).</w:t>
      </w:r>
    </w:p>
    <w:p w14:paraId="632351AA" w14:textId="009C9196" w:rsidR="00B709EF" w:rsidRPr="00AB06F3" w:rsidRDefault="750A6E49" w:rsidP="00187721">
      <w:pPr>
        <w:spacing w:after="0" w:line="276" w:lineRule="auto"/>
        <w:jc w:val="both"/>
        <w:rPr>
          <w:rFonts w:ascii="Verdana" w:hAnsi="Verdana" w:cs="Arial"/>
        </w:rPr>
      </w:pPr>
      <w:r w:rsidRPr="00AB06F3">
        <w:rPr>
          <w:rFonts w:ascii="Verdana" w:eastAsia="Verdana" w:hAnsi="Verdana" w:cs="Arial"/>
          <w:sz w:val="24"/>
          <w:szCs w:val="24"/>
        </w:rPr>
        <w:t xml:space="preserve">  </w:t>
      </w:r>
    </w:p>
    <w:p w14:paraId="4BE482EE" w14:textId="77777777" w:rsidR="00A33722" w:rsidRDefault="750A6E49" w:rsidP="00187721">
      <w:pPr>
        <w:spacing w:after="0" w:line="276" w:lineRule="auto"/>
        <w:jc w:val="both"/>
        <w:rPr>
          <w:rFonts w:ascii="Verdana" w:eastAsia="Verdana" w:hAnsi="Verdana" w:cs="Arial"/>
          <w:sz w:val="24"/>
          <w:szCs w:val="24"/>
        </w:rPr>
      </w:pPr>
      <w:r w:rsidRPr="00AB06F3">
        <w:rPr>
          <w:rFonts w:ascii="Verdana" w:eastAsia="Verdana" w:hAnsi="Verdana" w:cs="Arial"/>
          <w:sz w:val="24"/>
          <w:szCs w:val="24"/>
        </w:rPr>
        <w:t>Por su parte</w:t>
      </w:r>
      <w:r w:rsidR="002A0488">
        <w:rPr>
          <w:rFonts w:ascii="Verdana" w:eastAsia="Verdana" w:hAnsi="Verdana" w:cs="Arial"/>
          <w:sz w:val="24"/>
          <w:szCs w:val="24"/>
        </w:rPr>
        <w:t>,</w:t>
      </w:r>
      <w:r w:rsidRPr="00AB06F3">
        <w:rPr>
          <w:rFonts w:ascii="Verdana" w:eastAsia="Verdana" w:hAnsi="Verdana" w:cs="Arial"/>
          <w:sz w:val="24"/>
          <w:szCs w:val="24"/>
        </w:rPr>
        <w:t xml:space="preserve"> el artículo 13 </w:t>
      </w:r>
      <w:r w:rsidR="002A0488" w:rsidRPr="002A0488">
        <w:rPr>
          <w:rFonts w:ascii="Verdana" w:eastAsia="Verdana" w:hAnsi="Verdana" w:cs="Arial"/>
          <w:sz w:val="24"/>
          <w:szCs w:val="24"/>
        </w:rPr>
        <w:t xml:space="preserve">regula los proyectos productivos colectivos, los cuales deben ser aprobados por el Consejo Nacional de Reincorporación. </w:t>
      </w:r>
      <w:r w:rsidR="00C83CEE">
        <w:rPr>
          <w:rFonts w:ascii="Verdana" w:eastAsia="Verdana" w:hAnsi="Verdana" w:cs="Arial"/>
          <w:sz w:val="24"/>
          <w:szCs w:val="24"/>
        </w:rPr>
        <w:t>L</w:t>
      </w:r>
      <w:r w:rsidR="002A0488" w:rsidRPr="002A0488">
        <w:rPr>
          <w:rFonts w:ascii="Verdana" w:eastAsia="Verdana" w:hAnsi="Verdana" w:cs="Arial"/>
          <w:sz w:val="24"/>
          <w:szCs w:val="24"/>
        </w:rPr>
        <w:t xml:space="preserve">a participación en </w:t>
      </w:r>
      <w:r w:rsidR="00C83CEE">
        <w:rPr>
          <w:rFonts w:ascii="Verdana" w:eastAsia="Verdana" w:hAnsi="Verdana" w:cs="Arial"/>
          <w:sz w:val="24"/>
          <w:szCs w:val="24"/>
        </w:rPr>
        <w:t xml:space="preserve">estos </w:t>
      </w:r>
      <w:r w:rsidR="002A0488" w:rsidRPr="002A0488">
        <w:rPr>
          <w:rFonts w:ascii="Verdana" w:eastAsia="Verdana" w:hAnsi="Verdana" w:cs="Arial"/>
          <w:sz w:val="24"/>
          <w:szCs w:val="24"/>
        </w:rPr>
        <w:t xml:space="preserve">proyectos se fundamenta en la libertad individual y el ejercicio voluntario de los beneficiarios, </w:t>
      </w:r>
      <w:r w:rsidR="00C83CEE">
        <w:rPr>
          <w:rFonts w:ascii="Verdana" w:eastAsia="Verdana" w:hAnsi="Verdana" w:cs="Arial"/>
          <w:sz w:val="24"/>
          <w:szCs w:val="24"/>
        </w:rPr>
        <w:t xml:space="preserve">conforme a lo establecido </w:t>
      </w:r>
      <w:r w:rsidR="002A0488" w:rsidRPr="002A0488">
        <w:rPr>
          <w:rFonts w:ascii="Verdana" w:eastAsia="Verdana" w:hAnsi="Verdana" w:cs="Arial"/>
          <w:sz w:val="24"/>
          <w:szCs w:val="24"/>
        </w:rPr>
        <w:t xml:space="preserve">en el Acuerdo Final para la Terminación del Conflicto y la Construcción de una Paz Estable y Duradera. </w:t>
      </w:r>
      <w:r w:rsidR="00A33722">
        <w:rPr>
          <w:rFonts w:ascii="Verdana" w:eastAsia="Verdana" w:hAnsi="Verdana" w:cs="Arial"/>
          <w:sz w:val="24"/>
          <w:szCs w:val="24"/>
        </w:rPr>
        <w:t>Este p</w:t>
      </w:r>
      <w:r w:rsidR="002A0488" w:rsidRPr="002A0488">
        <w:rPr>
          <w:rFonts w:ascii="Verdana" w:eastAsia="Verdana" w:hAnsi="Verdana" w:cs="Arial"/>
          <w:sz w:val="24"/>
          <w:szCs w:val="24"/>
        </w:rPr>
        <w:t>roceso busca equilibrar los intereses colectivos y las expectativas individuales, garantizando el respeto por los derechos y libertades de l</w:t>
      </w:r>
      <w:r w:rsidR="00A33722">
        <w:rPr>
          <w:rFonts w:ascii="Verdana" w:eastAsia="Verdana" w:hAnsi="Verdana" w:cs="Arial"/>
          <w:sz w:val="24"/>
          <w:szCs w:val="24"/>
        </w:rPr>
        <w:t xml:space="preserve">as personas </w:t>
      </w:r>
      <w:r w:rsidR="002A0488" w:rsidRPr="002A0488">
        <w:rPr>
          <w:rFonts w:ascii="Verdana" w:eastAsia="Verdana" w:hAnsi="Verdana" w:cs="Arial"/>
          <w:sz w:val="24"/>
          <w:szCs w:val="24"/>
        </w:rPr>
        <w:t>beneficiari</w:t>
      </w:r>
      <w:r w:rsidR="00A33722">
        <w:rPr>
          <w:rFonts w:ascii="Verdana" w:eastAsia="Verdana" w:hAnsi="Verdana" w:cs="Arial"/>
          <w:sz w:val="24"/>
          <w:szCs w:val="24"/>
        </w:rPr>
        <w:t>a</w:t>
      </w:r>
      <w:r w:rsidR="002A0488" w:rsidRPr="002A0488">
        <w:rPr>
          <w:rFonts w:ascii="Verdana" w:eastAsia="Verdana" w:hAnsi="Verdana" w:cs="Arial"/>
          <w:sz w:val="24"/>
          <w:szCs w:val="24"/>
        </w:rPr>
        <w:t>s.</w:t>
      </w:r>
      <w:r w:rsidR="0009622B">
        <w:rPr>
          <w:rFonts w:ascii="Verdana" w:eastAsia="Verdana" w:hAnsi="Verdana" w:cs="Arial"/>
          <w:sz w:val="24"/>
          <w:szCs w:val="24"/>
        </w:rPr>
        <w:t xml:space="preserve"> </w:t>
      </w:r>
    </w:p>
    <w:p w14:paraId="774166D1" w14:textId="77777777" w:rsidR="00A33722" w:rsidRDefault="00A33722" w:rsidP="00187721">
      <w:pPr>
        <w:spacing w:after="0" w:line="276" w:lineRule="auto"/>
        <w:jc w:val="both"/>
        <w:rPr>
          <w:rFonts w:ascii="Verdana" w:eastAsia="Verdana" w:hAnsi="Verdana" w:cs="Arial"/>
          <w:sz w:val="24"/>
          <w:szCs w:val="24"/>
        </w:rPr>
      </w:pPr>
    </w:p>
    <w:p w14:paraId="182B9529" w14:textId="681EE99D" w:rsidR="002A0488" w:rsidRDefault="00231668" w:rsidP="00187721">
      <w:pPr>
        <w:spacing w:after="0" w:line="276" w:lineRule="auto"/>
        <w:jc w:val="both"/>
        <w:rPr>
          <w:rFonts w:ascii="Verdana" w:eastAsia="Verdana" w:hAnsi="Verdana" w:cs="Arial"/>
          <w:sz w:val="24"/>
          <w:szCs w:val="24"/>
        </w:rPr>
      </w:pPr>
      <w:r w:rsidRPr="00231668">
        <w:rPr>
          <w:rFonts w:ascii="Verdana" w:eastAsia="Verdana" w:hAnsi="Verdana" w:cs="Arial"/>
          <w:sz w:val="24"/>
          <w:szCs w:val="24"/>
        </w:rPr>
        <w:t xml:space="preserve">En </w:t>
      </w:r>
      <w:r w:rsidR="00A33722">
        <w:rPr>
          <w:rFonts w:ascii="Verdana" w:eastAsia="Verdana" w:hAnsi="Verdana" w:cs="Arial"/>
          <w:sz w:val="24"/>
          <w:szCs w:val="24"/>
        </w:rPr>
        <w:t xml:space="preserve">relación con </w:t>
      </w:r>
      <w:r w:rsidRPr="00231668">
        <w:rPr>
          <w:rFonts w:ascii="Verdana" w:eastAsia="Verdana" w:hAnsi="Verdana" w:cs="Arial"/>
          <w:sz w:val="24"/>
          <w:szCs w:val="24"/>
        </w:rPr>
        <w:t xml:space="preserve">los proyectos individuales, el artículo 14 del Decreto Ley 899 de 2017 regula su aplicación para </w:t>
      </w:r>
      <w:r w:rsidR="00A33722">
        <w:rPr>
          <w:rFonts w:ascii="Verdana" w:eastAsia="Verdana" w:hAnsi="Verdana" w:cs="Arial"/>
          <w:sz w:val="24"/>
          <w:szCs w:val="24"/>
        </w:rPr>
        <w:t>el desarrollo de las iniciativas productivas</w:t>
      </w:r>
      <w:r w:rsidR="006E45D2">
        <w:rPr>
          <w:rFonts w:ascii="Verdana" w:eastAsia="Verdana" w:hAnsi="Verdana" w:cs="Arial"/>
          <w:sz w:val="24"/>
          <w:szCs w:val="24"/>
        </w:rPr>
        <w:t xml:space="preserve"> o para </w:t>
      </w:r>
      <w:r w:rsidRPr="00231668">
        <w:rPr>
          <w:rFonts w:ascii="Verdana" w:eastAsia="Verdana" w:hAnsi="Verdana" w:cs="Arial"/>
          <w:sz w:val="24"/>
          <w:szCs w:val="24"/>
        </w:rPr>
        <w:t>adquisición, construcción, mejoramiento o saneamiento de vivienda.</w:t>
      </w:r>
    </w:p>
    <w:p w14:paraId="2BE40870" w14:textId="77777777" w:rsidR="00231668" w:rsidRPr="00AB06F3" w:rsidRDefault="00231668" w:rsidP="00187721">
      <w:pPr>
        <w:spacing w:after="0" w:line="276" w:lineRule="auto"/>
        <w:jc w:val="both"/>
        <w:rPr>
          <w:rFonts w:ascii="Verdana" w:hAnsi="Verdana" w:cs="Arial"/>
        </w:rPr>
      </w:pPr>
    </w:p>
    <w:p w14:paraId="35759BB1" w14:textId="4115E41E" w:rsidR="00231668" w:rsidRPr="00152442" w:rsidRDefault="006E45D2" w:rsidP="00187721">
      <w:pPr>
        <w:spacing w:after="0" w:line="276" w:lineRule="auto"/>
        <w:jc w:val="both"/>
        <w:rPr>
          <w:rFonts w:ascii="Verdana" w:eastAsia="Verdana" w:hAnsi="Verdana" w:cs="Arial"/>
          <w:sz w:val="24"/>
          <w:szCs w:val="24"/>
        </w:rPr>
      </w:pPr>
      <w:r>
        <w:rPr>
          <w:rFonts w:ascii="Verdana" w:eastAsia="Verdana" w:hAnsi="Verdana" w:cs="Arial"/>
          <w:sz w:val="24"/>
          <w:szCs w:val="24"/>
        </w:rPr>
        <w:t>De manera complementaria</w:t>
      </w:r>
      <w:r w:rsidR="750A6E49" w:rsidRPr="00AB06F3">
        <w:rPr>
          <w:rFonts w:ascii="Verdana" w:eastAsia="Verdana" w:hAnsi="Verdana" w:cs="Arial"/>
          <w:sz w:val="24"/>
          <w:szCs w:val="24"/>
        </w:rPr>
        <w:t xml:space="preserve">, el Decreto 1212 de 2018, adicionó </w:t>
      </w:r>
      <w:r>
        <w:rPr>
          <w:rFonts w:ascii="Verdana" w:eastAsia="Verdana" w:hAnsi="Verdana" w:cs="Arial"/>
          <w:sz w:val="24"/>
          <w:szCs w:val="24"/>
        </w:rPr>
        <w:t>el</w:t>
      </w:r>
      <w:r w:rsidR="750A6E49" w:rsidRPr="00AB06F3">
        <w:rPr>
          <w:rFonts w:ascii="Verdana" w:eastAsia="Verdana" w:hAnsi="Verdana" w:cs="Arial"/>
          <w:sz w:val="24"/>
          <w:szCs w:val="24"/>
        </w:rPr>
        <w:t xml:space="preserve"> numeral 21 al artículo 5 del Decreto Ley 4138 de 2011, estableciendo como función de la </w:t>
      </w:r>
      <w:r w:rsidR="00231668" w:rsidRPr="00231668">
        <w:rPr>
          <w:rFonts w:ascii="Verdana" w:eastAsia="Verdana" w:hAnsi="Verdana" w:cs="Arial"/>
          <w:sz w:val="24"/>
          <w:szCs w:val="24"/>
        </w:rPr>
        <w:t xml:space="preserve">de la </w:t>
      </w:r>
      <w:r w:rsidR="00FF5173">
        <w:rPr>
          <w:rFonts w:ascii="Verdana" w:eastAsia="Verdana" w:hAnsi="Verdana" w:cs="Arial"/>
          <w:sz w:val="24"/>
          <w:szCs w:val="24"/>
        </w:rPr>
        <w:t xml:space="preserve">Agencia para la Reincorporación y la Normalización </w:t>
      </w:r>
      <w:r w:rsidR="00231668" w:rsidRPr="00231668">
        <w:rPr>
          <w:rFonts w:ascii="Verdana" w:eastAsia="Verdana" w:hAnsi="Verdana" w:cs="Arial"/>
          <w:sz w:val="24"/>
          <w:szCs w:val="24"/>
        </w:rPr>
        <w:t xml:space="preserve">la verificación de la viabilidad y aprobación de los proyectos </w:t>
      </w:r>
      <w:r w:rsidR="00231668" w:rsidRPr="00231668">
        <w:rPr>
          <w:rFonts w:ascii="Verdana" w:eastAsia="Verdana" w:hAnsi="Verdana" w:cs="Arial"/>
          <w:sz w:val="24"/>
          <w:szCs w:val="24"/>
        </w:rPr>
        <w:lastRenderedPageBreak/>
        <w:t xml:space="preserve">productivos o de vivienda de carácter individual que deseen emprender </w:t>
      </w:r>
      <w:r w:rsidR="00160F18">
        <w:rPr>
          <w:rFonts w:ascii="Verdana" w:eastAsia="Verdana" w:hAnsi="Verdana" w:cs="Arial"/>
          <w:sz w:val="24"/>
          <w:szCs w:val="24"/>
        </w:rPr>
        <w:t xml:space="preserve">las personas </w:t>
      </w:r>
      <w:r w:rsidR="00231668" w:rsidRPr="00231668">
        <w:rPr>
          <w:rFonts w:ascii="Verdana" w:eastAsia="Verdana" w:hAnsi="Verdana" w:cs="Arial"/>
          <w:sz w:val="24"/>
          <w:szCs w:val="24"/>
        </w:rPr>
        <w:t xml:space="preserve">en proceso de reincorporación </w:t>
      </w:r>
      <w:r w:rsidR="00231668" w:rsidRPr="00152442">
        <w:rPr>
          <w:rFonts w:ascii="Verdana" w:eastAsia="Verdana" w:hAnsi="Verdana" w:cs="Arial"/>
          <w:sz w:val="24"/>
          <w:szCs w:val="24"/>
        </w:rPr>
        <w:t xml:space="preserve">económica y social, conforme </w:t>
      </w:r>
      <w:r w:rsidR="00160F18">
        <w:rPr>
          <w:rFonts w:ascii="Verdana" w:eastAsia="Verdana" w:hAnsi="Verdana" w:cs="Arial"/>
          <w:sz w:val="24"/>
          <w:szCs w:val="24"/>
        </w:rPr>
        <w:t xml:space="preserve">a lo dispuesto en el </w:t>
      </w:r>
      <w:r w:rsidR="00231668" w:rsidRPr="00152442">
        <w:rPr>
          <w:rFonts w:ascii="Verdana" w:eastAsia="Verdana" w:hAnsi="Verdana" w:cs="Arial"/>
          <w:sz w:val="24"/>
          <w:szCs w:val="24"/>
        </w:rPr>
        <w:t>Decreto Ley 899 de 2017.</w:t>
      </w:r>
    </w:p>
    <w:p w14:paraId="6C6C3E1D" w14:textId="095C4FFF" w:rsidR="00B709EF" w:rsidRPr="00152442" w:rsidRDefault="750A6E49" w:rsidP="00187721">
      <w:pPr>
        <w:spacing w:after="0" w:line="276" w:lineRule="auto"/>
        <w:jc w:val="both"/>
        <w:rPr>
          <w:rFonts w:ascii="Verdana" w:hAnsi="Verdana" w:cs="Arial"/>
          <w:sz w:val="24"/>
          <w:szCs w:val="24"/>
        </w:rPr>
      </w:pPr>
      <w:r w:rsidRPr="00152442">
        <w:rPr>
          <w:rFonts w:ascii="Verdana" w:eastAsia="Verdana" w:hAnsi="Verdana" w:cs="Arial"/>
          <w:sz w:val="24"/>
          <w:szCs w:val="24"/>
        </w:rPr>
        <w:t xml:space="preserve"> </w:t>
      </w:r>
    </w:p>
    <w:p w14:paraId="43083593" w14:textId="4F1C6896" w:rsidR="0074687F" w:rsidRDefault="00925E27" w:rsidP="00187721">
      <w:pPr>
        <w:spacing w:after="0" w:line="276" w:lineRule="auto"/>
        <w:jc w:val="both"/>
        <w:rPr>
          <w:rFonts w:ascii="Verdana" w:hAnsi="Verdana" w:cs="Arial"/>
        </w:rPr>
      </w:pPr>
      <w:r w:rsidRPr="00152442">
        <w:rPr>
          <w:rFonts w:ascii="Verdana" w:eastAsia="Calibri" w:hAnsi="Verdana" w:cs="Arial"/>
          <w:sz w:val="24"/>
          <w:szCs w:val="24"/>
        </w:rPr>
        <w:t>Al cierre de 2025,</w:t>
      </w:r>
      <w:r w:rsidRPr="00152442">
        <w:rPr>
          <w:rFonts w:ascii="Verdana" w:eastAsia="Times New Roman" w:hAnsi="Verdana" w:cs="Times New Roman"/>
          <w:kern w:val="0"/>
          <w:sz w:val="24"/>
          <w:szCs w:val="24"/>
          <w:lang w:eastAsia="es-CO"/>
          <w14:ligatures w14:val="none"/>
        </w:rPr>
        <w:t xml:space="preserve"> </w:t>
      </w:r>
      <w:r w:rsidR="00152442">
        <w:rPr>
          <w:rFonts w:ascii="Verdana" w:eastAsia="Times New Roman" w:hAnsi="Verdana" w:cs="Times New Roman"/>
          <w:kern w:val="0"/>
          <w:sz w:val="24"/>
          <w:szCs w:val="24"/>
          <w:lang w:eastAsia="es-CO"/>
          <w14:ligatures w14:val="none"/>
        </w:rPr>
        <w:t>s</w:t>
      </w:r>
      <w:r w:rsidR="00231668" w:rsidRPr="00152442">
        <w:rPr>
          <w:rFonts w:ascii="Verdana" w:eastAsia="Verdana" w:hAnsi="Verdana" w:cs="Arial"/>
          <w:sz w:val="24"/>
          <w:szCs w:val="24"/>
        </w:rPr>
        <w:t xml:space="preserve">e </w:t>
      </w:r>
      <w:r w:rsidR="00160F18">
        <w:rPr>
          <w:rFonts w:ascii="Verdana" w:eastAsia="Verdana" w:hAnsi="Verdana" w:cs="Arial"/>
          <w:sz w:val="24"/>
          <w:szCs w:val="24"/>
        </w:rPr>
        <w:t xml:space="preserve">alcanzó </w:t>
      </w:r>
      <w:r w:rsidR="00231668" w:rsidRPr="00152442">
        <w:rPr>
          <w:rFonts w:ascii="Verdana" w:eastAsia="Verdana" w:hAnsi="Verdana" w:cs="Arial"/>
          <w:sz w:val="24"/>
          <w:szCs w:val="24"/>
        </w:rPr>
        <w:t>u</w:t>
      </w:r>
      <w:r w:rsidR="20B73189" w:rsidRPr="00152442">
        <w:rPr>
          <w:rFonts w:ascii="Verdana" w:eastAsia="Verdana" w:hAnsi="Verdana" w:cs="Arial"/>
          <w:sz w:val="24"/>
          <w:szCs w:val="24"/>
        </w:rPr>
        <w:t xml:space="preserve">n avance del </w:t>
      </w:r>
      <w:r w:rsidR="00152442">
        <w:rPr>
          <w:rFonts w:ascii="Verdana" w:eastAsia="Verdana" w:hAnsi="Verdana" w:cs="Arial"/>
          <w:sz w:val="24"/>
          <w:szCs w:val="24"/>
        </w:rPr>
        <w:t>59</w:t>
      </w:r>
      <w:r w:rsidR="20B73189" w:rsidRPr="00152442">
        <w:rPr>
          <w:rFonts w:ascii="Verdana" w:eastAsia="Verdana" w:hAnsi="Verdana" w:cs="Arial"/>
          <w:sz w:val="24"/>
          <w:szCs w:val="24"/>
        </w:rPr>
        <w:t>%</w:t>
      </w:r>
      <w:r w:rsidR="00160F18">
        <w:rPr>
          <w:rFonts w:ascii="Verdana" w:eastAsia="Verdana" w:hAnsi="Verdana" w:cs="Arial"/>
          <w:sz w:val="24"/>
          <w:szCs w:val="24"/>
        </w:rPr>
        <w:t>,</w:t>
      </w:r>
      <w:r w:rsidR="20B73189" w:rsidRPr="00152442">
        <w:rPr>
          <w:rFonts w:ascii="Verdana" w:eastAsia="Verdana" w:hAnsi="Verdana" w:cs="Arial"/>
          <w:sz w:val="24"/>
          <w:szCs w:val="24"/>
        </w:rPr>
        <w:t xml:space="preserve"> </w:t>
      </w:r>
      <w:r w:rsidR="00231668" w:rsidRPr="00152442">
        <w:rPr>
          <w:rFonts w:ascii="Verdana" w:eastAsia="Verdana" w:hAnsi="Verdana" w:cs="Arial"/>
          <w:sz w:val="24"/>
          <w:szCs w:val="24"/>
        </w:rPr>
        <w:t xml:space="preserve">con </w:t>
      </w:r>
      <w:r w:rsidR="0074687F">
        <w:rPr>
          <w:rFonts w:ascii="Verdana" w:eastAsia="Verdana" w:hAnsi="Verdana" w:cs="Arial"/>
          <w:sz w:val="24"/>
          <w:szCs w:val="24"/>
        </w:rPr>
        <w:t>139</w:t>
      </w:r>
      <w:r w:rsidR="20B73189" w:rsidRPr="00152442">
        <w:rPr>
          <w:rFonts w:ascii="Verdana" w:eastAsia="Verdana" w:hAnsi="Verdana" w:cs="Arial"/>
          <w:sz w:val="24"/>
          <w:szCs w:val="24"/>
        </w:rPr>
        <w:t xml:space="preserve"> </w:t>
      </w:r>
      <w:r w:rsidR="00231668" w:rsidRPr="00152442">
        <w:rPr>
          <w:rFonts w:ascii="Verdana" w:eastAsia="Verdana" w:hAnsi="Verdana" w:cs="Arial"/>
          <w:sz w:val="24"/>
          <w:szCs w:val="24"/>
        </w:rPr>
        <w:t xml:space="preserve">beneficiarios </w:t>
      </w:r>
      <w:r w:rsidR="20B73189" w:rsidRPr="00152442">
        <w:rPr>
          <w:rFonts w:ascii="Verdana" w:eastAsia="Verdana" w:hAnsi="Verdana" w:cs="Arial"/>
          <w:sz w:val="24"/>
          <w:szCs w:val="24"/>
        </w:rPr>
        <w:t>(</w:t>
      </w:r>
      <w:r w:rsidR="0074687F">
        <w:rPr>
          <w:rFonts w:ascii="Verdana" w:eastAsia="Verdana" w:hAnsi="Verdana" w:cs="Arial"/>
          <w:sz w:val="24"/>
          <w:szCs w:val="24"/>
        </w:rPr>
        <w:t>28</w:t>
      </w:r>
      <w:r w:rsidR="20B73189" w:rsidRPr="00152442">
        <w:rPr>
          <w:rFonts w:ascii="Verdana" w:eastAsia="Verdana" w:hAnsi="Verdana" w:cs="Arial"/>
          <w:sz w:val="24"/>
          <w:szCs w:val="24"/>
        </w:rPr>
        <w:t xml:space="preserve"> mujeres y </w:t>
      </w:r>
      <w:r w:rsidR="0074687F">
        <w:rPr>
          <w:rFonts w:ascii="Verdana" w:eastAsia="Verdana" w:hAnsi="Verdana" w:cs="Arial"/>
          <w:sz w:val="24"/>
          <w:szCs w:val="24"/>
        </w:rPr>
        <w:t>111</w:t>
      </w:r>
      <w:r w:rsidR="20B73189" w:rsidRPr="00152442">
        <w:rPr>
          <w:rFonts w:ascii="Verdana" w:eastAsia="Verdana" w:hAnsi="Verdana" w:cs="Arial"/>
          <w:sz w:val="24"/>
          <w:szCs w:val="24"/>
        </w:rPr>
        <w:t xml:space="preserve"> hombres), de los cuales </w:t>
      </w:r>
      <w:r w:rsidR="006C761B">
        <w:rPr>
          <w:rFonts w:ascii="Verdana" w:eastAsia="Verdana" w:hAnsi="Verdana" w:cs="Arial"/>
          <w:sz w:val="24"/>
          <w:szCs w:val="24"/>
        </w:rPr>
        <w:t>29</w:t>
      </w:r>
      <w:r w:rsidR="20B73189" w:rsidRPr="00152442">
        <w:rPr>
          <w:rFonts w:ascii="Verdana" w:eastAsia="Verdana" w:hAnsi="Verdana" w:cs="Arial"/>
          <w:sz w:val="24"/>
          <w:szCs w:val="24"/>
        </w:rPr>
        <w:t xml:space="preserve"> </w:t>
      </w:r>
      <w:r w:rsidR="00231668" w:rsidRPr="00152442">
        <w:rPr>
          <w:rFonts w:ascii="Verdana" w:eastAsia="Verdana" w:hAnsi="Verdana" w:cs="Arial"/>
          <w:sz w:val="24"/>
          <w:szCs w:val="24"/>
        </w:rPr>
        <w:t>pertenecen a</w:t>
      </w:r>
      <w:r w:rsidR="20B73189" w:rsidRPr="00152442">
        <w:rPr>
          <w:rFonts w:ascii="Verdana" w:eastAsia="Verdana" w:hAnsi="Verdana" w:cs="Arial"/>
          <w:sz w:val="24"/>
          <w:szCs w:val="24"/>
        </w:rPr>
        <w:t xml:space="preserve"> grupo</w:t>
      </w:r>
      <w:r w:rsidR="00160F18">
        <w:rPr>
          <w:rFonts w:ascii="Verdana" w:eastAsia="Verdana" w:hAnsi="Verdana" w:cs="Arial"/>
          <w:sz w:val="24"/>
          <w:szCs w:val="24"/>
        </w:rPr>
        <w:t>s</w:t>
      </w:r>
      <w:r w:rsidR="20B73189" w:rsidRPr="00152442">
        <w:rPr>
          <w:rFonts w:ascii="Verdana" w:eastAsia="Verdana" w:hAnsi="Verdana" w:cs="Arial"/>
          <w:sz w:val="24"/>
          <w:szCs w:val="24"/>
        </w:rPr>
        <w:t xml:space="preserve"> étnico</w:t>
      </w:r>
      <w:r w:rsidR="00160F18">
        <w:rPr>
          <w:rFonts w:ascii="Verdana" w:eastAsia="Verdana" w:hAnsi="Verdana" w:cs="Arial"/>
          <w:sz w:val="24"/>
          <w:szCs w:val="24"/>
        </w:rPr>
        <w:t>s</w:t>
      </w:r>
      <w:r w:rsidR="20B73189" w:rsidRPr="00152442">
        <w:rPr>
          <w:rFonts w:ascii="Verdana" w:eastAsia="Verdana" w:hAnsi="Verdana" w:cs="Arial"/>
          <w:sz w:val="24"/>
          <w:szCs w:val="24"/>
        </w:rPr>
        <w:t xml:space="preserve"> (</w:t>
      </w:r>
      <w:r w:rsidR="006C761B">
        <w:rPr>
          <w:rFonts w:ascii="Verdana" w:eastAsia="Verdana" w:hAnsi="Verdana" w:cs="Arial"/>
          <w:sz w:val="24"/>
          <w:szCs w:val="24"/>
        </w:rPr>
        <w:t>18</w:t>
      </w:r>
      <w:r w:rsidR="20B73189" w:rsidRPr="00152442">
        <w:rPr>
          <w:rFonts w:ascii="Verdana" w:eastAsia="Verdana" w:hAnsi="Verdana" w:cs="Arial"/>
          <w:sz w:val="24"/>
          <w:szCs w:val="24"/>
        </w:rPr>
        <w:t xml:space="preserve"> indígenas</w:t>
      </w:r>
      <w:r w:rsidR="006C761B">
        <w:rPr>
          <w:rFonts w:ascii="Verdana" w:eastAsia="Verdana" w:hAnsi="Verdana" w:cs="Arial"/>
          <w:sz w:val="24"/>
          <w:szCs w:val="24"/>
        </w:rPr>
        <w:t xml:space="preserve"> y</w:t>
      </w:r>
      <w:r w:rsidR="20B73189" w:rsidRPr="00AB06F3">
        <w:rPr>
          <w:rFonts w:ascii="Verdana" w:eastAsia="Verdana" w:hAnsi="Verdana" w:cs="Arial"/>
          <w:sz w:val="24"/>
          <w:szCs w:val="24"/>
        </w:rPr>
        <w:t xml:space="preserve"> </w:t>
      </w:r>
      <w:r w:rsidR="006C761B">
        <w:rPr>
          <w:rFonts w:ascii="Verdana" w:eastAsia="Verdana" w:hAnsi="Verdana" w:cs="Arial"/>
          <w:sz w:val="24"/>
          <w:szCs w:val="24"/>
        </w:rPr>
        <w:t xml:space="preserve">11 </w:t>
      </w:r>
      <w:r w:rsidR="20B73189" w:rsidRPr="001B2BA2">
        <w:rPr>
          <w:rFonts w:ascii="Verdana" w:eastAsia="Verdana" w:hAnsi="Verdana" w:cs="Arial"/>
          <w:sz w:val="24"/>
          <w:szCs w:val="24"/>
        </w:rPr>
        <w:t xml:space="preserve">afrodescendientes). En </w:t>
      </w:r>
      <w:r w:rsidR="0066644E" w:rsidRPr="001B2BA2">
        <w:rPr>
          <w:rFonts w:ascii="Verdana" w:eastAsia="Verdana" w:hAnsi="Verdana" w:cs="Arial"/>
          <w:sz w:val="24"/>
          <w:szCs w:val="24"/>
        </w:rPr>
        <w:t>total, se desembolsa</w:t>
      </w:r>
      <w:r w:rsidR="00160F18">
        <w:rPr>
          <w:rFonts w:ascii="Verdana" w:eastAsia="Verdana" w:hAnsi="Verdana" w:cs="Arial"/>
          <w:sz w:val="24"/>
          <w:szCs w:val="24"/>
        </w:rPr>
        <w:t xml:space="preserve">ron </w:t>
      </w:r>
      <w:r w:rsidR="0066644E" w:rsidRPr="001B2BA2">
        <w:rPr>
          <w:rFonts w:ascii="Verdana" w:eastAsia="Verdana" w:hAnsi="Verdana" w:cs="Arial"/>
          <w:sz w:val="24"/>
          <w:szCs w:val="24"/>
        </w:rPr>
        <w:t xml:space="preserve">recursos a </w:t>
      </w:r>
      <w:r w:rsidR="00EF59A6">
        <w:rPr>
          <w:rFonts w:ascii="Verdana" w:eastAsia="Verdana" w:hAnsi="Verdana" w:cs="Arial"/>
          <w:sz w:val="24"/>
          <w:szCs w:val="24"/>
        </w:rPr>
        <w:t>116</w:t>
      </w:r>
      <w:r w:rsidR="0066644E" w:rsidRPr="001B2BA2">
        <w:rPr>
          <w:rFonts w:ascii="Verdana" w:eastAsia="Verdana" w:hAnsi="Verdana" w:cs="Arial"/>
          <w:sz w:val="24"/>
          <w:szCs w:val="24"/>
        </w:rPr>
        <w:t xml:space="preserve"> proyectos</w:t>
      </w:r>
      <w:r w:rsidR="0066644E">
        <w:rPr>
          <w:rFonts w:ascii="Verdana" w:eastAsia="Verdana" w:hAnsi="Verdana" w:cs="Arial"/>
          <w:sz w:val="24"/>
          <w:szCs w:val="24"/>
        </w:rPr>
        <w:t xml:space="preserve"> (</w:t>
      </w:r>
      <w:r w:rsidR="00EF59A6">
        <w:rPr>
          <w:rFonts w:ascii="Verdana" w:eastAsia="Verdana" w:hAnsi="Verdana" w:cs="Arial"/>
          <w:sz w:val="24"/>
          <w:szCs w:val="24"/>
        </w:rPr>
        <w:t>115</w:t>
      </w:r>
      <w:r w:rsidR="20B73189" w:rsidRPr="00AB06F3">
        <w:rPr>
          <w:rFonts w:ascii="Verdana" w:eastAsia="Verdana" w:hAnsi="Verdana" w:cs="Arial"/>
          <w:sz w:val="24"/>
          <w:szCs w:val="24"/>
        </w:rPr>
        <w:t xml:space="preserve"> individual</w:t>
      </w:r>
      <w:r w:rsidR="0066644E">
        <w:rPr>
          <w:rFonts w:ascii="Verdana" w:eastAsia="Verdana" w:hAnsi="Verdana" w:cs="Arial"/>
          <w:sz w:val="24"/>
          <w:szCs w:val="24"/>
        </w:rPr>
        <w:t>es</w:t>
      </w:r>
      <w:r w:rsidR="20B73189" w:rsidRPr="00AB06F3">
        <w:rPr>
          <w:rFonts w:ascii="Verdana" w:eastAsia="Verdana" w:hAnsi="Verdana" w:cs="Arial"/>
          <w:sz w:val="24"/>
          <w:szCs w:val="24"/>
        </w:rPr>
        <w:t xml:space="preserve"> y </w:t>
      </w:r>
      <w:r w:rsidR="00EF59A6">
        <w:rPr>
          <w:rFonts w:ascii="Verdana" w:eastAsia="Verdana" w:hAnsi="Verdana" w:cs="Arial"/>
          <w:sz w:val="24"/>
          <w:szCs w:val="24"/>
        </w:rPr>
        <w:t>1</w:t>
      </w:r>
      <w:r w:rsidR="20B73189" w:rsidRPr="00AB06F3">
        <w:rPr>
          <w:rFonts w:ascii="Verdana" w:eastAsia="Verdana" w:hAnsi="Verdana" w:cs="Arial"/>
          <w:sz w:val="24"/>
          <w:szCs w:val="24"/>
        </w:rPr>
        <w:t xml:space="preserve"> colectivos</w:t>
      </w:r>
      <w:r w:rsidR="0066644E">
        <w:rPr>
          <w:rFonts w:ascii="Verdana" w:eastAsia="Verdana" w:hAnsi="Verdana" w:cs="Arial"/>
          <w:sz w:val="24"/>
          <w:szCs w:val="24"/>
        </w:rPr>
        <w:t>)</w:t>
      </w:r>
      <w:r w:rsidR="20B73189" w:rsidRPr="00AB06F3">
        <w:rPr>
          <w:rFonts w:ascii="Verdana" w:eastAsia="Verdana" w:hAnsi="Verdana" w:cs="Arial"/>
          <w:sz w:val="24"/>
          <w:szCs w:val="24"/>
        </w:rPr>
        <w:t xml:space="preserve"> por valor </w:t>
      </w:r>
      <w:r w:rsidR="0066644E">
        <w:rPr>
          <w:rFonts w:ascii="Verdana" w:eastAsia="Verdana" w:hAnsi="Verdana" w:cs="Arial"/>
          <w:sz w:val="24"/>
          <w:szCs w:val="24"/>
        </w:rPr>
        <w:t xml:space="preserve">total </w:t>
      </w:r>
      <w:r w:rsidR="20B73189" w:rsidRPr="00AB06F3">
        <w:rPr>
          <w:rFonts w:ascii="Verdana" w:eastAsia="Verdana" w:hAnsi="Verdana" w:cs="Arial"/>
          <w:sz w:val="24"/>
          <w:szCs w:val="24"/>
        </w:rPr>
        <w:t>de $</w:t>
      </w:r>
      <w:r w:rsidR="00EF59A6" w:rsidRPr="00EF59A6">
        <w:rPr>
          <w:rFonts w:ascii="Verdana" w:eastAsia="Verdana" w:hAnsi="Verdana" w:cs="Arial"/>
          <w:sz w:val="24"/>
          <w:szCs w:val="24"/>
        </w:rPr>
        <w:t>1.063.947.761</w:t>
      </w:r>
      <w:r w:rsidR="20B73189" w:rsidRPr="00AB06F3">
        <w:rPr>
          <w:rFonts w:ascii="Verdana" w:eastAsia="Verdana" w:hAnsi="Verdana" w:cs="Arial"/>
          <w:sz w:val="24"/>
          <w:szCs w:val="24"/>
        </w:rPr>
        <w:t xml:space="preserve">, </w:t>
      </w:r>
      <w:r w:rsidR="0066644E">
        <w:rPr>
          <w:rFonts w:ascii="Verdana" w:eastAsia="Verdana" w:hAnsi="Verdana" w:cs="Arial"/>
          <w:sz w:val="24"/>
          <w:szCs w:val="24"/>
        </w:rPr>
        <w:t>provenientes de</w:t>
      </w:r>
      <w:r w:rsidR="20B73189" w:rsidRPr="00AB06F3">
        <w:rPr>
          <w:rFonts w:ascii="Verdana" w:eastAsia="Verdana" w:hAnsi="Verdana" w:cs="Arial"/>
          <w:sz w:val="24"/>
          <w:szCs w:val="24"/>
        </w:rPr>
        <w:t xml:space="preserve">l Presupuesto General de la Nación. </w:t>
      </w:r>
      <w:r w:rsidR="00F2342B" w:rsidRPr="00F2342B">
        <w:rPr>
          <w:rFonts w:ascii="Verdana" w:eastAsia="Verdana" w:hAnsi="Verdana" w:cs="Arial"/>
          <w:sz w:val="24"/>
          <w:szCs w:val="24"/>
        </w:rPr>
        <w:t>Los proyectos se implementa</w:t>
      </w:r>
      <w:r w:rsidR="00706AEF">
        <w:rPr>
          <w:rFonts w:ascii="Verdana" w:eastAsia="Verdana" w:hAnsi="Verdana" w:cs="Arial"/>
          <w:sz w:val="24"/>
          <w:szCs w:val="24"/>
        </w:rPr>
        <w:t xml:space="preserve">ron principalmente </w:t>
      </w:r>
      <w:r w:rsidR="00F2342B" w:rsidRPr="00F2342B">
        <w:rPr>
          <w:rFonts w:ascii="Verdana" w:eastAsia="Verdana" w:hAnsi="Verdana" w:cs="Arial"/>
          <w:sz w:val="24"/>
          <w:szCs w:val="24"/>
        </w:rPr>
        <w:t>en los departamentos de</w:t>
      </w:r>
      <w:r w:rsidR="0074687F" w:rsidRPr="00771C92">
        <w:rPr>
          <w:rFonts w:ascii="Verdana" w:eastAsia="Verdana" w:hAnsi="Verdana" w:cs="Arial"/>
          <w:sz w:val="24"/>
          <w:szCs w:val="24"/>
        </w:rPr>
        <w:t xml:space="preserve"> Meta (19 personas),  Caquetá (17), Nariño (14),  Antioquia (12),  Cauca (8) y La Guajira (8). </w:t>
      </w:r>
    </w:p>
    <w:p w14:paraId="3B13AE8B" w14:textId="77777777" w:rsidR="0074687F" w:rsidRPr="00AB06F3" w:rsidRDefault="0074687F" w:rsidP="00187721">
      <w:pPr>
        <w:spacing w:after="0" w:line="276" w:lineRule="auto"/>
        <w:jc w:val="both"/>
        <w:rPr>
          <w:rFonts w:ascii="Verdana" w:hAnsi="Verdana" w:cs="Arial"/>
        </w:rPr>
      </w:pPr>
    </w:p>
    <w:p w14:paraId="29D70A6B" w14:textId="77777777" w:rsidR="00337996" w:rsidRDefault="00F2342B" w:rsidP="00187721">
      <w:pPr>
        <w:spacing w:after="0" w:line="276" w:lineRule="auto"/>
        <w:jc w:val="both"/>
        <w:rPr>
          <w:rFonts w:ascii="Verdana" w:eastAsia="Verdana" w:hAnsi="Verdana" w:cs="Arial"/>
          <w:sz w:val="24"/>
          <w:szCs w:val="24"/>
        </w:rPr>
      </w:pPr>
      <w:r>
        <w:rPr>
          <w:rFonts w:ascii="Verdana" w:eastAsia="Verdana" w:hAnsi="Verdana" w:cs="Arial"/>
          <w:sz w:val="24"/>
          <w:szCs w:val="24"/>
        </w:rPr>
        <w:t xml:space="preserve">En </w:t>
      </w:r>
      <w:r w:rsidR="00706AEF">
        <w:rPr>
          <w:rFonts w:ascii="Verdana" w:eastAsia="Verdana" w:hAnsi="Verdana" w:cs="Arial"/>
          <w:sz w:val="24"/>
          <w:szCs w:val="24"/>
        </w:rPr>
        <w:t xml:space="preserve">términos </w:t>
      </w:r>
      <w:r>
        <w:rPr>
          <w:rFonts w:ascii="Verdana" w:eastAsia="Verdana" w:hAnsi="Verdana" w:cs="Arial"/>
          <w:sz w:val="24"/>
          <w:szCs w:val="24"/>
        </w:rPr>
        <w:t xml:space="preserve">acumulado, al </w:t>
      </w:r>
      <w:r w:rsidR="20B73189" w:rsidRPr="00AB06F3">
        <w:rPr>
          <w:rFonts w:ascii="Verdana" w:eastAsia="Verdana" w:hAnsi="Verdana" w:cs="Arial"/>
          <w:sz w:val="24"/>
          <w:szCs w:val="24"/>
        </w:rPr>
        <w:t>31 de diciembre de 202</w:t>
      </w:r>
      <w:r w:rsidR="007F0EF2">
        <w:rPr>
          <w:rFonts w:ascii="Verdana" w:eastAsia="Verdana" w:hAnsi="Verdana" w:cs="Arial"/>
          <w:sz w:val="24"/>
          <w:szCs w:val="24"/>
        </w:rPr>
        <w:t>5</w:t>
      </w:r>
      <w:r>
        <w:rPr>
          <w:rFonts w:ascii="Verdana" w:eastAsia="Verdana" w:hAnsi="Verdana" w:cs="Arial"/>
          <w:sz w:val="24"/>
          <w:szCs w:val="24"/>
        </w:rPr>
        <w:t xml:space="preserve">, </w:t>
      </w:r>
      <w:r w:rsidR="00706AEF">
        <w:rPr>
          <w:rFonts w:ascii="Verdana" w:eastAsia="Verdana" w:hAnsi="Verdana" w:cs="Arial"/>
          <w:sz w:val="24"/>
          <w:szCs w:val="24"/>
        </w:rPr>
        <w:t xml:space="preserve">se registraron </w:t>
      </w:r>
      <w:r w:rsidRPr="00AB06F3">
        <w:rPr>
          <w:rFonts w:ascii="Verdana" w:eastAsia="Verdana" w:hAnsi="Verdana" w:cs="Arial"/>
          <w:sz w:val="24"/>
          <w:szCs w:val="24"/>
        </w:rPr>
        <w:t>11.</w:t>
      </w:r>
      <w:r w:rsidR="007F0EF2">
        <w:rPr>
          <w:rFonts w:ascii="Verdana" w:eastAsia="Verdana" w:hAnsi="Verdana" w:cs="Arial"/>
          <w:sz w:val="24"/>
          <w:szCs w:val="24"/>
        </w:rPr>
        <w:t>170</w:t>
      </w:r>
      <w:r w:rsidRPr="00AB06F3">
        <w:rPr>
          <w:rFonts w:ascii="Verdana" w:eastAsia="Verdana" w:hAnsi="Verdana" w:cs="Arial"/>
          <w:sz w:val="24"/>
          <w:szCs w:val="24"/>
        </w:rPr>
        <w:t xml:space="preserve"> personas con proyectos productivos </w:t>
      </w:r>
      <w:r w:rsidR="00367AC2">
        <w:rPr>
          <w:rFonts w:ascii="Verdana" w:eastAsia="Verdana" w:hAnsi="Verdana" w:cs="Arial"/>
          <w:sz w:val="24"/>
          <w:szCs w:val="24"/>
        </w:rPr>
        <w:t>desembolsados de</w:t>
      </w:r>
      <w:r>
        <w:rPr>
          <w:rFonts w:ascii="Verdana" w:eastAsia="Verdana" w:hAnsi="Verdana" w:cs="Arial"/>
          <w:sz w:val="24"/>
          <w:szCs w:val="24"/>
        </w:rPr>
        <w:t xml:space="preserve"> </w:t>
      </w:r>
      <w:r w:rsidR="20B73189" w:rsidRPr="00AB06F3">
        <w:rPr>
          <w:rFonts w:ascii="Verdana" w:eastAsia="Verdana" w:hAnsi="Verdana" w:cs="Arial"/>
          <w:sz w:val="24"/>
          <w:szCs w:val="24"/>
        </w:rPr>
        <w:t>11.</w:t>
      </w:r>
      <w:r w:rsidR="00367AC2">
        <w:rPr>
          <w:rFonts w:ascii="Verdana" w:eastAsia="Verdana" w:hAnsi="Verdana" w:cs="Arial"/>
          <w:sz w:val="24"/>
          <w:szCs w:val="24"/>
        </w:rPr>
        <w:t>267</w:t>
      </w:r>
      <w:r w:rsidR="20B73189" w:rsidRPr="00AB06F3">
        <w:rPr>
          <w:rFonts w:ascii="Verdana" w:eastAsia="Verdana" w:hAnsi="Verdana" w:cs="Arial"/>
          <w:sz w:val="24"/>
          <w:szCs w:val="24"/>
        </w:rPr>
        <w:t xml:space="preserve"> personas </w:t>
      </w:r>
      <w:r w:rsidR="00CF453B" w:rsidRPr="007F0EF2">
        <w:rPr>
          <w:rFonts w:ascii="Verdana" w:eastAsia="Verdana" w:hAnsi="Verdana" w:cs="Arial"/>
          <w:sz w:val="24"/>
          <w:szCs w:val="24"/>
        </w:rPr>
        <w:t>con proyectos productivos viabilizados</w:t>
      </w:r>
      <w:r>
        <w:rPr>
          <w:rFonts w:ascii="Verdana" w:eastAsia="Verdana" w:hAnsi="Verdana" w:cs="Arial"/>
          <w:sz w:val="24"/>
          <w:szCs w:val="24"/>
        </w:rPr>
        <w:t xml:space="preserve">, lo </w:t>
      </w:r>
      <w:r w:rsidR="00706AEF">
        <w:rPr>
          <w:rFonts w:ascii="Verdana" w:eastAsia="Verdana" w:hAnsi="Verdana" w:cs="Arial"/>
          <w:sz w:val="24"/>
          <w:szCs w:val="24"/>
        </w:rPr>
        <w:t xml:space="preserve">que corresponde </w:t>
      </w:r>
      <w:r>
        <w:rPr>
          <w:rFonts w:ascii="Verdana" w:eastAsia="Verdana" w:hAnsi="Verdana" w:cs="Arial"/>
          <w:sz w:val="24"/>
          <w:szCs w:val="24"/>
        </w:rPr>
        <w:t xml:space="preserve">a </w:t>
      </w:r>
      <w:r w:rsidR="20B73189" w:rsidRPr="00AB06F3">
        <w:rPr>
          <w:rFonts w:ascii="Verdana" w:eastAsia="Verdana" w:hAnsi="Verdana" w:cs="Arial"/>
          <w:sz w:val="24"/>
          <w:szCs w:val="24"/>
        </w:rPr>
        <w:t>1</w:t>
      </w:r>
      <w:r w:rsidR="00BD45CC">
        <w:rPr>
          <w:rFonts w:ascii="Verdana" w:eastAsia="Verdana" w:hAnsi="Verdana" w:cs="Arial"/>
          <w:sz w:val="24"/>
          <w:szCs w:val="24"/>
        </w:rPr>
        <w:t>30</w:t>
      </w:r>
      <w:r w:rsidR="20B73189" w:rsidRPr="00AB06F3">
        <w:rPr>
          <w:rFonts w:ascii="Verdana" w:eastAsia="Verdana" w:hAnsi="Verdana" w:cs="Arial"/>
          <w:sz w:val="24"/>
          <w:szCs w:val="24"/>
        </w:rPr>
        <w:t xml:space="preserve"> proyectos productivos colectivos y 5.</w:t>
      </w:r>
      <w:r w:rsidR="00BD45CC">
        <w:rPr>
          <w:rFonts w:ascii="Verdana" w:eastAsia="Verdana" w:hAnsi="Verdana" w:cs="Arial"/>
          <w:sz w:val="24"/>
          <w:szCs w:val="24"/>
        </w:rPr>
        <w:t>986</w:t>
      </w:r>
      <w:r w:rsidR="20B73189" w:rsidRPr="008B0DC9">
        <w:rPr>
          <w:rFonts w:ascii="Verdana" w:eastAsia="Verdana" w:hAnsi="Verdana" w:cs="Arial"/>
          <w:sz w:val="24"/>
          <w:szCs w:val="24"/>
        </w:rPr>
        <w:t xml:space="preserve"> proyectos productivos individuales</w:t>
      </w:r>
      <w:r w:rsidR="00FB323A">
        <w:rPr>
          <w:rFonts w:ascii="Verdana" w:eastAsia="Verdana" w:hAnsi="Verdana" w:cs="Arial"/>
          <w:sz w:val="24"/>
          <w:szCs w:val="24"/>
        </w:rPr>
        <w:t>,</w:t>
      </w:r>
      <w:r w:rsidR="20B73189" w:rsidRPr="008B0DC9">
        <w:rPr>
          <w:rFonts w:ascii="Verdana" w:eastAsia="Verdana" w:hAnsi="Verdana" w:cs="Arial"/>
          <w:sz w:val="24"/>
          <w:szCs w:val="24"/>
        </w:rPr>
        <w:t xml:space="preserve"> </w:t>
      </w:r>
      <w:r w:rsidRPr="008B0DC9">
        <w:rPr>
          <w:rFonts w:ascii="Verdana" w:eastAsia="Verdana" w:hAnsi="Verdana" w:cs="Arial"/>
          <w:sz w:val="24"/>
          <w:szCs w:val="24"/>
        </w:rPr>
        <w:t xml:space="preserve">con una inversión total del </w:t>
      </w:r>
      <w:r w:rsidR="20B73189" w:rsidRPr="008B0DC9">
        <w:rPr>
          <w:rFonts w:ascii="Verdana" w:eastAsia="Verdana" w:hAnsi="Verdana" w:cs="Arial"/>
          <w:sz w:val="24"/>
          <w:szCs w:val="24"/>
        </w:rPr>
        <w:t>$</w:t>
      </w:r>
      <w:r w:rsidR="00BD45CC" w:rsidRPr="007F0EF2">
        <w:rPr>
          <w:rFonts w:ascii="Verdana" w:eastAsia="Verdana" w:hAnsi="Verdana" w:cs="Arial"/>
          <w:sz w:val="24"/>
          <w:szCs w:val="24"/>
        </w:rPr>
        <w:t>89.356.433.653</w:t>
      </w:r>
      <w:r w:rsidR="00BD45CC">
        <w:rPr>
          <w:rFonts w:ascii="Verdana" w:eastAsia="Verdana" w:hAnsi="Verdana" w:cs="Arial"/>
          <w:sz w:val="24"/>
          <w:szCs w:val="24"/>
        </w:rPr>
        <w:t xml:space="preserve"> </w:t>
      </w:r>
      <w:r w:rsidRPr="008B0DC9">
        <w:rPr>
          <w:rFonts w:ascii="Verdana" w:eastAsia="Verdana" w:hAnsi="Verdana" w:cs="Arial"/>
          <w:sz w:val="24"/>
          <w:szCs w:val="24"/>
        </w:rPr>
        <w:t>del</w:t>
      </w:r>
      <w:r>
        <w:rPr>
          <w:rFonts w:ascii="Verdana" w:eastAsia="Verdana" w:hAnsi="Verdana" w:cs="Arial"/>
          <w:sz w:val="24"/>
          <w:szCs w:val="24"/>
        </w:rPr>
        <w:t xml:space="preserve"> </w:t>
      </w:r>
      <w:r w:rsidR="20B73189" w:rsidRPr="00AB06F3">
        <w:rPr>
          <w:rFonts w:ascii="Verdana" w:eastAsia="Verdana" w:hAnsi="Verdana" w:cs="Arial"/>
          <w:sz w:val="24"/>
          <w:szCs w:val="24"/>
        </w:rPr>
        <w:t>Presupuesto General de la Nación</w:t>
      </w:r>
      <w:r w:rsidR="00FB323A">
        <w:rPr>
          <w:rFonts w:ascii="Verdana" w:eastAsia="Verdana" w:hAnsi="Verdana" w:cs="Arial"/>
          <w:sz w:val="24"/>
          <w:szCs w:val="24"/>
        </w:rPr>
        <w:t xml:space="preserve">. Estos proyectos han </w:t>
      </w:r>
      <w:r w:rsidR="20B73189" w:rsidRPr="00AB06F3">
        <w:rPr>
          <w:rFonts w:ascii="Verdana" w:eastAsia="Verdana" w:hAnsi="Verdana" w:cs="Arial"/>
          <w:sz w:val="24"/>
          <w:szCs w:val="24"/>
        </w:rPr>
        <w:t>beneficiado a 2.8</w:t>
      </w:r>
      <w:r w:rsidR="00BD45CC">
        <w:rPr>
          <w:rFonts w:ascii="Verdana" w:eastAsia="Verdana" w:hAnsi="Verdana" w:cs="Arial"/>
          <w:sz w:val="24"/>
          <w:szCs w:val="24"/>
        </w:rPr>
        <w:t>72</w:t>
      </w:r>
      <w:r w:rsidR="20B73189" w:rsidRPr="00AB06F3">
        <w:rPr>
          <w:rFonts w:ascii="Verdana" w:eastAsia="Verdana" w:hAnsi="Verdana" w:cs="Arial"/>
          <w:sz w:val="24"/>
          <w:szCs w:val="24"/>
        </w:rPr>
        <w:t xml:space="preserve"> mujeres y 8.</w:t>
      </w:r>
      <w:r w:rsidR="00BD45CC">
        <w:rPr>
          <w:rFonts w:ascii="Verdana" w:eastAsia="Verdana" w:hAnsi="Verdana" w:cs="Arial"/>
          <w:sz w:val="24"/>
          <w:szCs w:val="24"/>
        </w:rPr>
        <w:t>298</w:t>
      </w:r>
      <w:r w:rsidR="20B73189" w:rsidRPr="00AB06F3">
        <w:rPr>
          <w:rFonts w:ascii="Verdana" w:eastAsia="Verdana" w:hAnsi="Verdana" w:cs="Arial"/>
          <w:sz w:val="24"/>
          <w:szCs w:val="24"/>
        </w:rPr>
        <w:t xml:space="preserve"> hombres, de los cuales 1.9</w:t>
      </w:r>
      <w:r w:rsidR="00BD45CC">
        <w:rPr>
          <w:rFonts w:ascii="Verdana" w:eastAsia="Verdana" w:hAnsi="Verdana" w:cs="Arial"/>
          <w:sz w:val="24"/>
          <w:szCs w:val="24"/>
        </w:rPr>
        <w:t>33</w:t>
      </w:r>
      <w:r w:rsidR="20B73189" w:rsidRPr="00AB06F3">
        <w:rPr>
          <w:rFonts w:ascii="Verdana" w:eastAsia="Verdana" w:hAnsi="Verdana" w:cs="Arial"/>
          <w:sz w:val="24"/>
          <w:szCs w:val="24"/>
        </w:rPr>
        <w:t xml:space="preserve"> </w:t>
      </w:r>
      <w:r w:rsidR="00FB323A">
        <w:rPr>
          <w:rFonts w:ascii="Verdana" w:eastAsia="Verdana" w:hAnsi="Verdana" w:cs="Arial"/>
          <w:sz w:val="24"/>
          <w:szCs w:val="24"/>
        </w:rPr>
        <w:t xml:space="preserve">pertenecen a </w:t>
      </w:r>
      <w:r w:rsidR="20B73189" w:rsidRPr="00AB06F3">
        <w:rPr>
          <w:rFonts w:ascii="Verdana" w:eastAsia="Verdana" w:hAnsi="Verdana" w:cs="Arial"/>
          <w:sz w:val="24"/>
          <w:szCs w:val="24"/>
        </w:rPr>
        <w:t>grupo</w:t>
      </w:r>
      <w:r>
        <w:rPr>
          <w:rFonts w:ascii="Verdana" w:eastAsia="Verdana" w:hAnsi="Verdana" w:cs="Arial"/>
          <w:sz w:val="24"/>
          <w:szCs w:val="24"/>
        </w:rPr>
        <w:t>s</w:t>
      </w:r>
      <w:r w:rsidR="20B73189" w:rsidRPr="00AB06F3">
        <w:rPr>
          <w:rFonts w:ascii="Verdana" w:eastAsia="Verdana" w:hAnsi="Verdana" w:cs="Arial"/>
          <w:sz w:val="24"/>
          <w:szCs w:val="24"/>
        </w:rPr>
        <w:t xml:space="preserve"> étnico</w:t>
      </w:r>
      <w:r>
        <w:rPr>
          <w:rFonts w:ascii="Verdana" w:eastAsia="Verdana" w:hAnsi="Verdana" w:cs="Arial"/>
          <w:sz w:val="24"/>
          <w:szCs w:val="24"/>
        </w:rPr>
        <w:t>s</w:t>
      </w:r>
      <w:r w:rsidR="20B73189" w:rsidRPr="00AB06F3">
        <w:rPr>
          <w:rFonts w:ascii="Verdana" w:eastAsia="Verdana" w:hAnsi="Verdana" w:cs="Arial"/>
          <w:sz w:val="24"/>
          <w:szCs w:val="24"/>
        </w:rPr>
        <w:t xml:space="preserve"> (1.</w:t>
      </w:r>
      <w:r w:rsidR="00BD45CC">
        <w:rPr>
          <w:rFonts w:ascii="Verdana" w:eastAsia="Verdana" w:hAnsi="Verdana" w:cs="Arial"/>
          <w:sz w:val="24"/>
          <w:szCs w:val="24"/>
        </w:rPr>
        <w:t>300</w:t>
      </w:r>
      <w:r w:rsidR="20B73189" w:rsidRPr="00AB06F3">
        <w:rPr>
          <w:rFonts w:ascii="Verdana" w:eastAsia="Verdana" w:hAnsi="Verdana" w:cs="Arial"/>
          <w:sz w:val="24"/>
          <w:szCs w:val="24"/>
        </w:rPr>
        <w:t xml:space="preserve"> indígenas, 6</w:t>
      </w:r>
      <w:r w:rsidR="00BD45CC">
        <w:rPr>
          <w:rFonts w:ascii="Verdana" w:eastAsia="Verdana" w:hAnsi="Verdana" w:cs="Arial"/>
          <w:sz w:val="24"/>
          <w:szCs w:val="24"/>
        </w:rPr>
        <w:t>18</w:t>
      </w:r>
      <w:r w:rsidR="20B73189" w:rsidRPr="00AB06F3">
        <w:rPr>
          <w:rFonts w:ascii="Verdana" w:eastAsia="Verdana" w:hAnsi="Verdana" w:cs="Arial"/>
          <w:sz w:val="24"/>
          <w:szCs w:val="24"/>
        </w:rPr>
        <w:t xml:space="preserve"> afrodescendientes, 12 palenqueros, 2 raizal y 1 gitano o Rom). </w:t>
      </w:r>
    </w:p>
    <w:p w14:paraId="4BF5DF22" w14:textId="77777777" w:rsidR="00337996" w:rsidRDefault="00337996" w:rsidP="007C3161">
      <w:pPr>
        <w:spacing w:after="0" w:line="276" w:lineRule="auto"/>
        <w:rPr>
          <w:rFonts w:ascii="Verdana" w:eastAsia="Verdana" w:hAnsi="Verdana" w:cs="Arial"/>
          <w:sz w:val="24"/>
          <w:szCs w:val="24"/>
        </w:rPr>
      </w:pPr>
    </w:p>
    <w:p w14:paraId="2DAEF3C9" w14:textId="0B85933A" w:rsidR="00771C92" w:rsidRDefault="00F2342B" w:rsidP="00187721">
      <w:pPr>
        <w:spacing w:after="0" w:line="276" w:lineRule="auto"/>
        <w:jc w:val="both"/>
        <w:rPr>
          <w:rFonts w:ascii="Verdana" w:eastAsia="Verdana" w:hAnsi="Verdana" w:cs="Arial"/>
          <w:sz w:val="24"/>
          <w:szCs w:val="24"/>
        </w:rPr>
      </w:pPr>
      <w:r w:rsidRPr="00F2342B">
        <w:rPr>
          <w:rFonts w:ascii="Verdana" w:eastAsia="Verdana" w:hAnsi="Verdana" w:cs="Arial"/>
          <w:sz w:val="24"/>
          <w:szCs w:val="24"/>
        </w:rPr>
        <w:t xml:space="preserve">Los departamentos </w:t>
      </w:r>
      <w:r w:rsidR="00337996">
        <w:rPr>
          <w:rFonts w:ascii="Verdana" w:eastAsia="Verdana" w:hAnsi="Verdana" w:cs="Arial"/>
          <w:sz w:val="24"/>
          <w:szCs w:val="24"/>
        </w:rPr>
        <w:t xml:space="preserve">con mayor número de beneficiarios </w:t>
      </w:r>
      <w:r w:rsidRPr="00F2342B">
        <w:rPr>
          <w:rFonts w:ascii="Verdana" w:eastAsia="Verdana" w:hAnsi="Verdana" w:cs="Arial"/>
          <w:sz w:val="24"/>
          <w:szCs w:val="24"/>
        </w:rPr>
        <w:t xml:space="preserve">son </w:t>
      </w:r>
      <w:r w:rsidR="007F0EF2" w:rsidRPr="007F0EF2">
        <w:rPr>
          <w:rFonts w:ascii="Verdana" w:eastAsia="Verdana" w:hAnsi="Verdana" w:cs="Arial"/>
          <w:sz w:val="24"/>
          <w:szCs w:val="24"/>
        </w:rPr>
        <w:t>Meta (1.511 personas), Cauca (1.214 personas), Antioquia (1.199 personas), Caquetá (896 personas), Tolima (675 personas) y Norte de Santander (603 personas).</w:t>
      </w:r>
    </w:p>
    <w:p w14:paraId="3E89AF63" w14:textId="77777777" w:rsidR="002C74D3" w:rsidRDefault="002C74D3" w:rsidP="00946609">
      <w:pPr>
        <w:spacing w:after="0" w:line="276" w:lineRule="auto"/>
        <w:jc w:val="center"/>
        <w:rPr>
          <w:rFonts w:ascii="Verdana" w:eastAsia="Verdana" w:hAnsi="Verdana" w:cs="Arial"/>
          <w:color w:val="000000" w:themeColor="text1"/>
          <w:sz w:val="18"/>
          <w:szCs w:val="18"/>
        </w:rPr>
      </w:pPr>
    </w:p>
    <w:p w14:paraId="5BE3FBA2" w14:textId="48C6CFE6" w:rsidR="007C3161" w:rsidRPr="007C3161" w:rsidRDefault="007C3161" w:rsidP="007C3161">
      <w:pPr>
        <w:spacing w:after="0" w:line="276" w:lineRule="auto"/>
        <w:jc w:val="center"/>
        <w:rPr>
          <w:rFonts w:ascii="Verdana" w:eastAsia="Verdana" w:hAnsi="Verdana" w:cs="Arial"/>
          <w:color w:val="000000" w:themeColor="text1"/>
          <w:sz w:val="18"/>
          <w:szCs w:val="18"/>
        </w:rPr>
      </w:pPr>
      <w:bookmarkStart w:id="30" w:name="_Toc225283139"/>
      <w:r w:rsidRPr="007C3161">
        <w:rPr>
          <w:rFonts w:ascii="Verdana" w:eastAsia="Verdana" w:hAnsi="Verdana" w:cs="Arial"/>
          <w:color w:val="000000" w:themeColor="text1"/>
          <w:sz w:val="18"/>
          <w:szCs w:val="18"/>
        </w:rPr>
        <w:t xml:space="preserve">Tabla </w:t>
      </w:r>
      <w:r w:rsidRPr="007C3161">
        <w:rPr>
          <w:rFonts w:ascii="Verdana" w:eastAsia="Verdana" w:hAnsi="Verdana" w:cs="Arial"/>
          <w:color w:val="000000" w:themeColor="text1"/>
          <w:sz w:val="18"/>
          <w:szCs w:val="18"/>
        </w:rPr>
        <w:fldChar w:fldCharType="begin"/>
      </w:r>
      <w:r w:rsidRPr="007C3161">
        <w:rPr>
          <w:rFonts w:ascii="Verdana" w:eastAsia="Verdana" w:hAnsi="Verdana" w:cs="Arial"/>
          <w:color w:val="000000" w:themeColor="text1"/>
          <w:sz w:val="18"/>
          <w:szCs w:val="18"/>
        </w:rPr>
        <w:instrText xml:space="preserve"> SEQ Tabla \* ARABIC </w:instrText>
      </w:r>
      <w:r w:rsidRPr="007C3161">
        <w:rPr>
          <w:rFonts w:ascii="Verdana" w:eastAsia="Verdana" w:hAnsi="Verdana" w:cs="Arial"/>
          <w:color w:val="000000" w:themeColor="text1"/>
          <w:sz w:val="18"/>
          <w:szCs w:val="18"/>
        </w:rPr>
        <w:fldChar w:fldCharType="separate"/>
      </w:r>
      <w:r w:rsidR="0078027F">
        <w:rPr>
          <w:rFonts w:ascii="Verdana" w:eastAsia="Verdana" w:hAnsi="Verdana" w:cs="Arial"/>
          <w:noProof/>
          <w:color w:val="000000" w:themeColor="text1"/>
          <w:sz w:val="18"/>
          <w:szCs w:val="18"/>
        </w:rPr>
        <w:t>27</w:t>
      </w:r>
      <w:r w:rsidRPr="007C3161">
        <w:rPr>
          <w:rFonts w:ascii="Verdana" w:eastAsia="Verdana" w:hAnsi="Verdana" w:cs="Arial"/>
          <w:color w:val="000000" w:themeColor="text1"/>
          <w:sz w:val="18"/>
          <w:szCs w:val="18"/>
        </w:rPr>
        <w:fldChar w:fldCharType="end"/>
      </w:r>
      <w:r w:rsidRPr="007C3161">
        <w:rPr>
          <w:rFonts w:ascii="Verdana" w:eastAsia="Verdana" w:hAnsi="Verdana" w:cs="Arial"/>
          <w:color w:val="000000" w:themeColor="text1"/>
          <w:sz w:val="18"/>
          <w:szCs w:val="18"/>
        </w:rPr>
        <w:t>. Detalle de las principales acciones del indicador C.238</w:t>
      </w:r>
      <w:bookmarkEnd w:id="30"/>
    </w:p>
    <w:tbl>
      <w:tblPr>
        <w:tblStyle w:val="Tablaconcuadrcula"/>
        <w:tblW w:w="0" w:type="auto"/>
        <w:jc w:val="cente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2875"/>
        <w:gridCol w:w="2875"/>
        <w:gridCol w:w="2875"/>
      </w:tblGrid>
      <w:tr w:rsidR="33167E86" w:rsidRPr="00AB06F3" w14:paraId="0E46AAC5" w14:textId="77777777" w:rsidTr="000111B5">
        <w:trPr>
          <w:trHeight w:val="306"/>
          <w:jc w:val="center"/>
        </w:trPr>
        <w:tc>
          <w:tcPr>
            <w:tcW w:w="2875" w:type="dxa"/>
            <w:tcMar>
              <w:left w:w="108" w:type="dxa"/>
              <w:right w:w="108" w:type="dxa"/>
            </w:tcMar>
          </w:tcPr>
          <w:p w14:paraId="17FE788A" w14:textId="5B7CCF71" w:rsidR="33167E86" w:rsidRPr="00D23BCC" w:rsidRDefault="33167E86" w:rsidP="00D23BCC">
            <w:pPr>
              <w:spacing w:line="276" w:lineRule="auto"/>
              <w:jc w:val="center"/>
              <w:rPr>
                <w:rFonts w:ascii="Verdana" w:hAnsi="Verdana" w:cs="Arial"/>
                <w:b/>
                <w:bCs/>
              </w:rPr>
            </w:pPr>
            <w:r w:rsidRPr="00D23BCC">
              <w:rPr>
                <w:rFonts w:ascii="Verdana" w:eastAsia="Verdana" w:hAnsi="Verdana" w:cs="Arial"/>
                <w:b/>
                <w:bCs/>
                <w:color w:val="000000" w:themeColor="text1"/>
                <w:sz w:val="18"/>
                <w:szCs w:val="18"/>
              </w:rPr>
              <w:t>Indicador del PMI</w:t>
            </w:r>
          </w:p>
        </w:tc>
        <w:tc>
          <w:tcPr>
            <w:tcW w:w="2875" w:type="dxa"/>
            <w:tcMar>
              <w:left w:w="108" w:type="dxa"/>
              <w:right w:w="108" w:type="dxa"/>
            </w:tcMar>
          </w:tcPr>
          <w:p w14:paraId="79B58094" w14:textId="7D446DBB" w:rsidR="33167E86" w:rsidRPr="00D23BCC" w:rsidRDefault="33167E86" w:rsidP="00D23BCC">
            <w:pPr>
              <w:spacing w:line="276" w:lineRule="auto"/>
              <w:jc w:val="center"/>
              <w:rPr>
                <w:rFonts w:ascii="Verdana" w:hAnsi="Verdana" w:cs="Arial"/>
                <w:b/>
                <w:bCs/>
              </w:rPr>
            </w:pPr>
            <w:r w:rsidRPr="00D23BCC">
              <w:rPr>
                <w:rFonts w:ascii="Verdana" w:eastAsia="Verdana" w:hAnsi="Verdana" w:cs="Arial"/>
                <w:b/>
                <w:bCs/>
                <w:color w:val="000000" w:themeColor="text1"/>
                <w:sz w:val="18"/>
                <w:szCs w:val="18"/>
              </w:rPr>
              <w:t>Principales Logros</w:t>
            </w:r>
          </w:p>
        </w:tc>
        <w:tc>
          <w:tcPr>
            <w:tcW w:w="2875" w:type="dxa"/>
            <w:tcMar>
              <w:left w:w="108" w:type="dxa"/>
              <w:right w:w="108" w:type="dxa"/>
            </w:tcMar>
          </w:tcPr>
          <w:p w14:paraId="1EC963D6" w14:textId="1F31B38F" w:rsidR="33167E86" w:rsidRPr="00D23BCC" w:rsidRDefault="33167E86" w:rsidP="00D23BCC">
            <w:pPr>
              <w:spacing w:line="276" w:lineRule="auto"/>
              <w:jc w:val="center"/>
              <w:rPr>
                <w:rFonts w:ascii="Verdana" w:hAnsi="Verdana" w:cs="Arial"/>
                <w:b/>
                <w:bCs/>
              </w:rPr>
            </w:pPr>
            <w:r w:rsidRPr="00D23BCC">
              <w:rPr>
                <w:rFonts w:ascii="Verdana" w:eastAsia="Verdana" w:hAnsi="Verdana" w:cs="Arial"/>
                <w:b/>
                <w:bCs/>
                <w:color w:val="000000" w:themeColor="text1"/>
                <w:sz w:val="18"/>
                <w:szCs w:val="18"/>
              </w:rPr>
              <w:t>Recursos 202</w:t>
            </w:r>
            <w:r w:rsidR="00941EDC">
              <w:rPr>
                <w:rFonts w:ascii="Verdana" w:eastAsia="Verdana" w:hAnsi="Verdana" w:cs="Arial"/>
                <w:b/>
                <w:bCs/>
                <w:color w:val="000000" w:themeColor="text1"/>
                <w:sz w:val="18"/>
                <w:szCs w:val="18"/>
              </w:rPr>
              <w:t>5</w:t>
            </w:r>
          </w:p>
        </w:tc>
      </w:tr>
      <w:tr w:rsidR="33167E86" w:rsidRPr="00AB06F3" w14:paraId="3435D611" w14:textId="77777777" w:rsidTr="000111B5">
        <w:trPr>
          <w:trHeight w:val="306"/>
          <w:jc w:val="center"/>
        </w:trPr>
        <w:tc>
          <w:tcPr>
            <w:tcW w:w="2875" w:type="dxa"/>
            <w:tcMar>
              <w:left w:w="108" w:type="dxa"/>
              <w:right w:w="108" w:type="dxa"/>
            </w:tcMar>
          </w:tcPr>
          <w:p w14:paraId="2CEA2B71" w14:textId="2450F308" w:rsidR="33167E86" w:rsidRPr="00AB06F3" w:rsidRDefault="33167E86" w:rsidP="002C74D3">
            <w:pPr>
              <w:spacing w:line="276" w:lineRule="auto"/>
              <w:jc w:val="both"/>
              <w:rPr>
                <w:rFonts w:ascii="Verdana" w:hAnsi="Verdana" w:cs="Arial"/>
              </w:rPr>
            </w:pPr>
            <w:r w:rsidRPr="00AB06F3">
              <w:rPr>
                <w:rFonts w:ascii="Verdana" w:eastAsia="Verdana" w:hAnsi="Verdana" w:cs="Arial"/>
                <w:sz w:val="18"/>
                <w:szCs w:val="18"/>
              </w:rPr>
              <w:t>C.238 Porcentaje de integrantes de FARC- EP acreditados con proyecto productivo individual o colectivo viabilizado con apoyo económico entregado</w:t>
            </w:r>
            <w:r w:rsidRPr="00AB06F3">
              <w:rPr>
                <w:rFonts w:ascii="Verdana" w:eastAsia="Verdana" w:hAnsi="Verdana" w:cs="Arial"/>
                <w:color w:val="000000" w:themeColor="text1"/>
                <w:sz w:val="18"/>
                <w:szCs w:val="18"/>
              </w:rPr>
              <w:t xml:space="preserve"> </w:t>
            </w:r>
          </w:p>
        </w:tc>
        <w:tc>
          <w:tcPr>
            <w:tcW w:w="2875" w:type="dxa"/>
            <w:tcMar>
              <w:left w:w="108" w:type="dxa"/>
              <w:right w:w="108" w:type="dxa"/>
            </w:tcMar>
          </w:tcPr>
          <w:p w14:paraId="6BF9E1FA" w14:textId="18A63AF3" w:rsidR="33167E86" w:rsidRPr="008B0DC9" w:rsidRDefault="33167E86" w:rsidP="002C74D3">
            <w:pPr>
              <w:spacing w:line="276" w:lineRule="auto"/>
              <w:jc w:val="both"/>
              <w:rPr>
                <w:rFonts w:ascii="Verdana" w:hAnsi="Verdana" w:cs="Arial"/>
              </w:rPr>
            </w:pPr>
            <w:r w:rsidRPr="008B0DC9">
              <w:rPr>
                <w:rFonts w:ascii="Verdana" w:eastAsia="Verdana" w:hAnsi="Verdana" w:cs="Arial"/>
                <w:color w:val="000000" w:themeColor="text1"/>
                <w:sz w:val="18"/>
                <w:szCs w:val="18"/>
              </w:rPr>
              <w:t xml:space="preserve">Desembolso a </w:t>
            </w:r>
            <w:r w:rsidR="006B6E88">
              <w:rPr>
                <w:rFonts w:ascii="Verdana" w:eastAsia="Verdana" w:hAnsi="Verdana" w:cs="Arial"/>
                <w:color w:val="000000" w:themeColor="text1"/>
                <w:sz w:val="18"/>
                <w:szCs w:val="18"/>
              </w:rPr>
              <w:t>115</w:t>
            </w:r>
            <w:r w:rsidRPr="008B0DC9">
              <w:rPr>
                <w:rFonts w:ascii="Verdana" w:eastAsia="Verdana" w:hAnsi="Verdana" w:cs="Arial"/>
                <w:color w:val="000000" w:themeColor="text1"/>
                <w:sz w:val="18"/>
                <w:szCs w:val="18"/>
              </w:rPr>
              <w:t xml:space="preserve"> proyectos productivos de carácter individual y </w:t>
            </w:r>
            <w:r w:rsidR="006B6E88">
              <w:rPr>
                <w:rFonts w:ascii="Verdana" w:eastAsia="Verdana" w:hAnsi="Verdana" w:cs="Arial"/>
                <w:color w:val="000000" w:themeColor="text1"/>
                <w:sz w:val="18"/>
                <w:szCs w:val="18"/>
              </w:rPr>
              <w:t>1</w:t>
            </w:r>
            <w:r w:rsidRPr="008B0DC9">
              <w:rPr>
                <w:rFonts w:ascii="Verdana" w:eastAsia="Verdana" w:hAnsi="Verdana" w:cs="Arial"/>
                <w:color w:val="000000" w:themeColor="text1"/>
                <w:sz w:val="18"/>
                <w:szCs w:val="18"/>
              </w:rPr>
              <w:t xml:space="preserve"> proyecto productivo</w:t>
            </w:r>
            <w:r w:rsidR="00337996">
              <w:rPr>
                <w:rFonts w:ascii="Verdana" w:eastAsia="Verdana" w:hAnsi="Verdana" w:cs="Arial"/>
                <w:color w:val="000000" w:themeColor="text1"/>
                <w:sz w:val="18"/>
                <w:szCs w:val="18"/>
              </w:rPr>
              <w:t xml:space="preserve"> </w:t>
            </w:r>
            <w:r w:rsidRPr="008B0DC9">
              <w:rPr>
                <w:rFonts w:ascii="Verdana" w:eastAsia="Verdana" w:hAnsi="Verdana" w:cs="Arial"/>
                <w:color w:val="000000" w:themeColor="text1"/>
                <w:sz w:val="18"/>
                <w:szCs w:val="18"/>
              </w:rPr>
              <w:t>colectivo</w:t>
            </w:r>
          </w:p>
        </w:tc>
        <w:tc>
          <w:tcPr>
            <w:tcW w:w="2875" w:type="dxa"/>
            <w:tcMar>
              <w:left w:w="108" w:type="dxa"/>
              <w:right w:w="108" w:type="dxa"/>
            </w:tcMar>
          </w:tcPr>
          <w:p w14:paraId="7EBAE3FD" w14:textId="5F1ABD39" w:rsidR="33167E86" w:rsidRPr="008B0DC9" w:rsidRDefault="33167E86" w:rsidP="002C74D3">
            <w:pPr>
              <w:spacing w:line="276" w:lineRule="auto"/>
              <w:jc w:val="both"/>
              <w:rPr>
                <w:rFonts w:ascii="Verdana" w:hAnsi="Verdana" w:cs="Arial"/>
              </w:rPr>
            </w:pPr>
            <w:r w:rsidRPr="008B0DC9">
              <w:rPr>
                <w:rFonts w:ascii="Verdana" w:eastAsia="Verdana" w:hAnsi="Verdana" w:cs="Arial"/>
                <w:color w:val="000000" w:themeColor="text1"/>
                <w:sz w:val="18"/>
                <w:szCs w:val="18"/>
              </w:rPr>
              <w:t>$</w:t>
            </w:r>
            <w:r w:rsidR="006B6E88" w:rsidRPr="006B6E88">
              <w:rPr>
                <w:rFonts w:ascii="Verdana" w:eastAsia="Verdana" w:hAnsi="Verdana" w:cs="Arial"/>
                <w:color w:val="000000" w:themeColor="text1"/>
                <w:sz w:val="18"/>
                <w:szCs w:val="18"/>
              </w:rPr>
              <w:t>1.063.947.761</w:t>
            </w:r>
            <w:r w:rsidRPr="008B0DC9">
              <w:rPr>
                <w:rFonts w:ascii="Verdana" w:eastAsia="Verdana" w:hAnsi="Verdana" w:cs="Arial"/>
                <w:color w:val="000000" w:themeColor="text1"/>
                <w:sz w:val="18"/>
                <w:szCs w:val="18"/>
              </w:rPr>
              <w:t xml:space="preserve"> </w:t>
            </w:r>
            <w:r w:rsidR="000206C8">
              <w:rPr>
                <w:rFonts w:ascii="Verdana" w:eastAsia="Verdana" w:hAnsi="Verdana" w:cs="Arial"/>
                <w:color w:val="000000" w:themeColor="text1"/>
                <w:sz w:val="18"/>
                <w:szCs w:val="18"/>
              </w:rPr>
              <w:t xml:space="preserve">del </w:t>
            </w:r>
            <w:r w:rsidRPr="008B0DC9">
              <w:rPr>
                <w:rFonts w:ascii="Verdana" w:eastAsia="Verdana" w:hAnsi="Verdana" w:cs="Arial"/>
                <w:color w:val="000000" w:themeColor="text1"/>
                <w:sz w:val="18"/>
                <w:szCs w:val="18"/>
              </w:rPr>
              <w:t>Presupuesto General de la Nación</w:t>
            </w:r>
          </w:p>
        </w:tc>
      </w:tr>
    </w:tbl>
    <w:p w14:paraId="1896EB4F"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511600A" w14:textId="7C48218D" w:rsidR="00B709EF" w:rsidRPr="00AB06F3" w:rsidRDefault="00B709EF" w:rsidP="00C25586">
      <w:pPr>
        <w:spacing w:after="0" w:line="276" w:lineRule="auto"/>
        <w:ind w:left="360"/>
        <w:jc w:val="both"/>
        <w:rPr>
          <w:rFonts w:ascii="Verdana" w:hAnsi="Verdana" w:cs="Arial"/>
        </w:rPr>
      </w:pPr>
    </w:p>
    <w:p w14:paraId="17C258F7" w14:textId="2391FBF7" w:rsidR="00B709EF" w:rsidRPr="00AB06F3" w:rsidRDefault="750A6E49"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b)</w:t>
      </w:r>
      <w:r w:rsidRPr="00AB06F3">
        <w:rPr>
          <w:rFonts w:ascii="Verdana" w:eastAsia="Times New Roman" w:hAnsi="Verdana" w:cs="Arial"/>
          <w:color w:val="000000" w:themeColor="text1"/>
          <w:sz w:val="14"/>
          <w:szCs w:val="14"/>
        </w:rPr>
        <w:t xml:space="preserve">   </w:t>
      </w:r>
      <w:r w:rsidRPr="00AB06F3">
        <w:rPr>
          <w:rFonts w:ascii="Verdana" w:eastAsia="Verdana" w:hAnsi="Verdana" w:cs="Arial"/>
          <w:color w:val="000000" w:themeColor="text1"/>
          <w:sz w:val="24"/>
          <w:szCs w:val="24"/>
        </w:rPr>
        <w:t xml:space="preserve">Regionalización de las acciones y beneficiarios: </w:t>
      </w:r>
    </w:p>
    <w:p w14:paraId="27A57B01" w14:textId="77777777" w:rsidR="00EC7980" w:rsidRPr="00AB06F3" w:rsidRDefault="00EC7980" w:rsidP="00C25586">
      <w:pPr>
        <w:spacing w:after="0" w:line="276" w:lineRule="auto"/>
        <w:jc w:val="center"/>
        <w:rPr>
          <w:rFonts w:ascii="Verdana" w:eastAsia="Verdana" w:hAnsi="Verdana" w:cs="Arial"/>
          <w:color w:val="000000" w:themeColor="text1"/>
          <w:sz w:val="18"/>
          <w:szCs w:val="18"/>
        </w:rPr>
      </w:pPr>
    </w:p>
    <w:p w14:paraId="361C2F5E" w14:textId="5AA77C82" w:rsidR="006B6E88" w:rsidRPr="00870EB1" w:rsidRDefault="006B6E88" w:rsidP="00870EB1">
      <w:pPr>
        <w:pStyle w:val="Descripcin"/>
        <w:keepNext/>
        <w:jc w:val="center"/>
        <w:rPr>
          <w:rFonts w:ascii="Verdana" w:eastAsia="Verdana" w:hAnsi="Verdana" w:cs="Arial"/>
          <w:i w:val="0"/>
          <w:iCs w:val="0"/>
          <w:color w:val="auto"/>
        </w:rPr>
      </w:pPr>
      <w:bookmarkStart w:id="31" w:name="_Toc225283140"/>
      <w:r w:rsidRPr="00870EB1">
        <w:rPr>
          <w:rFonts w:ascii="Verdana" w:eastAsia="Verdana" w:hAnsi="Verdana" w:cs="Arial"/>
          <w:i w:val="0"/>
          <w:iCs w:val="0"/>
          <w:color w:val="auto"/>
        </w:rPr>
        <w:lastRenderedPageBreak/>
        <w:t xml:space="preserve">Tabla </w:t>
      </w:r>
      <w:r w:rsidR="009F1B80" w:rsidRPr="00870EB1">
        <w:rPr>
          <w:rFonts w:ascii="Verdana" w:eastAsia="Verdana" w:hAnsi="Verdana" w:cs="Arial"/>
          <w:i w:val="0"/>
          <w:iCs w:val="0"/>
          <w:color w:val="auto"/>
        </w:rPr>
        <w:fldChar w:fldCharType="begin"/>
      </w:r>
      <w:r w:rsidR="009F1B80" w:rsidRPr="00870EB1">
        <w:rPr>
          <w:rFonts w:ascii="Verdana" w:eastAsia="Verdana" w:hAnsi="Verdana" w:cs="Arial"/>
          <w:i w:val="0"/>
          <w:iCs w:val="0"/>
          <w:color w:val="auto"/>
        </w:rPr>
        <w:instrText xml:space="preserve"> SEQ Tabla \* ARABIC </w:instrText>
      </w:r>
      <w:r w:rsidR="009F1B80" w:rsidRPr="00870EB1">
        <w:rPr>
          <w:rFonts w:ascii="Verdana" w:eastAsia="Verdana" w:hAnsi="Verdana" w:cs="Arial"/>
          <w:i w:val="0"/>
          <w:iCs w:val="0"/>
          <w:color w:val="auto"/>
        </w:rPr>
        <w:fldChar w:fldCharType="separate"/>
      </w:r>
      <w:r w:rsidR="0078027F">
        <w:rPr>
          <w:rFonts w:ascii="Verdana" w:eastAsia="Verdana" w:hAnsi="Verdana" w:cs="Arial"/>
          <w:i w:val="0"/>
          <w:iCs w:val="0"/>
          <w:noProof/>
          <w:color w:val="auto"/>
        </w:rPr>
        <w:t>28</w:t>
      </w:r>
      <w:r w:rsidR="009F1B80" w:rsidRPr="00870EB1">
        <w:rPr>
          <w:rFonts w:ascii="Verdana" w:eastAsia="Verdana" w:hAnsi="Verdana" w:cs="Arial"/>
          <w:i w:val="0"/>
          <w:iCs w:val="0"/>
          <w:color w:val="auto"/>
        </w:rPr>
        <w:fldChar w:fldCharType="end"/>
      </w:r>
      <w:r w:rsidRPr="00870EB1">
        <w:rPr>
          <w:rFonts w:ascii="Verdana" w:eastAsia="Verdana" w:hAnsi="Verdana" w:cs="Arial"/>
          <w:i w:val="0"/>
          <w:iCs w:val="0"/>
          <w:color w:val="auto"/>
        </w:rPr>
        <w:t>. Regionalización de las acciones del indicador C.238</w:t>
      </w:r>
      <w:bookmarkEnd w:id="31"/>
    </w:p>
    <w:tbl>
      <w:tblPr>
        <w:tblStyle w:val="Tablaconcuadrcula1clara-nfasis4"/>
        <w:tblW w:w="0" w:type="auto"/>
        <w:jc w:val="center"/>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tblBorders>
        <w:tblLayout w:type="fixed"/>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1833"/>
        <w:gridCol w:w="1995"/>
        <w:gridCol w:w="1201"/>
        <w:gridCol w:w="1230"/>
        <w:gridCol w:w="2095"/>
      </w:tblGrid>
      <w:tr w:rsidR="33167E86" w:rsidRPr="00AB06F3" w14:paraId="3BEC7081" w14:textId="77777777" w:rsidTr="000111B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vAlign w:val="center"/>
          </w:tcPr>
          <w:p w14:paraId="3238DE07" w14:textId="70ED2FB2" w:rsidR="33167E86" w:rsidRPr="00AB06F3" w:rsidRDefault="33167E86" w:rsidP="00C25586">
            <w:pPr>
              <w:spacing w:line="276" w:lineRule="auto"/>
              <w:jc w:val="center"/>
              <w:rPr>
                <w:rFonts w:ascii="Verdana" w:hAnsi="Verdana" w:cs="Arial"/>
              </w:rPr>
            </w:pPr>
            <w:r w:rsidRPr="00AB06F3">
              <w:rPr>
                <w:rFonts w:ascii="Verdana" w:eastAsia="Verdana" w:hAnsi="Verdana" w:cs="Arial"/>
                <w:color w:val="000000" w:themeColor="text1"/>
                <w:sz w:val="18"/>
                <w:szCs w:val="18"/>
              </w:rPr>
              <w:t>Indicador del PMI</w:t>
            </w:r>
          </w:p>
        </w:tc>
        <w:tc>
          <w:tcPr>
            <w:tcW w:w="1995" w:type="dxa"/>
            <w:tcMar>
              <w:left w:w="108" w:type="dxa"/>
              <w:right w:w="108" w:type="dxa"/>
            </w:tcMar>
            <w:vAlign w:val="center"/>
          </w:tcPr>
          <w:p w14:paraId="270A44DD" w14:textId="4ACBEE24"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Departamento</w:t>
            </w:r>
          </w:p>
        </w:tc>
        <w:tc>
          <w:tcPr>
            <w:tcW w:w="1201" w:type="dxa"/>
            <w:tcMar>
              <w:left w:w="108" w:type="dxa"/>
              <w:right w:w="108" w:type="dxa"/>
            </w:tcMar>
            <w:vAlign w:val="center"/>
          </w:tcPr>
          <w:p w14:paraId="2AB2AA76" w14:textId="3E7AD2D8"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Municipio</w:t>
            </w:r>
          </w:p>
        </w:tc>
        <w:tc>
          <w:tcPr>
            <w:tcW w:w="1230" w:type="dxa"/>
            <w:tcMar>
              <w:left w:w="108" w:type="dxa"/>
              <w:right w:w="108" w:type="dxa"/>
            </w:tcMar>
            <w:vAlign w:val="center"/>
          </w:tcPr>
          <w:p w14:paraId="5B2164E4" w14:textId="39F1AC2A"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Total Población Beneficiada</w:t>
            </w:r>
          </w:p>
        </w:tc>
        <w:tc>
          <w:tcPr>
            <w:tcW w:w="2095" w:type="dxa"/>
            <w:tcMar>
              <w:left w:w="108" w:type="dxa"/>
              <w:right w:w="108" w:type="dxa"/>
            </w:tcMar>
            <w:vAlign w:val="center"/>
          </w:tcPr>
          <w:p w14:paraId="378FED60" w14:textId="6DA59875" w:rsidR="33167E86" w:rsidRPr="00AB06F3" w:rsidRDefault="6041069D"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 w:val="0"/>
                <w:bCs w:val="0"/>
                <w:color w:val="0563C1"/>
                <w:sz w:val="18"/>
                <w:szCs w:val="18"/>
                <w:u w:val="single"/>
                <w:vertAlign w:val="superscript"/>
              </w:rPr>
            </w:pPr>
            <w:r w:rsidRPr="00AB06F3">
              <w:rPr>
                <w:rFonts w:ascii="Verdana" w:eastAsia="Verdana" w:hAnsi="Verdana" w:cs="Arial"/>
                <w:sz w:val="18"/>
                <w:szCs w:val="18"/>
              </w:rPr>
              <w:t>Clasificación poblacional</w:t>
            </w:r>
          </w:p>
        </w:tc>
      </w:tr>
      <w:tr w:rsidR="33167E86" w:rsidRPr="00AB06F3" w14:paraId="269CA837" w14:textId="77777777" w:rsidTr="000111B5">
        <w:trPr>
          <w:trHeight w:val="300"/>
          <w:jc w:val="center"/>
        </w:trPr>
        <w:tc>
          <w:tcPr>
            <w:cnfStyle w:val="001000000000" w:firstRow="0" w:lastRow="0" w:firstColumn="1" w:lastColumn="0" w:oddVBand="0" w:evenVBand="0" w:oddHBand="0" w:evenHBand="0" w:firstRowFirstColumn="0" w:firstRowLastColumn="0" w:lastRowFirstColumn="0" w:lastRowLastColumn="0"/>
            <w:tcW w:w="1833" w:type="dxa"/>
            <w:tcMar>
              <w:left w:w="108" w:type="dxa"/>
              <w:right w:w="108" w:type="dxa"/>
            </w:tcMar>
          </w:tcPr>
          <w:p w14:paraId="1A7BDC0F" w14:textId="48DBE748" w:rsidR="33167E86" w:rsidRPr="00AB06F3" w:rsidRDefault="6ABA45E6" w:rsidP="002C74D3">
            <w:pPr>
              <w:spacing w:line="276" w:lineRule="auto"/>
              <w:jc w:val="both"/>
              <w:rPr>
                <w:rFonts w:ascii="Verdana" w:eastAsia="Verdana" w:hAnsi="Verdana" w:cs="Arial"/>
                <w:b w:val="0"/>
                <w:bCs w:val="0"/>
                <w:color w:val="000000" w:themeColor="text1"/>
                <w:sz w:val="18"/>
                <w:szCs w:val="18"/>
              </w:rPr>
            </w:pPr>
            <w:r w:rsidRPr="00AB06F3">
              <w:rPr>
                <w:rFonts w:ascii="Verdana" w:eastAsia="Verdana" w:hAnsi="Verdana" w:cs="Arial"/>
                <w:b w:val="0"/>
                <w:bCs w:val="0"/>
                <w:color w:val="000000" w:themeColor="text1"/>
                <w:sz w:val="18"/>
                <w:szCs w:val="18"/>
              </w:rPr>
              <w:t xml:space="preserve">C.238 Porcentaje de integrantes de FARC- EP acreditados con proyecto productivo individual o colectivo viabilizado con apoyo económico entregado  </w:t>
            </w:r>
          </w:p>
        </w:tc>
        <w:tc>
          <w:tcPr>
            <w:tcW w:w="1995" w:type="dxa"/>
            <w:tcMar>
              <w:left w:w="108" w:type="dxa"/>
              <w:right w:w="108" w:type="dxa"/>
            </w:tcMar>
            <w:vAlign w:val="center"/>
          </w:tcPr>
          <w:p w14:paraId="0BC78C29" w14:textId="36394174" w:rsidR="33167E86" w:rsidRPr="00AB06F3" w:rsidRDefault="33167E8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Ver detalle en formato de desagregación del SIIPO</w:t>
            </w:r>
          </w:p>
        </w:tc>
        <w:tc>
          <w:tcPr>
            <w:tcW w:w="1201" w:type="dxa"/>
            <w:tcMar>
              <w:left w:w="108" w:type="dxa"/>
              <w:right w:w="108" w:type="dxa"/>
            </w:tcMar>
            <w:vAlign w:val="center"/>
          </w:tcPr>
          <w:p w14:paraId="61CFF37A" w14:textId="77645084" w:rsidR="33167E86" w:rsidRPr="00AB06F3" w:rsidRDefault="33167E8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Ver detalle en formato de desagregación del SIIPO</w:t>
            </w:r>
          </w:p>
          <w:p w14:paraId="1080C29B" w14:textId="11E6EEA5" w:rsidR="33167E86" w:rsidRPr="00AB06F3" w:rsidRDefault="33167E8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 xml:space="preserve"> </w:t>
            </w:r>
          </w:p>
        </w:tc>
        <w:tc>
          <w:tcPr>
            <w:tcW w:w="1230" w:type="dxa"/>
            <w:tcMar>
              <w:left w:w="108" w:type="dxa"/>
              <w:right w:w="108" w:type="dxa"/>
            </w:tcMar>
            <w:vAlign w:val="center"/>
          </w:tcPr>
          <w:p w14:paraId="2A71BD20" w14:textId="1DAC06B5" w:rsidR="33167E86" w:rsidRPr="00AB06F3" w:rsidRDefault="00AB235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139 personas</w:t>
            </w:r>
          </w:p>
          <w:p w14:paraId="5DA27F7D" w14:textId="77777777"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63CF77DE" w14:textId="77777777"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27C5C30C" w14:textId="77777777"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4FB8D3B4" w14:textId="77777777"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1362DE85" w14:textId="239E147F" w:rsidR="002669C5" w:rsidRPr="00AB06F3" w:rsidRDefault="002669C5"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tc>
        <w:tc>
          <w:tcPr>
            <w:tcW w:w="2095" w:type="dxa"/>
            <w:tcMar>
              <w:left w:w="108" w:type="dxa"/>
              <w:right w:w="108" w:type="dxa"/>
            </w:tcMar>
            <w:vAlign w:val="center"/>
          </w:tcPr>
          <w:p w14:paraId="03C74A62" w14:textId="316A5E5C" w:rsidR="33167E86" w:rsidRPr="00AB06F3" w:rsidRDefault="00AB235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sz w:val="18"/>
                <w:szCs w:val="18"/>
              </w:rPr>
              <w:t>28</w:t>
            </w:r>
            <w:r w:rsidR="33167E86" w:rsidRPr="00AB06F3">
              <w:rPr>
                <w:rFonts w:ascii="Verdana" w:eastAsia="Verdana" w:hAnsi="Verdana" w:cs="Arial"/>
                <w:sz w:val="18"/>
                <w:szCs w:val="18"/>
              </w:rPr>
              <w:t xml:space="preserve"> mujeres</w:t>
            </w:r>
          </w:p>
          <w:p w14:paraId="61B25780" w14:textId="5361C591" w:rsidR="33167E86" w:rsidRPr="00AB06F3" w:rsidRDefault="00AB2356" w:rsidP="002C74D3">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sz w:val="18"/>
                <w:szCs w:val="18"/>
              </w:rPr>
              <w:t>111</w:t>
            </w:r>
            <w:r w:rsidR="33167E86" w:rsidRPr="00AB06F3">
              <w:rPr>
                <w:rFonts w:ascii="Verdana" w:eastAsia="Verdana" w:hAnsi="Verdana" w:cs="Arial"/>
                <w:sz w:val="18"/>
                <w:szCs w:val="18"/>
              </w:rPr>
              <w:t xml:space="preserve"> hombres</w:t>
            </w:r>
          </w:p>
          <w:p w14:paraId="527542B1" w14:textId="1E7C2799" w:rsidR="00AB2356" w:rsidRPr="00306E83" w:rsidRDefault="00306E83" w:rsidP="00306E83">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Pr>
                <w:rFonts w:ascii="Verdana" w:eastAsia="Verdana" w:hAnsi="Verdana" w:cs="Arial"/>
                <w:sz w:val="18"/>
                <w:szCs w:val="18"/>
              </w:rPr>
              <w:t>11</w:t>
            </w:r>
            <w:r w:rsidR="33167E86" w:rsidRPr="00AB06F3">
              <w:rPr>
                <w:rFonts w:ascii="Verdana" w:eastAsia="Verdana" w:hAnsi="Verdana" w:cs="Arial"/>
                <w:sz w:val="18"/>
                <w:szCs w:val="18"/>
              </w:rPr>
              <w:t xml:space="preserve"> personas </w:t>
            </w:r>
            <w:r w:rsidR="008B0DC9">
              <w:rPr>
                <w:rFonts w:ascii="Verdana" w:eastAsia="Verdana" w:hAnsi="Verdana" w:cs="Arial"/>
                <w:sz w:val="18"/>
                <w:szCs w:val="18"/>
              </w:rPr>
              <w:t>pertenecen a c</w:t>
            </w:r>
            <w:r w:rsidR="33167E86" w:rsidRPr="00AB06F3">
              <w:rPr>
                <w:rFonts w:ascii="Verdana" w:eastAsia="Verdana" w:hAnsi="Verdana" w:cs="Arial"/>
                <w:sz w:val="18"/>
                <w:szCs w:val="18"/>
              </w:rPr>
              <w:t>omunidades Negras, Afrocolombianas, Raizales y Palenqueras</w:t>
            </w:r>
            <w:r w:rsidR="008B0DC9">
              <w:rPr>
                <w:rFonts w:ascii="Verdana" w:eastAsia="Verdana" w:hAnsi="Verdana" w:cs="Arial"/>
                <w:sz w:val="18"/>
                <w:szCs w:val="18"/>
              </w:rPr>
              <w:t xml:space="preserve">, </w:t>
            </w:r>
            <w:r>
              <w:rPr>
                <w:rFonts w:ascii="Verdana" w:eastAsia="Verdana" w:hAnsi="Verdana" w:cs="Arial"/>
                <w:sz w:val="18"/>
                <w:szCs w:val="18"/>
              </w:rPr>
              <w:t>18</w:t>
            </w:r>
            <w:r w:rsidR="33167E86" w:rsidRPr="00AB06F3">
              <w:rPr>
                <w:rFonts w:ascii="Verdana" w:eastAsia="Verdana" w:hAnsi="Verdana" w:cs="Arial"/>
                <w:sz w:val="18"/>
                <w:szCs w:val="18"/>
              </w:rPr>
              <w:t xml:space="preserve"> personas son indígenas</w:t>
            </w:r>
            <w:r w:rsidR="008B0DC9">
              <w:rPr>
                <w:rFonts w:ascii="Verdana" w:eastAsia="Verdana" w:hAnsi="Verdana" w:cs="Arial"/>
                <w:sz w:val="18"/>
                <w:szCs w:val="18"/>
              </w:rPr>
              <w:t xml:space="preserve">, </w:t>
            </w:r>
            <w:r w:rsidR="00E07ABE">
              <w:rPr>
                <w:rFonts w:ascii="Verdana" w:eastAsia="Verdana" w:hAnsi="Verdana" w:cs="Arial"/>
                <w:sz w:val="18"/>
                <w:szCs w:val="18"/>
              </w:rPr>
              <w:t>8</w:t>
            </w:r>
            <w:r w:rsidR="33167E86" w:rsidRPr="00AB06F3">
              <w:rPr>
                <w:rFonts w:ascii="Verdana" w:eastAsia="Verdana" w:hAnsi="Verdana" w:cs="Arial"/>
                <w:sz w:val="18"/>
                <w:szCs w:val="18"/>
              </w:rPr>
              <w:t xml:space="preserve"> personas con discapacidad</w:t>
            </w:r>
          </w:p>
        </w:tc>
      </w:tr>
    </w:tbl>
    <w:p w14:paraId="2F94A002"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746019D" w14:textId="6EC51622" w:rsidR="68F5C2D7" w:rsidRPr="00AB06F3" w:rsidRDefault="6E4B092A" w:rsidP="00C25586">
      <w:pPr>
        <w:spacing w:after="0" w:line="276" w:lineRule="auto"/>
        <w:jc w:val="center"/>
        <w:rPr>
          <w:rFonts w:ascii="Verdana" w:hAnsi="Verdana" w:cs="Arial"/>
        </w:rPr>
      </w:pPr>
      <w:r w:rsidRPr="00AB06F3">
        <w:rPr>
          <w:rFonts w:ascii="Verdana" w:eastAsia="Verdana" w:hAnsi="Verdana" w:cs="Arial"/>
          <w:sz w:val="18"/>
          <w:szCs w:val="18"/>
        </w:rPr>
        <w:t>(Ver desagregación territorial que se reporta a SIIPO en el siguiente link</w:t>
      </w:r>
      <w:r w:rsidRPr="00AB06F3">
        <w:rPr>
          <w:rFonts w:ascii="Verdana" w:eastAsia="Verdana" w:hAnsi="Verdana" w:cs="Arial"/>
          <w:color w:val="0563C1"/>
          <w:sz w:val="18"/>
          <w:szCs w:val="18"/>
          <w:u w:val="single"/>
        </w:rPr>
        <w:t xml:space="preserve"> </w:t>
      </w:r>
      <w:hyperlink r:id="rId13">
        <w:r w:rsidR="4594A25B" w:rsidRPr="00AB06F3">
          <w:rPr>
            <w:rStyle w:val="Hipervnculo"/>
            <w:rFonts w:ascii="Verdana" w:eastAsia="Verdana" w:hAnsi="Verdana" w:cs="Arial"/>
            <w:color w:val="0563C1"/>
            <w:sz w:val="18"/>
            <w:szCs w:val="18"/>
          </w:rPr>
          <w:t>https://siipo.dnp.gov.co/detalleindicador/XRbkN6wseg2Pv7Mk</w:t>
        </w:r>
        <w:r w:rsidR="5C0F9D1A" w:rsidRPr="00AB06F3">
          <w:rPr>
            <w:rStyle w:val="Hipervnculo"/>
            <w:rFonts w:ascii="Verdana" w:eastAsia="Verdana" w:hAnsi="Verdana" w:cs="Arial"/>
            <w:color w:val="0563C1"/>
            <w:sz w:val="18"/>
            <w:szCs w:val="18"/>
          </w:rPr>
          <w:t>)</w:t>
        </w:r>
      </w:hyperlink>
      <w:r w:rsidR="4594A25B" w:rsidRPr="00AB06F3">
        <w:rPr>
          <w:rFonts w:ascii="Verdana" w:eastAsia="Verdana" w:hAnsi="Verdana" w:cs="Arial"/>
          <w:sz w:val="18"/>
          <w:szCs w:val="18"/>
        </w:rPr>
        <w:t xml:space="preserve"> </w:t>
      </w:r>
    </w:p>
    <w:p w14:paraId="118403CC" w14:textId="77777777" w:rsidR="002C74D3" w:rsidRDefault="002C74D3" w:rsidP="00C25586">
      <w:pPr>
        <w:spacing w:after="0" w:line="276" w:lineRule="auto"/>
        <w:jc w:val="center"/>
        <w:rPr>
          <w:rFonts w:ascii="Verdana" w:eastAsia="Verdana" w:hAnsi="Verdana" w:cs="Arial"/>
          <w:sz w:val="18"/>
          <w:szCs w:val="18"/>
        </w:rPr>
      </w:pPr>
    </w:p>
    <w:p w14:paraId="06DBC51D" w14:textId="389D5134" w:rsidR="00832F8F" w:rsidRPr="00832F8F" w:rsidRDefault="00832F8F" w:rsidP="00832F8F">
      <w:pPr>
        <w:pStyle w:val="Descripcin"/>
        <w:keepNext/>
        <w:jc w:val="center"/>
        <w:rPr>
          <w:rFonts w:ascii="Verdana" w:eastAsia="Verdana" w:hAnsi="Verdana" w:cs="Arial"/>
          <w:i w:val="0"/>
          <w:iCs w:val="0"/>
          <w:color w:val="auto"/>
        </w:rPr>
      </w:pPr>
      <w:bookmarkStart w:id="32" w:name="_Toc225265049"/>
      <w:r w:rsidRPr="00832F8F">
        <w:rPr>
          <w:rFonts w:ascii="Verdana" w:eastAsia="Verdana" w:hAnsi="Verdana" w:cs="Arial"/>
          <w:i w:val="0"/>
          <w:iCs w:val="0"/>
          <w:color w:val="auto"/>
        </w:rPr>
        <w:t xml:space="preserve">Ilustración </w:t>
      </w:r>
      <w:r w:rsidRPr="00832F8F">
        <w:rPr>
          <w:rFonts w:ascii="Verdana" w:eastAsia="Verdana" w:hAnsi="Verdana" w:cs="Arial"/>
          <w:i w:val="0"/>
          <w:iCs w:val="0"/>
          <w:color w:val="auto"/>
        </w:rPr>
        <w:fldChar w:fldCharType="begin"/>
      </w:r>
      <w:r w:rsidRPr="00832F8F">
        <w:rPr>
          <w:rFonts w:ascii="Verdana" w:eastAsia="Verdana" w:hAnsi="Verdana" w:cs="Arial"/>
          <w:i w:val="0"/>
          <w:iCs w:val="0"/>
          <w:color w:val="auto"/>
        </w:rPr>
        <w:instrText xml:space="preserve"> SEQ Ilustración \* ARABIC </w:instrText>
      </w:r>
      <w:r w:rsidRPr="00832F8F">
        <w:rPr>
          <w:rFonts w:ascii="Verdana" w:eastAsia="Verdana" w:hAnsi="Verdana" w:cs="Arial"/>
          <w:i w:val="0"/>
          <w:iCs w:val="0"/>
          <w:color w:val="auto"/>
        </w:rPr>
        <w:fldChar w:fldCharType="separate"/>
      </w:r>
      <w:r w:rsidR="0078027F">
        <w:rPr>
          <w:rFonts w:ascii="Verdana" w:eastAsia="Verdana" w:hAnsi="Verdana" w:cs="Arial"/>
          <w:i w:val="0"/>
          <w:iCs w:val="0"/>
          <w:noProof/>
          <w:color w:val="auto"/>
        </w:rPr>
        <w:t>1</w:t>
      </w:r>
      <w:r w:rsidRPr="00832F8F">
        <w:rPr>
          <w:rFonts w:ascii="Verdana" w:eastAsia="Verdana" w:hAnsi="Verdana" w:cs="Arial"/>
          <w:i w:val="0"/>
          <w:iCs w:val="0"/>
          <w:color w:val="auto"/>
        </w:rPr>
        <w:fldChar w:fldCharType="end"/>
      </w:r>
      <w:r w:rsidRPr="00832F8F">
        <w:rPr>
          <w:rFonts w:ascii="Verdana" w:eastAsia="Verdana" w:hAnsi="Verdana" w:cs="Arial"/>
          <w:i w:val="0"/>
          <w:iCs w:val="0"/>
          <w:color w:val="auto"/>
        </w:rPr>
        <w:t>. Desagregado de proyectos productivos desembolsados en el 2025 por departamento</w:t>
      </w:r>
      <w:bookmarkEnd w:id="32"/>
    </w:p>
    <w:p w14:paraId="3E506C3D" w14:textId="2A264170" w:rsidR="00B709EF" w:rsidRPr="00AB06F3" w:rsidRDefault="005B1DE9" w:rsidP="00C25586">
      <w:pPr>
        <w:spacing w:after="0" w:line="276" w:lineRule="auto"/>
        <w:jc w:val="center"/>
        <w:rPr>
          <w:rFonts w:ascii="Verdana" w:hAnsi="Verdana" w:cs="Arial"/>
        </w:rPr>
      </w:pPr>
      <w:r w:rsidRPr="005B1DE9">
        <w:rPr>
          <w:rFonts w:ascii="Verdana" w:hAnsi="Verdana" w:cs="Arial"/>
          <w:noProof/>
          <w:u w:val="single"/>
        </w:rPr>
        <w:drawing>
          <wp:inline distT="0" distB="0" distL="0" distR="0" wp14:anchorId="6655659E" wp14:editId="53D3B1E9">
            <wp:extent cx="3295650" cy="3771900"/>
            <wp:effectExtent l="0" t="0" r="0" b="0"/>
            <wp:docPr id="893965975" name="Imagen 2" descr="Mapa de Colombia, con el desagregado de proyectos productivos desembolsados en el 2025 por departam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65975" name="Imagen 2" descr="Mapa de Colombia, con el desagregado de proyectos productivos desembolsados en el 2025 por departament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5650" cy="3771900"/>
                    </a:xfrm>
                    <a:prstGeom prst="rect">
                      <a:avLst/>
                    </a:prstGeom>
                    <a:noFill/>
                    <a:ln>
                      <a:noFill/>
                    </a:ln>
                  </pic:spPr>
                </pic:pic>
              </a:graphicData>
            </a:graphic>
          </wp:inline>
        </w:drawing>
      </w:r>
      <w:r w:rsidRPr="005B1DE9">
        <w:rPr>
          <w:rFonts w:ascii="Verdana" w:hAnsi="Verdana" w:cs="Arial"/>
        </w:rPr>
        <w:br/>
      </w:r>
    </w:p>
    <w:p w14:paraId="781796CA" w14:textId="1C1C6F30" w:rsidR="00157B16" w:rsidRPr="00AB06F3" w:rsidRDefault="00157B16" w:rsidP="00C25586">
      <w:pPr>
        <w:spacing w:after="0" w:line="276" w:lineRule="auto"/>
        <w:jc w:val="center"/>
        <w:rPr>
          <w:rFonts w:ascii="Verdana" w:hAnsi="Verdana" w:cs="Arial"/>
        </w:rPr>
      </w:pPr>
      <w:r w:rsidRPr="00AB06F3">
        <w:rPr>
          <w:rFonts w:ascii="Verdana" w:eastAsia="Verdana" w:hAnsi="Verdana" w:cs="Arial"/>
          <w:sz w:val="18"/>
          <w:szCs w:val="18"/>
        </w:rPr>
        <w:lastRenderedPageBreak/>
        <w:t xml:space="preserve">Fuente: </w:t>
      </w:r>
      <w:r w:rsidR="00FF5173">
        <w:rPr>
          <w:rFonts w:ascii="Verdana" w:eastAsia="Verdana" w:hAnsi="Verdana" w:cs="Arial"/>
          <w:sz w:val="18"/>
          <w:szCs w:val="18"/>
        </w:rPr>
        <w:t>Agencia para la Reincorporación y la Normalizació</w:t>
      </w:r>
      <w:r w:rsidR="000206C8">
        <w:rPr>
          <w:rFonts w:ascii="Verdana" w:eastAsia="Verdana" w:hAnsi="Verdana" w:cs="Arial"/>
          <w:sz w:val="18"/>
          <w:szCs w:val="18"/>
        </w:rPr>
        <w:t>n</w:t>
      </w:r>
    </w:p>
    <w:p w14:paraId="455AB445" w14:textId="46B71118" w:rsidR="7BD07A85" w:rsidRPr="00AB06F3" w:rsidRDefault="7BD07A85" w:rsidP="00C25586">
      <w:pPr>
        <w:spacing w:after="0" w:line="276" w:lineRule="auto"/>
        <w:jc w:val="center"/>
        <w:rPr>
          <w:rFonts w:ascii="Verdana" w:eastAsia="Verdana" w:hAnsi="Verdana" w:cs="Arial"/>
          <w:sz w:val="18"/>
          <w:szCs w:val="18"/>
        </w:rPr>
      </w:pPr>
    </w:p>
    <w:p w14:paraId="6FBA87DD" w14:textId="6EF71428" w:rsidR="00B709EF" w:rsidRPr="00AB06F3" w:rsidRDefault="750A6E49" w:rsidP="00C25586">
      <w:pPr>
        <w:spacing w:after="0" w:line="276" w:lineRule="auto"/>
        <w:jc w:val="both"/>
        <w:rPr>
          <w:rFonts w:ascii="Verdana" w:eastAsia="Verdana" w:hAnsi="Verdana" w:cs="Arial"/>
          <w:sz w:val="24"/>
          <w:szCs w:val="24"/>
        </w:rPr>
      </w:pPr>
      <w:r w:rsidRPr="00AB06F3">
        <w:rPr>
          <w:rFonts w:ascii="Verdana" w:eastAsia="Verdana" w:hAnsi="Verdana" w:cs="Arial"/>
          <w:sz w:val="24"/>
          <w:szCs w:val="24"/>
        </w:rPr>
        <w:t xml:space="preserve"> </w:t>
      </w:r>
    </w:p>
    <w:p w14:paraId="6DB95D30" w14:textId="665BAA17" w:rsidR="000762B5" w:rsidRPr="000762B5" w:rsidRDefault="000762B5" w:rsidP="000762B5">
      <w:pPr>
        <w:pStyle w:val="Descripcin"/>
        <w:keepNext/>
        <w:jc w:val="center"/>
        <w:rPr>
          <w:rFonts w:ascii="Verdana" w:eastAsia="Verdana" w:hAnsi="Verdana" w:cs="Arial"/>
          <w:i w:val="0"/>
          <w:iCs w:val="0"/>
          <w:color w:val="auto"/>
        </w:rPr>
      </w:pPr>
      <w:bookmarkStart w:id="33" w:name="_Toc225265050"/>
      <w:r w:rsidRPr="000762B5">
        <w:rPr>
          <w:rFonts w:ascii="Verdana" w:eastAsia="Verdana" w:hAnsi="Verdana" w:cs="Arial"/>
          <w:i w:val="0"/>
          <w:iCs w:val="0"/>
          <w:color w:val="auto"/>
        </w:rPr>
        <w:t xml:space="preserve">Ilustración </w:t>
      </w:r>
      <w:r w:rsidRPr="000762B5">
        <w:rPr>
          <w:rFonts w:ascii="Verdana" w:eastAsia="Verdana" w:hAnsi="Verdana" w:cs="Arial"/>
          <w:i w:val="0"/>
          <w:iCs w:val="0"/>
          <w:color w:val="auto"/>
        </w:rPr>
        <w:fldChar w:fldCharType="begin"/>
      </w:r>
      <w:r w:rsidRPr="000762B5">
        <w:rPr>
          <w:rFonts w:ascii="Verdana" w:eastAsia="Verdana" w:hAnsi="Verdana" w:cs="Arial"/>
          <w:i w:val="0"/>
          <w:iCs w:val="0"/>
          <w:color w:val="auto"/>
        </w:rPr>
        <w:instrText xml:space="preserve"> SEQ Ilustración \* ARABIC </w:instrText>
      </w:r>
      <w:r w:rsidRPr="000762B5">
        <w:rPr>
          <w:rFonts w:ascii="Verdana" w:eastAsia="Verdana" w:hAnsi="Verdana" w:cs="Arial"/>
          <w:i w:val="0"/>
          <w:iCs w:val="0"/>
          <w:color w:val="auto"/>
        </w:rPr>
        <w:fldChar w:fldCharType="separate"/>
      </w:r>
      <w:r w:rsidR="0078027F">
        <w:rPr>
          <w:rFonts w:ascii="Verdana" w:eastAsia="Verdana" w:hAnsi="Verdana" w:cs="Arial"/>
          <w:i w:val="0"/>
          <w:iCs w:val="0"/>
          <w:noProof/>
          <w:color w:val="auto"/>
        </w:rPr>
        <w:t>2</w:t>
      </w:r>
      <w:r w:rsidRPr="000762B5">
        <w:rPr>
          <w:rFonts w:ascii="Verdana" w:eastAsia="Verdana" w:hAnsi="Verdana" w:cs="Arial"/>
          <w:i w:val="0"/>
          <w:iCs w:val="0"/>
          <w:color w:val="auto"/>
        </w:rPr>
        <w:fldChar w:fldCharType="end"/>
      </w:r>
      <w:r w:rsidRPr="000762B5">
        <w:rPr>
          <w:rFonts w:ascii="Verdana" w:eastAsia="Verdana" w:hAnsi="Verdana" w:cs="Arial"/>
          <w:i w:val="0"/>
          <w:iCs w:val="0"/>
          <w:color w:val="auto"/>
        </w:rPr>
        <w:t>. Desagregado del total acumulado de proyectos productivos desembolsados por departamento</w:t>
      </w:r>
      <w:bookmarkEnd w:id="33"/>
    </w:p>
    <w:p w14:paraId="584A498A" w14:textId="4997B6BE" w:rsidR="00157B16" w:rsidRPr="00AB06F3" w:rsidRDefault="000762B5" w:rsidP="00C25586">
      <w:pPr>
        <w:spacing w:after="0" w:line="276" w:lineRule="auto"/>
        <w:jc w:val="center"/>
        <w:rPr>
          <w:rFonts w:ascii="Verdana" w:hAnsi="Verdana" w:cs="Arial"/>
        </w:rPr>
      </w:pPr>
      <w:r w:rsidRPr="000762B5">
        <w:rPr>
          <w:noProof/>
          <w:u w:val="single"/>
        </w:rPr>
        <w:drawing>
          <wp:inline distT="0" distB="0" distL="0" distR="0" wp14:anchorId="14E77D87" wp14:editId="63818E87">
            <wp:extent cx="4133850" cy="3981450"/>
            <wp:effectExtent l="0" t="0" r="0" b="0"/>
            <wp:docPr id="1646759208" name="Imagen 4" descr="Mapa de Colombia, con desagregado del total acumulado de proyectos productivos desembolsados por departam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59208" name="Imagen 4" descr="Mapa de Colombia, con desagregado del total acumulado de proyectos productivos desembolsados por departamen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3850" cy="3981450"/>
                    </a:xfrm>
                    <a:prstGeom prst="rect">
                      <a:avLst/>
                    </a:prstGeom>
                    <a:noFill/>
                    <a:ln>
                      <a:noFill/>
                    </a:ln>
                  </pic:spPr>
                </pic:pic>
              </a:graphicData>
            </a:graphic>
          </wp:inline>
        </w:drawing>
      </w:r>
      <w:r w:rsidRPr="000762B5">
        <w:rPr>
          <w:noProof/>
        </w:rPr>
        <w:br/>
      </w:r>
      <w:r w:rsidR="00157B16" w:rsidRPr="00AB06F3">
        <w:rPr>
          <w:rFonts w:ascii="Verdana" w:eastAsia="Verdana" w:hAnsi="Verdana" w:cs="Arial"/>
          <w:sz w:val="18"/>
          <w:szCs w:val="18"/>
        </w:rPr>
        <w:t xml:space="preserve">Fuente: </w:t>
      </w:r>
      <w:r w:rsidR="00FF5173">
        <w:rPr>
          <w:rFonts w:ascii="Verdana" w:eastAsia="Verdana" w:hAnsi="Verdana" w:cs="Arial"/>
          <w:sz w:val="18"/>
          <w:szCs w:val="18"/>
        </w:rPr>
        <w:t>Agencia para la Reincorporación y la Normalización</w:t>
      </w:r>
    </w:p>
    <w:p w14:paraId="721C6899" w14:textId="14D1AEF1" w:rsidR="00B709EF" w:rsidRPr="00AB06F3" w:rsidRDefault="00B709EF" w:rsidP="00C25586">
      <w:pPr>
        <w:spacing w:after="0" w:line="276" w:lineRule="auto"/>
        <w:jc w:val="center"/>
        <w:rPr>
          <w:rFonts w:ascii="Verdana" w:hAnsi="Verdana" w:cs="Arial"/>
        </w:rPr>
      </w:pPr>
    </w:p>
    <w:p w14:paraId="256E2C2E" w14:textId="6A1B4238" w:rsidR="00B709EF" w:rsidRPr="00AB06F3" w:rsidRDefault="750A6E49"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c) ¿Qué desafíos y retos tuvimos para el cumplimiento del indicador PMI?</w:t>
      </w:r>
    </w:p>
    <w:p w14:paraId="09AB7A11" w14:textId="0BEC5179" w:rsidR="003206C9" w:rsidRPr="003206C9" w:rsidRDefault="003206C9" w:rsidP="00AA2DB6">
      <w:pPr>
        <w:pStyle w:val="Descripcin"/>
        <w:keepNext/>
        <w:jc w:val="center"/>
        <w:rPr>
          <w:rFonts w:ascii="Verdana" w:eastAsia="Verdana" w:hAnsi="Verdana" w:cs="Arial"/>
          <w:i w:val="0"/>
          <w:iCs w:val="0"/>
          <w:color w:val="000000" w:themeColor="text1"/>
        </w:rPr>
      </w:pPr>
      <w:bookmarkStart w:id="34" w:name="_Toc225283141"/>
      <w:r w:rsidRPr="003206C9">
        <w:rPr>
          <w:rFonts w:ascii="Verdana" w:eastAsia="Verdana" w:hAnsi="Verdana" w:cs="Arial"/>
          <w:i w:val="0"/>
          <w:iCs w:val="0"/>
          <w:color w:val="000000" w:themeColor="text1"/>
        </w:rPr>
        <w:t xml:space="preserve">Tabla </w:t>
      </w:r>
      <w:r w:rsidRPr="003206C9">
        <w:rPr>
          <w:rFonts w:ascii="Verdana" w:eastAsia="Verdana" w:hAnsi="Verdana" w:cs="Arial"/>
          <w:i w:val="0"/>
          <w:iCs w:val="0"/>
          <w:color w:val="000000" w:themeColor="text1"/>
        </w:rPr>
        <w:fldChar w:fldCharType="begin"/>
      </w:r>
      <w:r w:rsidRPr="003206C9">
        <w:rPr>
          <w:rFonts w:ascii="Verdana" w:eastAsia="Verdana" w:hAnsi="Verdana" w:cs="Arial"/>
          <w:i w:val="0"/>
          <w:iCs w:val="0"/>
          <w:color w:val="000000" w:themeColor="text1"/>
        </w:rPr>
        <w:instrText xml:space="preserve"> SEQ Tabla \* ARABIC </w:instrText>
      </w:r>
      <w:r w:rsidRPr="003206C9">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29</w:t>
      </w:r>
      <w:r w:rsidRPr="003206C9">
        <w:rPr>
          <w:rFonts w:ascii="Verdana" w:eastAsia="Verdana" w:hAnsi="Verdana" w:cs="Arial"/>
          <w:i w:val="0"/>
          <w:iCs w:val="0"/>
          <w:color w:val="000000" w:themeColor="text1"/>
        </w:rPr>
        <w:fldChar w:fldCharType="end"/>
      </w:r>
      <w:r w:rsidRPr="003206C9">
        <w:rPr>
          <w:rFonts w:ascii="Verdana" w:eastAsia="Verdana" w:hAnsi="Verdana" w:cs="Arial"/>
          <w:i w:val="0"/>
          <w:iCs w:val="0"/>
          <w:color w:val="000000" w:themeColor="text1"/>
        </w:rPr>
        <w:t>. Desafíos y retos del indicador C.238</w:t>
      </w:r>
      <w:bookmarkEnd w:id="34"/>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2263"/>
        <w:gridCol w:w="3622"/>
        <w:gridCol w:w="2943"/>
      </w:tblGrid>
      <w:tr w:rsidR="33167E86" w:rsidRPr="00AB06F3" w14:paraId="54C98BBB" w14:textId="77777777" w:rsidTr="00187721">
        <w:trPr>
          <w:trHeight w:val="300"/>
          <w:tblHeader/>
        </w:trPr>
        <w:tc>
          <w:tcPr>
            <w:tcW w:w="2263" w:type="dxa"/>
            <w:tcMar>
              <w:left w:w="108" w:type="dxa"/>
              <w:right w:w="108" w:type="dxa"/>
            </w:tcMar>
          </w:tcPr>
          <w:p w14:paraId="57F6CF55" w14:textId="036BE0CE" w:rsidR="33167E86" w:rsidRPr="000C4368" w:rsidRDefault="33167E86" w:rsidP="000C4368">
            <w:pPr>
              <w:spacing w:line="276" w:lineRule="auto"/>
              <w:jc w:val="center"/>
              <w:rPr>
                <w:rFonts w:ascii="Verdana" w:hAnsi="Verdana" w:cs="Arial"/>
                <w:b/>
                <w:bCs/>
              </w:rPr>
            </w:pPr>
            <w:r w:rsidRPr="000C4368">
              <w:rPr>
                <w:rFonts w:ascii="Verdana" w:eastAsia="Verdana" w:hAnsi="Verdana" w:cs="Arial"/>
                <w:b/>
                <w:bCs/>
                <w:color w:val="000000" w:themeColor="text1"/>
                <w:sz w:val="18"/>
                <w:szCs w:val="18"/>
              </w:rPr>
              <w:t>Tipo de Reto</w:t>
            </w:r>
          </w:p>
        </w:tc>
        <w:tc>
          <w:tcPr>
            <w:tcW w:w="3622" w:type="dxa"/>
            <w:tcMar>
              <w:left w:w="108" w:type="dxa"/>
              <w:right w:w="108" w:type="dxa"/>
            </w:tcMar>
          </w:tcPr>
          <w:p w14:paraId="4A533945" w14:textId="53A1445D" w:rsidR="33167E86" w:rsidRPr="00144C27" w:rsidRDefault="33167E86" w:rsidP="000C4368">
            <w:pPr>
              <w:spacing w:line="276" w:lineRule="auto"/>
              <w:jc w:val="center"/>
              <w:rPr>
                <w:rFonts w:ascii="Verdana" w:hAnsi="Verdana" w:cs="Arial"/>
                <w:b/>
                <w:bCs/>
                <w:sz w:val="18"/>
                <w:szCs w:val="18"/>
              </w:rPr>
            </w:pPr>
            <w:r w:rsidRPr="00144C27">
              <w:rPr>
                <w:rFonts w:ascii="Verdana" w:eastAsia="Verdana" w:hAnsi="Verdana" w:cs="Arial"/>
                <w:b/>
                <w:bCs/>
                <w:color w:val="000000" w:themeColor="text1"/>
                <w:sz w:val="18"/>
                <w:szCs w:val="18"/>
              </w:rPr>
              <w:t>Descripción del Reto</w:t>
            </w:r>
          </w:p>
        </w:tc>
        <w:tc>
          <w:tcPr>
            <w:tcW w:w="2943" w:type="dxa"/>
            <w:tcMar>
              <w:left w:w="108" w:type="dxa"/>
              <w:right w:w="108" w:type="dxa"/>
            </w:tcMar>
          </w:tcPr>
          <w:p w14:paraId="1C376EE7" w14:textId="28E368E4" w:rsidR="33167E86" w:rsidRPr="000C4368" w:rsidRDefault="33167E86" w:rsidP="000C4368">
            <w:pPr>
              <w:spacing w:line="276" w:lineRule="auto"/>
              <w:jc w:val="center"/>
              <w:rPr>
                <w:rFonts w:ascii="Verdana" w:hAnsi="Verdana" w:cs="Arial"/>
                <w:b/>
                <w:bCs/>
              </w:rPr>
            </w:pPr>
            <w:r w:rsidRPr="000C4368">
              <w:rPr>
                <w:rFonts w:ascii="Verdana" w:eastAsia="Verdana" w:hAnsi="Verdana" w:cs="Arial"/>
                <w:b/>
                <w:bCs/>
                <w:color w:val="000000" w:themeColor="text1"/>
                <w:sz w:val="18"/>
                <w:szCs w:val="18"/>
              </w:rPr>
              <w:t>Medidas para mitigar el Reto</w:t>
            </w:r>
          </w:p>
        </w:tc>
      </w:tr>
      <w:tr w:rsidR="33167E86" w:rsidRPr="00AB06F3" w14:paraId="7B0A789C" w14:textId="77777777" w:rsidTr="00187721">
        <w:trPr>
          <w:trHeight w:val="300"/>
        </w:trPr>
        <w:tc>
          <w:tcPr>
            <w:tcW w:w="2263" w:type="dxa"/>
            <w:tcMar>
              <w:left w:w="108" w:type="dxa"/>
              <w:right w:w="108" w:type="dxa"/>
            </w:tcMar>
          </w:tcPr>
          <w:p w14:paraId="1195F234" w14:textId="02920CFB" w:rsidR="33167E86" w:rsidRPr="00AB06F3" w:rsidRDefault="007D5F03" w:rsidP="00C25586">
            <w:pPr>
              <w:spacing w:line="276" w:lineRule="auto"/>
              <w:rPr>
                <w:rFonts w:ascii="Verdana" w:hAnsi="Verdana" w:cs="Arial"/>
              </w:rPr>
            </w:pPr>
            <w:r w:rsidRPr="007D5F03">
              <w:rPr>
                <w:rFonts w:ascii="Verdana" w:hAnsi="Verdana" w:cs="Arial"/>
                <w:sz w:val="18"/>
                <w:szCs w:val="18"/>
              </w:rPr>
              <w:t>Institucional</w:t>
            </w:r>
          </w:p>
        </w:tc>
        <w:tc>
          <w:tcPr>
            <w:tcW w:w="3622" w:type="dxa"/>
            <w:tcMar>
              <w:left w:w="108" w:type="dxa"/>
              <w:right w:w="108" w:type="dxa"/>
            </w:tcMar>
          </w:tcPr>
          <w:p w14:paraId="0AB65634" w14:textId="6D6EE9AD" w:rsidR="33167E86" w:rsidRPr="00A83AC6" w:rsidRDefault="00ED2243" w:rsidP="00A83AC6">
            <w:pPr>
              <w:tabs>
                <w:tab w:val="left" w:pos="343"/>
              </w:tabs>
              <w:spacing w:line="276" w:lineRule="auto"/>
              <w:rPr>
                <w:rFonts w:ascii="Verdana" w:hAnsi="Verdana" w:cs="Arial"/>
                <w:sz w:val="18"/>
                <w:szCs w:val="18"/>
              </w:rPr>
            </w:pPr>
            <w:r w:rsidRPr="00ED2243">
              <w:rPr>
                <w:rFonts w:ascii="Verdana" w:hAnsi="Verdana" w:cs="Arial"/>
                <w:sz w:val="18"/>
                <w:szCs w:val="18"/>
              </w:rPr>
              <w:t xml:space="preserve">La formulación y viabilización de proyectos productivos depende de la voluntad y motivación de las personas en proceso de reincorporación para emprender una iniciativa productiva. Durante la vigencia 2025 se evidenció una baja radicación de proyectos productivos, lo que incidió en el cumplimiento de la meta establecida. Adicionalmente, se presentaron demoras en los </w:t>
            </w:r>
            <w:r w:rsidRPr="00ED2243">
              <w:rPr>
                <w:rFonts w:ascii="Verdana" w:hAnsi="Verdana" w:cs="Arial"/>
                <w:sz w:val="18"/>
                <w:szCs w:val="18"/>
              </w:rPr>
              <w:lastRenderedPageBreak/>
              <w:t>tiempos de reporte de los proyectos desembolsados por parte del Fondo Colombia en Paz, lo cual también afectó el registro oportuno de los avances del indicador.</w:t>
            </w:r>
          </w:p>
        </w:tc>
        <w:tc>
          <w:tcPr>
            <w:tcW w:w="2943" w:type="dxa"/>
            <w:tcMar>
              <w:left w:w="108" w:type="dxa"/>
              <w:right w:w="108" w:type="dxa"/>
            </w:tcMar>
          </w:tcPr>
          <w:p w14:paraId="0E21DB3D" w14:textId="77592775" w:rsidR="33167E86" w:rsidRPr="00A83AC6" w:rsidRDefault="00ED2243" w:rsidP="00A83AC6">
            <w:pPr>
              <w:spacing w:line="276" w:lineRule="auto"/>
              <w:rPr>
                <w:rFonts w:ascii="Verdana" w:hAnsi="Verdana" w:cs="Arial"/>
              </w:rPr>
            </w:pPr>
            <w:r w:rsidRPr="00ED2243">
              <w:rPr>
                <w:rFonts w:ascii="Verdana" w:hAnsi="Verdana" w:cs="Arial"/>
                <w:sz w:val="18"/>
                <w:szCs w:val="18"/>
              </w:rPr>
              <w:lastRenderedPageBreak/>
              <w:t xml:space="preserve">Con el fin de mitigar esta situación, se fortalecerán las jornadas de sensibilización y acompañamiento en territorio para promover que las personas en proceso de reincorporación que aún no han optado por esta alternativa formulen su proyecto productivo. Asimismo, se continuará </w:t>
            </w:r>
            <w:r w:rsidRPr="00ED2243">
              <w:rPr>
                <w:rFonts w:ascii="Verdana" w:hAnsi="Verdana" w:cs="Arial"/>
                <w:sz w:val="18"/>
                <w:szCs w:val="18"/>
              </w:rPr>
              <w:lastRenderedPageBreak/>
              <w:t>orientando a la población hacia otras opciones de sostenibilidad económica, como la Estrategia de Empleabilidad que viene implementando la ARN en el marco del Programa de Reincorporación Integral.</w:t>
            </w:r>
          </w:p>
        </w:tc>
      </w:tr>
    </w:tbl>
    <w:p w14:paraId="539B2D3E"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4E1ECF9" w14:textId="07F3398F" w:rsidR="00B709EF" w:rsidRPr="00AB06F3" w:rsidRDefault="00B709EF" w:rsidP="00C25586">
      <w:pPr>
        <w:spacing w:after="0" w:line="276" w:lineRule="auto"/>
        <w:jc w:val="both"/>
        <w:rPr>
          <w:rFonts w:ascii="Verdana" w:hAnsi="Verdana" w:cs="Arial"/>
        </w:rPr>
      </w:pPr>
    </w:p>
    <w:p w14:paraId="36A1C26E" w14:textId="56D13A96" w:rsidR="6F941847" w:rsidRPr="00AB06F3" w:rsidRDefault="6F941847" w:rsidP="00C25586">
      <w:pPr>
        <w:shd w:val="clear" w:color="auto" w:fill="FFFFFF" w:themeFill="background1"/>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Puede visualizar la cartilla del paso a paso para acceder a un proye</w:t>
      </w:r>
      <w:r w:rsidR="48129660" w:rsidRPr="00AB06F3">
        <w:rPr>
          <w:rFonts w:ascii="Verdana" w:eastAsia="Verdana" w:hAnsi="Verdana" w:cs="Arial"/>
          <w:color w:val="000000" w:themeColor="text1"/>
          <w:sz w:val="24"/>
          <w:szCs w:val="24"/>
        </w:rPr>
        <w:t>c</w:t>
      </w:r>
      <w:r w:rsidRPr="00AB06F3">
        <w:rPr>
          <w:rFonts w:ascii="Verdana" w:eastAsia="Verdana" w:hAnsi="Verdana" w:cs="Arial"/>
          <w:color w:val="000000" w:themeColor="text1"/>
          <w:sz w:val="24"/>
          <w:szCs w:val="24"/>
        </w:rPr>
        <w:t>to productivo, en el siguiente link:</w:t>
      </w:r>
    </w:p>
    <w:p w14:paraId="59104D66" w14:textId="0A2F8F3A" w:rsidR="00B709EF" w:rsidRPr="00AB06F3" w:rsidRDefault="750A6E49" w:rsidP="00C25586">
      <w:pPr>
        <w:shd w:val="clear" w:color="auto" w:fill="FFFFFF" w:themeFill="background1"/>
        <w:spacing w:after="0" w:line="276" w:lineRule="auto"/>
        <w:jc w:val="both"/>
        <w:rPr>
          <w:rFonts w:ascii="Verdana" w:hAnsi="Verdana" w:cs="Arial"/>
        </w:rPr>
      </w:pPr>
      <w:r w:rsidRPr="00AB06F3">
        <w:rPr>
          <w:rFonts w:ascii="Verdana" w:eastAsia="Verdana" w:hAnsi="Verdana" w:cs="Arial"/>
          <w:color w:val="000000" w:themeColor="text1"/>
          <w:sz w:val="24"/>
          <w:szCs w:val="24"/>
        </w:rPr>
        <w:t xml:space="preserve"> </w:t>
      </w:r>
    </w:p>
    <w:p w14:paraId="0E43E0A6" w14:textId="760DB4A0" w:rsidR="00B709EF" w:rsidRPr="00AB06F3" w:rsidRDefault="750A6E49" w:rsidP="00C25586">
      <w:pPr>
        <w:shd w:val="clear" w:color="auto" w:fill="FFFFFF" w:themeFill="background1"/>
        <w:spacing w:after="0" w:line="276" w:lineRule="auto"/>
        <w:jc w:val="both"/>
        <w:rPr>
          <w:rFonts w:ascii="Verdana" w:hAnsi="Verdana" w:cs="Arial"/>
        </w:rPr>
      </w:pPr>
      <w:hyperlink r:id="rId16" w:anchor="search=cartilla">
        <w:r w:rsidRPr="00AB06F3">
          <w:rPr>
            <w:rStyle w:val="Hipervnculo"/>
            <w:rFonts w:ascii="Verdana" w:eastAsia="Verdana" w:hAnsi="Verdana" w:cs="Arial"/>
            <w:color w:val="0563C1"/>
            <w:sz w:val="24"/>
            <w:szCs w:val="24"/>
          </w:rPr>
          <w:t>https://www.reincorporacion.gov.co/es/sala-de-prensa/noticias/SiteAssets/Cartilla_Paso_Paso.pdf#search=cartilla</w:t>
        </w:r>
      </w:hyperlink>
    </w:p>
    <w:p w14:paraId="1296935F" w14:textId="489E5958" w:rsidR="00B709EF" w:rsidRPr="00AB06F3" w:rsidRDefault="00B709EF" w:rsidP="00C25586">
      <w:pPr>
        <w:spacing w:after="0" w:line="276" w:lineRule="auto"/>
        <w:rPr>
          <w:rFonts w:ascii="Verdana" w:hAnsi="Verdana" w:cs="Arial"/>
        </w:rPr>
      </w:pPr>
    </w:p>
    <w:p w14:paraId="30FBF451" w14:textId="7941DD1A" w:rsidR="00B709EF" w:rsidRDefault="487FE89C"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Producto: Asignación única de normalización </w:t>
      </w:r>
      <w:r w:rsidR="00476836">
        <w:rPr>
          <w:rFonts w:ascii="Verdana" w:eastAsia="Verdana" w:hAnsi="Verdana" w:cs="Arial"/>
          <w:b/>
          <w:bCs/>
          <w:color w:val="000000" w:themeColor="text1"/>
          <w:sz w:val="24"/>
          <w:szCs w:val="24"/>
        </w:rPr>
        <w:t xml:space="preserve"> </w:t>
      </w:r>
    </w:p>
    <w:p w14:paraId="71056634" w14:textId="77777777" w:rsidR="00A22021" w:rsidRPr="00AB06F3" w:rsidRDefault="00A22021" w:rsidP="00A22021">
      <w:pPr>
        <w:pStyle w:val="Prrafodelista"/>
        <w:spacing w:before="240" w:after="0" w:line="276" w:lineRule="auto"/>
        <w:ind w:left="1080"/>
        <w:rPr>
          <w:rFonts w:ascii="Verdana" w:eastAsia="Verdana" w:hAnsi="Verdana" w:cs="Arial"/>
          <w:b/>
          <w:bCs/>
          <w:color w:val="000000" w:themeColor="text1"/>
          <w:sz w:val="24"/>
          <w:szCs w:val="24"/>
        </w:rPr>
      </w:pPr>
    </w:p>
    <w:p w14:paraId="601D1C77" w14:textId="77777777" w:rsidR="001E688C" w:rsidRDefault="32460D7D" w:rsidP="001E688C">
      <w:pPr>
        <w:spacing w:after="0" w:line="276" w:lineRule="auto"/>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C.239 </w:t>
      </w:r>
      <w:r w:rsidRPr="00AB06F3">
        <w:rPr>
          <w:rFonts w:ascii="Verdana" w:eastAsia="Verdana" w:hAnsi="Verdana" w:cs="Arial"/>
          <w:color w:val="000000" w:themeColor="text1"/>
          <w:sz w:val="24"/>
          <w:szCs w:val="24"/>
        </w:rPr>
        <w:t>Porcentaje de asignaciones únicas de normalización entregadas a los integrantes de las FARC-EP acreditados</w:t>
      </w:r>
    </w:p>
    <w:p w14:paraId="3CEA6F7B" w14:textId="5B18C3D1" w:rsidR="00B709EF" w:rsidRPr="001E688C" w:rsidRDefault="417730C6" w:rsidP="001E688C">
      <w:pPr>
        <w:spacing w:after="0" w:line="276" w:lineRule="auto"/>
        <w:rPr>
          <w:rFonts w:ascii="Verdana" w:eastAsia="Verdana" w:hAnsi="Verdana" w:cs="Arial"/>
          <w:b/>
          <w:bCs/>
          <w:color w:val="000000" w:themeColor="text1"/>
          <w:sz w:val="24"/>
          <w:szCs w:val="24"/>
        </w:rPr>
      </w:pPr>
      <w:r w:rsidRPr="00AB06F3">
        <w:rPr>
          <w:rFonts w:ascii="Verdana" w:eastAsia="Verdana" w:hAnsi="Verdana" w:cs="Arial"/>
          <w:color w:val="000000" w:themeColor="text1"/>
          <w:sz w:val="18"/>
          <w:szCs w:val="18"/>
        </w:rPr>
        <w:t xml:space="preserve"> </w:t>
      </w:r>
    </w:p>
    <w:p w14:paraId="795F0214" w14:textId="7248F98C" w:rsidR="001E688C" w:rsidRPr="001E688C" w:rsidRDefault="001E688C" w:rsidP="001E688C">
      <w:pPr>
        <w:pStyle w:val="Descripcin"/>
        <w:keepNext/>
        <w:jc w:val="center"/>
        <w:rPr>
          <w:rFonts w:ascii="Verdana" w:eastAsia="Verdana" w:hAnsi="Verdana" w:cs="Arial"/>
          <w:i w:val="0"/>
          <w:iCs w:val="0"/>
          <w:color w:val="000000" w:themeColor="text1"/>
        </w:rPr>
      </w:pPr>
      <w:bookmarkStart w:id="35" w:name="_Toc225283142"/>
      <w:r w:rsidRPr="001E688C">
        <w:rPr>
          <w:rFonts w:ascii="Verdana" w:eastAsia="Verdana" w:hAnsi="Verdana" w:cs="Arial"/>
          <w:i w:val="0"/>
          <w:iCs w:val="0"/>
          <w:color w:val="000000" w:themeColor="text1"/>
        </w:rPr>
        <w:t xml:space="preserve">Tabla </w:t>
      </w:r>
      <w:r w:rsidRPr="001E688C">
        <w:rPr>
          <w:rFonts w:ascii="Verdana" w:eastAsia="Verdana" w:hAnsi="Verdana" w:cs="Arial"/>
          <w:i w:val="0"/>
          <w:iCs w:val="0"/>
          <w:color w:val="000000" w:themeColor="text1"/>
        </w:rPr>
        <w:fldChar w:fldCharType="begin"/>
      </w:r>
      <w:r w:rsidRPr="001E688C">
        <w:rPr>
          <w:rFonts w:ascii="Verdana" w:eastAsia="Verdana" w:hAnsi="Verdana" w:cs="Arial"/>
          <w:i w:val="0"/>
          <w:iCs w:val="0"/>
          <w:color w:val="000000" w:themeColor="text1"/>
        </w:rPr>
        <w:instrText xml:space="preserve"> SEQ Tabla \* ARABIC </w:instrText>
      </w:r>
      <w:r w:rsidRPr="001E688C">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30</w:t>
      </w:r>
      <w:r w:rsidRPr="001E688C">
        <w:rPr>
          <w:rFonts w:ascii="Verdana" w:eastAsia="Verdana" w:hAnsi="Verdana" w:cs="Arial"/>
          <w:i w:val="0"/>
          <w:iCs w:val="0"/>
          <w:color w:val="000000" w:themeColor="text1"/>
        </w:rPr>
        <w:fldChar w:fldCharType="end"/>
      </w:r>
      <w:r w:rsidRPr="001E688C">
        <w:rPr>
          <w:rFonts w:ascii="Verdana" w:eastAsia="Verdana" w:hAnsi="Verdana" w:cs="Arial"/>
          <w:i w:val="0"/>
          <w:iCs w:val="0"/>
          <w:color w:val="000000" w:themeColor="text1"/>
        </w:rPr>
        <w:t>. Detalle de avance en el indicador C.239</w:t>
      </w:r>
      <w:bookmarkEnd w:id="35"/>
    </w:p>
    <w:tbl>
      <w:tblPr>
        <w:tblStyle w:val="Tablaconcuadrcula1clara-nfasis4"/>
        <w:tblW w:w="0" w:type="auto"/>
        <w:jc w:val="center"/>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23"/>
        <w:gridCol w:w="1262"/>
        <w:gridCol w:w="1237"/>
        <w:gridCol w:w="1228"/>
        <w:gridCol w:w="1278"/>
      </w:tblGrid>
      <w:tr w:rsidR="48836A97" w:rsidRPr="00AB06F3" w14:paraId="4B0373D0" w14:textId="77777777" w:rsidTr="00ED224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23" w:type="dxa"/>
            <w:vAlign w:val="center"/>
          </w:tcPr>
          <w:p w14:paraId="3F2C579B" w14:textId="77777777" w:rsidR="48836A97" w:rsidRPr="00D23BCC" w:rsidRDefault="48836A97" w:rsidP="00C25586">
            <w:pPr>
              <w:spacing w:line="276" w:lineRule="auto"/>
              <w:jc w:val="center"/>
              <w:rPr>
                <w:rFonts w:ascii="Verdana" w:hAnsi="Verdana" w:cs="Arial"/>
                <w:sz w:val="18"/>
                <w:szCs w:val="18"/>
              </w:rPr>
            </w:pPr>
            <w:r w:rsidRPr="00D23BCC">
              <w:rPr>
                <w:rFonts w:ascii="Verdana" w:hAnsi="Verdana" w:cs="Arial"/>
                <w:sz w:val="18"/>
                <w:szCs w:val="18"/>
              </w:rPr>
              <w:t>Indicador</w:t>
            </w:r>
          </w:p>
        </w:tc>
        <w:tc>
          <w:tcPr>
            <w:tcW w:w="1262" w:type="dxa"/>
            <w:vAlign w:val="center"/>
          </w:tcPr>
          <w:p w14:paraId="2E0F8B73" w14:textId="77777777"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D23BCC">
              <w:rPr>
                <w:rFonts w:ascii="Verdana" w:hAnsi="Verdana" w:cs="Arial"/>
                <w:sz w:val="18"/>
                <w:szCs w:val="18"/>
              </w:rPr>
              <w:t>Tipo</w:t>
            </w:r>
          </w:p>
        </w:tc>
        <w:tc>
          <w:tcPr>
            <w:tcW w:w="1237" w:type="dxa"/>
            <w:vAlign w:val="center"/>
          </w:tcPr>
          <w:p w14:paraId="47438938" w14:textId="77777777"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D23BCC">
              <w:rPr>
                <w:rFonts w:ascii="Verdana" w:hAnsi="Verdana" w:cs="Arial"/>
                <w:sz w:val="18"/>
                <w:szCs w:val="18"/>
              </w:rPr>
              <w:t>Inicio</w:t>
            </w:r>
          </w:p>
        </w:tc>
        <w:tc>
          <w:tcPr>
            <w:tcW w:w="1228" w:type="dxa"/>
            <w:vAlign w:val="center"/>
          </w:tcPr>
          <w:p w14:paraId="73A24899" w14:textId="77777777"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D23BCC">
              <w:rPr>
                <w:rFonts w:ascii="Verdana" w:hAnsi="Verdana" w:cs="Arial"/>
                <w:sz w:val="18"/>
                <w:szCs w:val="18"/>
              </w:rPr>
              <w:t>Fin</w:t>
            </w:r>
          </w:p>
        </w:tc>
        <w:tc>
          <w:tcPr>
            <w:tcW w:w="1278" w:type="dxa"/>
          </w:tcPr>
          <w:p w14:paraId="7CAFCDAE" w14:textId="670993BF"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hAnsi="Verdana" w:cs="Arial"/>
                <w:color w:val="000000" w:themeColor="text1"/>
                <w:sz w:val="18"/>
                <w:szCs w:val="18"/>
              </w:rPr>
              <w:t>Avance al 202</w:t>
            </w:r>
            <w:r w:rsidR="009E6C07">
              <w:rPr>
                <w:rFonts w:ascii="Verdana" w:hAnsi="Verdana" w:cs="Arial"/>
                <w:color w:val="000000" w:themeColor="text1"/>
                <w:sz w:val="18"/>
                <w:szCs w:val="18"/>
              </w:rPr>
              <w:t>5</w:t>
            </w:r>
          </w:p>
        </w:tc>
      </w:tr>
      <w:tr w:rsidR="48836A97" w:rsidRPr="00AB06F3" w14:paraId="606DFDCB" w14:textId="77777777" w:rsidTr="00ED2243">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vAlign w:val="center"/>
          </w:tcPr>
          <w:p w14:paraId="1174B861" w14:textId="39250E9D" w:rsidR="0E9D725A" w:rsidRPr="00AB06F3" w:rsidRDefault="0E9D725A" w:rsidP="00C25586">
            <w:pPr>
              <w:spacing w:line="276" w:lineRule="auto"/>
              <w:jc w:val="center"/>
              <w:rPr>
                <w:rFonts w:ascii="Verdana" w:hAnsi="Verdana" w:cs="Arial"/>
                <w:b w:val="0"/>
                <w:bCs w:val="0"/>
                <w:sz w:val="18"/>
                <w:szCs w:val="18"/>
              </w:rPr>
            </w:pPr>
            <w:r w:rsidRPr="00AB06F3">
              <w:rPr>
                <w:rFonts w:ascii="Verdana" w:hAnsi="Verdana" w:cs="Arial"/>
                <w:b w:val="0"/>
                <w:bCs w:val="0"/>
                <w:sz w:val="18"/>
                <w:szCs w:val="18"/>
              </w:rPr>
              <w:t>C.239 Porcentaje de asignaciones únicas de normalización entregadas a los integrantes de las FARC-EP acreditado</w:t>
            </w:r>
            <w:r w:rsidR="48836A97" w:rsidRPr="00AB06F3">
              <w:rPr>
                <w:rFonts w:ascii="Verdana" w:hAnsi="Verdana" w:cs="Arial"/>
                <w:b w:val="0"/>
                <w:bCs w:val="0"/>
                <w:sz w:val="18"/>
                <w:szCs w:val="18"/>
              </w:rPr>
              <w:t xml:space="preserve"> </w:t>
            </w:r>
          </w:p>
        </w:tc>
        <w:tc>
          <w:tcPr>
            <w:tcW w:w="1262" w:type="dxa"/>
            <w:vAlign w:val="center"/>
          </w:tcPr>
          <w:p w14:paraId="693CC686" w14:textId="7777777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Temático</w:t>
            </w:r>
          </w:p>
        </w:tc>
        <w:tc>
          <w:tcPr>
            <w:tcW w:w="1237" w:type="dxa"/>
            <w:shd w:val="clear" w:color="auto" w:fill="FFFFFF" w:themeFill="background1"/>
            <w:vAlign w:val="center"/>
          </w:tcPr>
          <w:p w14:paraId="791EE2BB" w14:textId="546317C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2017</w:t>
            </w:r>
          </w:p>
        </w:tc>
        <w:tc>
          <w:tcPr>
            <w:tcW w:w="1228" w:type="dxa"/>
            <w:shd w:val="clear" w:color="auto" w:fill="FFFFFF" w:themeFill="background1"/>
            <w:vAlign w:val="center"/>
          </w:tcPr>
          <w:p w14:paraId="7A5F5CA8" w14:textId="0E2DD9E1"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w:t>
            </w:r>
            <w:r w:rsidR="00105F70">
              <w:rPr>
                <w:rFonts w:ascii="Verdana" w:eastAsia="Verdana" w:hAnsi="Verdana" w:cs="Arial"/>
                <w:sz w:val="18"/>
                <w:szCs w:val="18"/>
              </w:rPr>
              <w:t>31</w:t>
            </w:r>
          </w:p>
        </w:tc>
        <w:tc>
          <w:tcPr>
            <w:tcW w:w="1278" w:type="dxa"/>
          </w:tcPr>
          <w:p w14:paraId="53555401" w14:textId="046406D1"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7B2B4FBE" w14:textId="759C681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08647C63" w14:textId="7C67BCD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r w:rsidRPr="00AB06F3">
              <w:rPr>
                <w:rFonts w:ascii="Verdana" w:hAnsi="Verdana" w:cs="Arial"/>
                <w:color w:val="000000" w:themeColor="text1"/>
                <w:sz w:val="18"/>
                <w:szCs w:val="18"/>
              </w:rPr>
              <w:t xml:space="preserve">100% </w:t>
            </w:r>
          </w:p>
        </w:tc>
      </w:tr>
    </w:tbl>
    <w:p w14:paraId="018F585D"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5871035" w14:textId="77777777" w:rsidR="00E711F6" w:rsidRPr="00157B16" w:rsidRDefault="00E711F6" w:rsidP="00C25586">
      <w:pPr>
        <w:pStyle w:val="Prrafodelista"/>
        <w:spacing w:after="0" w:line="276" w:lineRule="auto"/>
        <w:rPr>
          <w:rFonts w:ascii="Verdana" w:hAnsi="Verdana" w:cs="Arial"/>
        </w:rPr>
      </w:pPr>
    </w:p>
    <w:p w14:paraId="0E602E5B" w14:textId="43F3C04B" w:rsidR="00B709EF" w:rsidRPr="00AB06F3" w:rsidRDefault="25EEE51B" w:rsidP="00031DF5">
      <w:pPr>
        <w:pStyle w:val="Ttulo5"/>
        <w:numPr>
          <w:ilvl w:val="0"/>
          <w:numId w:val="3"/>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¿Cómo lo hicimos y con qué recursos?  </w:t>
      </w:r>
    </w:p>
    <w:p w14:paraId="22AC8763" w14:textId="7B614C04" w:rsidR="2D2A373F" w:rsidRPr="00AB06F3" w:rsidRDefault="2D2A373F" w:rsidP="00C25586">
      <w:pPr>
        <w:spacing w:after="0" w:line="276" w:lineRule="auto"/>
        <w:jc w:val="both"/>
        <w:rPr>
          <w:rFonts w:ascii="Verdana" w:eastAsiaTheme="majorEastAsia" w:hAnsi="Verdana" w:cs="Arial"/>
          <w:color w:val="000000" w:themeColor="text1"/>
          <w:sz w:val="24"/>
          <w:szCs w:val="24"/>
        </w:rPr>
      </w:pPr>
    </w:p>
    <w:p w14:paraId="0A863AFD" w14:textId="7BF497B5" w:rsidR="00E711F6" w:rsidRDefault="00E711F6" w:rsidP="00187721">
      <w:pPr>
        <w:spacing w:after="0" w:line="276" w:lineRule="auto"/>
        <w:jc w:val="both"/>
        <w:rPr>
          <w:rFonts w:ascii="Verdana" w:eastAsia="Verdana" w:hAnsi="Verdana" w:cs="Arial"/>
          <w:sz w:val="24"/>
          <w:szCs w:val="24"/>
        </w:rPr>
      </w:pPr>
      <w:r w:rsidRPr="00E711F6">
        <w:rPr>
          <w:rFonts w:ascii="Verdana" w:eastAsia="Verdana" w:hAnsi="Verdana" w:cs="Arial"/>
          <w:sz w:val="24"/>
          <w:szCs w:val="24"/>
        </w:rPr>
        <w:t>El artículo 7 del Decreto Ley 899 de 2017 establece la Asignación Única de Normalización como un beneficio económico otorgado a cada integrante de las FARC-EP al finalizar las Zonas Veredales Transitorias de Normalización</w:t>
      </w:r>
      <w:r w:rsidR="00EF6772">
        <w:rPr>
          <w:rFonts w:ascii="Verdana" w:eastAsia="Verdana" w:hAnsi="Verdana" w:cs="Arial"/>
          <w:sz w:val="24"/>
          <w:szCs w:val="24"/>
        </w:rPr>
        <w:t xml:space="preserve"> con el </w:t>
      </w:r>
      <w:r w:rsidRPr="00E711F6">
        <w:rPr>
          <w:rFonts w:ascii="Verdana" w:eastAsia="Verdana" w:hAnsi="Verdana" w:cs="Arial"/>
          <w:sz w:val="24"/>
          <w:szCs w:val="24"/>
        </w:rPr>
        <w:t xml:space="preserve">propósito </w:t>
      </w:r>
      <w:r w:rsidR="00EF6772">
        <w:rPr>
          <w:rFonts w:ascii="Verdana" w:eastAsia="Verdana" w:hAnsi="Verdana" w:cs="Arial"/>
          <w:sz w:val="24"/>
          <w:szCs w:val="24"/>
        </w:rPr>
        <w:t xml:space="preserve">de </w:t>
      </w:r>
      <w:r w:rsidRPr="00E711F6">
        <w:rPr>
          <w:rFonts w:ascii="Verdana" w:eastAsia="Verdana" w:hAnsi="Verdana" w:cs="Arial"/>
          <w:sz w:val="24"/>
          <w:szCs w:val="24"/>
        </w:rPr>
        <w:t xml:space="preserve">contribuir a </w:t>
      </w:r>
      <w:r w:rsidR="00EF6772">
        <w:rPr>
          <w:rFonts w:ascii="Verdana" w:eastAsia="Verdana" w:hAnsi="Verdana" w:cs="Arial"/>
          <w:sz w:val="24"/>
          <w:szCs w:val="24"/>
        </w:rPr>
        <w:t xml:space="preserve">su </w:t>
      </w:r>
      <w:r w:rsidRPr="00E711F6">
        <w:rPr>
          <w:rFonts w:ascii="Verdana" w:eastAsia="Verdana" w:hAnsi="Verdana" w:cs="Arial"/>
          <w:sz w:val="24"/>
          <w:szCs w:val="24"/>
        </w:rPr>
        <w:t xml:space="preserve">estabilización y reincorporación a la vida civil, </w:t>
      </w:r>
      <w:r w:rsidR="00476836">
        <w:rPr>
          <w:rFonts w:ascii="Verdana" w:eastAsia="Verdana" w:hAnsi="Verdana" w:cs="Arial"/>
          <w:sz w:val="24"/>
          <w:szCs w:val="24"/>
        </w:rPr>
        <w:t xml:space="preserve">mediante </w:t>
      </w:r>
      <w:r w:rsidRPr="00E711F6">
        <w:rPr>
          <w:rFonts w:ascii="Verdana" w:eastAsia="Verdana" w:hAnsi="Verdana" w:cs="Arial"/>
          <w:sz w:val="24"/>
          <w:szCs w:val="24"/>
        </w:rPr>
        <w:t xml:space="preserve">la satisfacción de necesidades básicas. Este apoyo se entrega por una única vez y equivale a dos millones </w:t>
      </w:r>
      <w:r w:rsidRPr="00E711F6">
        <w:rPr>
          <w:rFonts w:ascii="Verdana" w:eastAsia="Verdana" w:hAnsi="Verdana" w:cs="Arial"/>
          <w:sz w:val="24"/>
          <w:szCs w:val="24"/>
        </w:rPr>
        <w:lastRenderedPageBreak/>
        <w:t>de pesos ($2.000.000).</w:t>
      </w:r>
      <w:r>
        <w:rPr>
          <w:rFonts w:ascii="Verdana" w:eastAsia="Verdana" w:hAnsi="Verdana" w:cs="Arial"/>
          <w:sz w:val="24"/>
          <w:szCs w:val="24"/>
        </w:rPr>
        <w:t xml:space="preserve"> </w:t>
      </w:r>
      <w:r w:rsidRPr="00E711F6">
        <w:rPr>
          <w:rFonts w:ascii="Verdana" w:eastAsia="Verdana" w:hAnsi="Verdana" w:cs="Arial"/>
          <w:sz w:val="24"/>
          <w:szCs w:val="24"/>
        </w:rPr>
        <w:t>E</w:t>
      </w:r>
      <w:r w:rsidR="00476836">
        <w:rPr>
          <w:rFonts w:ascii="Verdana" w:eastAsia="Verdana" w:hAnsi="Verdana" w:cs="Arial"/>
          <w:sz w:val="24"/>
          <w:szCs w:val="24"/>
        </w:rPr>
        <w:t xml:space="preserve">l </w:t>
      </w:r>
      <w:r w:rsidRPr="00E711F6">
        <w:rPr>
          <w:rFonts w:ascii="Verdana" w:eastAsia="Verdana" w:hAnsi="Verdana" w:cs="Arial"/>
          <w:sz w:val="24"/>
          <w:szCs w:val="24"/>
        </w:rPr>
        <w:t xml:space="preserve">beneficio </w:t>
      </w:r>
      <w:r w:rsidR="00476836">
        <w:rPr>
          <w:rFonts w:ascii="Verdana" w:eastAsia="Verdana" w:hAnsi="Verdana" w:cs="Arial"/>
          <w:sz w:val="24"/>
          <w:szCs w:val="24"/>
        </w:rPr>
        <w:t xml:space="preserve">se </w:t>
      </w:r>
      <w:r w:rsidRPr="00E711F6">
        <w:rPr>
          <w:rFonts w:ascii="Verdana" w:eastAsia="Verdana" w:hAnsi="Verdana" w:cs="Arial"/>
          <w:sz w:val="24"/>
          <w:szCs w:val="24"/>
        </w:rPr>
        <w:t>conced</w:t>
      </w:r>
      <w:r w:rsidR="00476836">
        <w:rPr>
          <w:rFonts w:ascii="Verdana" w:eastAsia="Verdana" w:hAnsi="Verdana" w:cs="Arial"/>
          <w:sz w:val="24"/>
          <w:szCs w:val="24"/>
        </w:rPr>
        <w:t xml:space="preserve">e </w:t>
      </w:r>
      <w:r w:rsidRPr="00E711F6">
        <w:rPr>
          <w:rFonts w:ascii="Verdana" w:eastAsia="Verdana" w:hAnsi="Verdana" w:cs="Arial"/>
          <w:sz w:val="24"/>
          <w:szCs w:val="24"/>
        </w:rPr>
        <w:t xml:space="preserve">exclusivamente a las personas acreditadas por la </w:t>
      </w:r>
      <w:r w:rsidR="00D8277E" w:rsidRPr="00D8277E">
        <w:rPr>
          <w:rFonts w:ascii="Verdana" w:eastAsia="Verdana" w:hAnsi="Verdana" w:cs="Arial"/>
          <w:sz w:val="24"/>
          <w:szCs w:val="24"/>
        </w:rPr>
        <w:t>Consejería Comisionada de Paz</w:t>
      </w:r>
      <w:r w:rsidR="00D8277E">
        <w:rPr>
          <w:rFonts w:ascii="Verdana" w:eastAsia="Verdana" w:hAnsi="Verdana" w:cs="Arial"/>
          <w:sz w:val="24"/>
          <w:szCs w:val="24"/>
        </w:rPr>
        <w:t xml:space="preserve"> anteriormente </w:t>
      </w:r>
      <w:r w:rsidRPr="00E711F6">
        <w:rPr>
          <w:rFonts w:ascii="Verdana" w:eastAsia="Verdana" w:hAnsi="Verdana" w:cs="Arial"/>
          <w:sz w:val="24"/>
          <w:szCs w:val="24"/>
        </w:rPr>
        <w:t xml:space="preserve">Oficina del Alto Comisionado para la Paz </w:t>
      </w:r>
      <w:r w:rsidR="00D8277E">
        <w:rPr>
          <w:rFonts w:ascii="Verdana" w:eastAsia="Verdana" w:hAnsi="Verdana" w:cs="Arial"/>
          <w:sz w:val="24"/>
          <w:szCs w:val="24"/>
        </w:rPr>
        <w:t xml:space="preserve">(OACP), </w:t>
      </w:r>
      <w:r w:rsidRPr="00E711F6">
        <w:rPr>
          <w:rFonts w:ascii="Verdana" w:eastAsia="Verdana" w:hAnsi="Verdana" w:cs="Arial"/>
          <w:sz w:val="24"/>
          <w:szCs w:val="24"/>
        </w:rPr>
        <w:t>como exintegrantes de las FARC-EP.</w:t>
      </w:r>
    </w:p>
    <w:p w14:paraId="52359F3C" w14:textId="77777777" w:rsidR="002C74D3" w:rsidRDefault="002C74D3" w:rsidP="00C25586">
      <w:pPr>
        <w:spacing w:after="0" w:line="276" w:lineRule="auto"/>
        <w:jc w:val="both"/>
        <w:rPr>
          <w:rFonts w:ascii="Verdana" w:eastAsia="Verdana" w:hAnsi="Verdana" w:cs="Arial"/>
          <w:sz w:val="24"/>
          <w:szCs w:val="24"/>
        </w:rPr>
      </w:pPr>
    </w:p>
    <w:p w14:paraId="34D7F8D8" w14:textId="43B2570E" w:rsidR="0FF21967" w:rsidRDefault="00E711F6" w:rsidP="00187721">
      <w:pPr>
        <w:spacing w:after="0" w:line="276" w:lineRule="auto"/>
        <w:jc w:val="both"/>
        <w:rPr>
          <w:rFonts w:ascii="Verdana" w:eastAsia="Verdana" w:hAnsi="Verdana" w:cs="Arial"/>
          <w:sz w:val="24"/>
          <w:szCs w:val="24"/>
        </w:rPr>
      </w:pPr>
      <w:r>
        <w:rPr>
          <w:rFonts w:ascii="Verdana" w:eastAsia="Verdana" w:hAnsi="Verdana" w:cs="Arial"/>
          <w:sz w:val="24"/>
          <w:szCs w:val="24"/>
        </w:rPr>
        <w:t xml:space="preserve">Para garantizar el cumplimiento de </w:t>
      </w:r>
      <w:r w:rsidR="0FF21967" w:rsidRPr="00AB06F3">
        <w:rPr>
          <w:rFonts w:ascii="Verdana" w:eastAsia="Verdana" w:hAnsi="Verdana" w:cs="Arial"/>
          <w:sz w:val="24"/>
          <w:szCs w:val="24"/>
        </w:rPr>
        <w:t>los beneficios económicos establecidos en el Decreto Ley 899 de 2017</w:t>
      </w:r>
      <w:r>
        <w:rPr>
          <w:rFonts w:ascii="Verdana" w:eastAsia="Verdana" w:hAnsi="Verdana" w:cs="Arial"/>
          <w:sz w:val="24"/>
          <w:szCs w:val="24"/>
        </w:rPr>
        <w:t xml:space="preserve">, la </w:t>
      </w:r>
      <w:r w:rsidR="00FF5173">
        <w:rPr>
          <w:rFonts w:ascii="Verdana" w:eastAsia="Verdana" w:hAnsi="Verdana" w:cs="Arial"/>
          <w:sz w:val="24"/>
          <w:szCs w:val="24"/>
        </w:rPr>
        <w:t>Agencia para la Reincorporación y la Normalización</w:t>
      </w:r>
      <w:r w:rsidR="0FF21967" w:rsidRPr="00AB06F3">
        <w:rPr>
          <w:rFonts w:ascii="Verdana" w:eastAsia="Verdana" w:hAnsi="Verdana" w:cs="Arial"/>
          <w:sz w:val="24"/>
          <w:szCs w:val="24"/>
        </w:rPr>
        <w:t xml:space="preserve">, </w:t>
      </w:r>
      <w:r w:rsidR="00032745">
        <w:rPr>
          <w:rFonts w:ascii="Verdana" w:eastAsia="Verdana" w:hAnsi="Verdana" w:cs="Arial"/>
          <w:sz w:val="24"/>
          <w:szCs w:val="24"/>
        </w:rPr>
        <w:t xml:space="preserve">suscribió en 2018 </w:t>
      </w:r>
      <w:r w:rsidR="0FF21967" w:rsidRPr="00AB06F3">
        <w:rPr>
          <w:rFonts w:ascii="Verdana" w:eastAsia="Verdana" w:hAnsi="Verdana" w:cs="Arial"/>
          <w:sz w:val="24"/>
          <w:szCs w:val="24"/>
        </w:rPr>
        <w:t xml:space="preserve">el </w:t>
      </w:r>
      <w:r w:rsidR="00032745">
        <w:rPr>
          <w:rFonts w:ascii="Verdana" w:eastAsia="Verdana" w:hAnsi="Verdana" w:cs="Arial"/>
          <w:sz w:val="24"/>
          <w:szCs w:val="24"/>
        </w:rPr>
        <w:t>C</w:t>
      </w:r>
      <w:r w:rsidR="0FF21967" w:rsidRPr="00AB06F3">
        <w:rPr>
          <w:rFonts w:ascii="Verdana" w:eastAsia="Verdana" w:hAnsi="Verdana" w:cs="Arial"/>
          <w:sz w:val="24"/>
          <w:szCs w:val="24"/>
        </w:rPr>
        <w:t xml:space="preserve">onvenio 1066 </w:t>
      </w:r>
      <w:r w:rsidR="00032745">
        <w:rPr>
          <w:rFonts w:ascii="Verdana" w:eastAsia="Verdana" w:hAnsi="Verdana" w:cs="Arial"/>
          <w:sz w:val="24"/>
          <w:szCs w:val="24"/>
        </w:rPr>
        <w:t xml:space="preserve">con </w:t>
      </w:r>
      <w:r w:rsidR="0FF21967" w:rsidRPr="00AB06F3">
        <w:rPr>
          <w:rFonts w:ascii="Verdana" w:eastAsia="Verdana" w:hAnsi="Verdana" w:cs="Arial"/>
          <w:sz w:val="24"/>
          <w:szCs w:val="24"/>
        </w:rPr>
        <w:t xml:space="preserve">el Patrimonio Autónomo Fondo Colombia en Paz </w:t>
      </w:r>
      <w:r w:rsidR="005B63F6">
        <w:rPr>
          <w:rFonts w:ascii="Verdana" w:eastAsia="Verdana" w:hAnsi="Verdana" w:cs="Arial"/>
          <w:sz w:val="24"/>
          <w:szCs w:val="24"/>
        </w:rPr>
        <w:t>(</w:t>
      </w:r>
      <w:r w:rsidR="0FF21967" w:rsidRPr="00AB06F3">
        <w:rPr>
          <w:rFonts w:ascii="Verdana" w:eastAsia="Verdana" w:hAnsi="Verdana" w:cs="Arial"/>
          <w:sz w:val="24"/>
          <w:szCs w:val="24"/>
        </w:rPr>
        <w:t>PA-FCP</w:t>
      </w:r>
      <w:r w:rsidR="005B63F6">
        <w:rPr>
          <w:rFonts w:ascii="Verdana" w:eastAsia="Verdana" w:hAnsi="Verdana" w:cs="Arial"/>
          <w:sz w:val="24"/>
          <w:szCs w:val="24"/>
        </w:rPr>
        <w:t>)</w:t>
      </w:r>
      <w:r w:rsidR="0FF21967" w:rsidRPr="00AB06F3">
        <w:rPr>
          <w:rFonts w:ascii="Verdana" w:eastAsia="Verdana" w:hAnsi="Verdana" w:cs="Arial"/>
          <w:sz w:val="24"/>
          <w:szCs w:val="24"/>
        </w:rPr>
        <w:t xml:space="preserve"> el cual </w:t>
      </w:r>
      <w:r w:rsidR="00782044">
        <w:rPr>
          <w:rFonts w:ascii="Verdana" w:eastAsia="Verdana" w:hAnsi="Verdana" w:cs="Arial"/>
          <w:sz w:val="24"/>
          <w:szCs w:val="24"/>
        </w:rPr>
        <w:t>es</w:t>
      </w:r>
      <w:r w:rsidR="0FF21967" w:rsidRPr="00AB06F3">
        <w:rPr>
          <w:rFonts w:ascii="Verdana" w:eastAsia="Verdana" w:hAnsi="Verdana" w:cs="Arial"/>
          <w:sz w:val="24"/>
          <w:szCs w:val="24"/>
        </w:rPr>
        <w:t>tuvo vigen</w:t>
      </w:r>
      <w:r w:rsidR="00782044">
        <w:rPr>
          <w:rFonts w:ascii="Verdana" w:eastAsia="Verdana" w:hAnsi="Verdana" w:cs="Arial"/>
          <w:sz w:val="24"/>
          <w:szCs w:val="24"/>
        </w:rPr>
        <w:t xml:space="preserve">te </w:t>
      </w:r>
      <w:r w:rsidR="0FF21967" w:rsidRPr="00AB06F3">
        <w:rPr>
          <w:rFonts w:ascii="Verdana" w:eastAsia="Verdana" w:hAnsi="Verdana" w:cs="Arial"/>
          <w:sz w:val="24"/>
          <w:szCs w:val="24"/>
        </w:rPr>
        <w:t>hasta el 31 de julio de 2024</w:t>
      </w:r>
      <w:r w:rsidR="005B63F6">
        <w:rPr>
          <w:rFonts w:ascii="Verdana" w:eastAsia="Verdana" w:hAnsi="Verdana" w:cs="Arial"/>
          <w:sz w:val="24"/>
          <w:szCs w:val="24"/>
        </w:rPr>
        <w:t xml:space="preserve">. Posteriormente </w:t>
      </w:r>
      <w:r w:rsidR="0FF21967" w:rsidRPr="00AB06F3">
        <w:rPr>
          <w:rFonts w:ascii="Verdana" w:eastAsia="Verdana" w:hAnsi="Verdana" w:cs="Arial"/>
          <w:sz w:val="24"/>
          <w:szCs w:val="24"/>
        </w:rPr>
        <w:t>el 2 de agosto de 2024</w:t>
      </w:r>
      <w:r w:rsidR="005B63F6">
        <w:rPr>
          <w:rFonts w:ascii="Verdana" w:eastAsia="Verdana" w:hAnsi="Verdana" w:cs="Arial"/>
          <w:sz w:val="24"/>
          <w:szCs w:val="24"/>
        </w:rPr>
        <w:t>, se</w:t>
      </w:r>
      <w:r w:rsidR="0FF21967" w:rsidRPr="00AB06F3">
        <w:rPr>
          <w:rFonts w:ascii="Verdana" w:eastAsia="Verdana" w:hAnsi="Verdana" w:cs="Arial"/>
          <w:sz w:val="24"/>
          <w:szCs w:val="24"/>
        </w:rPr>
        <w:t xml:space="preserve"> </w:t>
      </w:r>
      <w:r w:rsidR="00782044">
        <w:rPr>
          <w:rFonts w:ascii="Verdana" w:eastAsia="Verdana" w:hAnsi="Verdana" w:cs="Arial"/>
          <w:sz w:val="24"/>
          <w:szCs w:val="24"/>
        </w:rPr>
        <w:t xml:space="preserve">suscribió </w:t>
      </w:r>
      <w:r w:rsidR="0FF21967" w:rsidRPr="00AB06F3">
        <w:rPr>
          <w:rFonts w:ascii="Verdana" w:eastAsia="Verdana" w:hAnsi="Verdana" w:cs="Arial"/>
          <w:sz w:val="24"/>
          <w:szCs w:val="24"/>
        </w:rPr>
        <w:t xml:space="preserve">el </w:t>
      </w:r>
      <w:r w:rsidR="00782044">
        <w:rPr>
          <w:rFonts w:ascii="Verdana" w:eastAsia="Verdana" w:hAnsi="Verdana" w:cs="Arial"/>
          <w:sz w:val="24"/>
          <w:szCs w:val="24"/>
        </w:rPr>
        <w:t>C</w:t>
      </w:r>
      <w:r w:rsidR="0FF21967" w:rsidRPr="00AB06F3">
        <w:rPr>
          <w:rFonts w:ascii="Verdana" w:eastAsia="Verdana" w:hAnsi="Verdana" w:cs="Arial"/>
          <w:sz w:val="24"/>
          <w:szCs w:val="24"/>
        </w:rPr>
        <w:t>onvenio 1488-2024, cuyo objeto es:</w:t>
      </w:r>
      <w:r w:rsidR="005B63F6">
        <w:rPr>
          <w:rFonts w:ascii="Verdana" w:eastAsia="Verdana" w:hAnsi="Verdana" w:cs="Arial"/>
          <w:sz w:val="24"/>
          <w:szCs w:val="24"/>
        </w:rPr>
        <w:t xml:space="preserve"> </w:t>
      </w:r>
      <w:r w:rsidR="0FF21967" w:rsidRPr="00AB06F3">
        <w:rPr>
          <w:rFonts w:ascii="Verdana" w:eastAsia="Verdana" w:hAnsi="Verdana" w:cs="Arial"/>
          <w:sz w:val="24"/>
          <w:szCs w:val="24"/>
        </w:rPr>
        <w:t>“Aunar esfuerzos técnicos, administrativos y financieros entre el Fondo Colombia en Paz -FCP- y la ARN para la materialización de los diferentes desembolsos y beneficios que se establezcan para la población sujeto de atención de la ARN”</w:t>
      </w:r>
      <w:r w:rsidR="005B63F6">
        <w:rPr>
          <w:rFonts w:ascii="Verdana" w:eastAsia="Verdana" w:hAnsi="Verdana" w:cs="Arial"/>
          <w:sz w:val="24"/>
          <w:szCs w:val="24"/>
        </w:rPr>
        <w:t>.</w:t>
      </w:r>
    </w:p>
    <w:p w14:paraId="5A1A5D7B" w14:textId="77777777" w:rsidR="005B63F6" w:rsidRPr="00AB06F3" w:rsidRDefault="005B63F6" w:rsidP="00187721">
      <w:pPr>
        <w:spacing w:after="0" w:line="276" w:lineRule="auto"/>
        <w:jc w:val="both"/>
        <w:rPr>
          <w:rFonts w:ascii="Verdana" w:hAnsi="Verdana" w:cs="Arial"/>
        </w:rPr>
      </w:pPr>
    </w:p>
    <w:p w14:paraId="3DA9E096" w14:textId="2DF146AA" w:rsidR="0FF21967" w:rsidRDefault="005B63F6" w:rsidP="00187721">
      <w:pPr>
        <w:spacing w:after="0" w:line="276" w:lineRule="auto"/>
        <w:jc w:val="both"/>
        <w:rPr>
          <w:rFonts w:ascii="Verdana" w:eastAsia="Verdana" w:hAnsi="Verdana" w:cs="Arial"/>
          <w:sz w:val="24"/>
          <w:szCs w:val="24"/>
        </w:rPr>
      </w:pPr>
      <w:r>
        <w:rPr>
          <w:rFonts w:ascii="Verdana" w:eastAsia="Verdana" w:hAnsi="Verdana" w:cs="Arial"/>
          <w:sz w:val="24"/>
          <w:szCs w:val="24"/>
        </w:rPr>
        <w:t>A</w:t>
      </w:r>
      <w:r w:rsidR="0FF21967" w:rsidRPr="00AB06F3">
        <w:rPr>
          <w:rFonts w:ascii="Verdana" w:eastAsia="Verdana" w:hAnsi="Verdana" w:cs="Arial"/>
          <w:sz w:val="24"/>
          <w:szCs w:val="24"/>
        </w:rPr>
        <w:t xml:space="preserve"> través de este operador fiduciario se </w:t>
      </w:r>
      <w:r w:rsidR="00284669" w:rsidRPr="00284669">
        <w:rPr>
          <w:rFonts w:ascii="Verdana" w:eastAsia="Verdana" w:hAnsi="Verdana" w:cs="Arial"/>
          <w:sz w:val="24"/>
          <w:szCs w:val="24"/>
        </w:rPr>
        <w:t>realiza la dispersión de los beneficios económicos contemplados en el marco del proceso de reincorporación, incluyendo la Asignación Única de Normalización.</w:t>
      </w:r>
    </w:p>
    <w:p w14:paraId="5D6BF045" w14:textId="77777777" w:rsidR="005B63F6" w:rsidRPr="00AB06F3" w:rsidRDefault="005B63F6" w:rsidP="00187721">
      <w:pPr>
        <w:spacing w:after="0" w:line="276" w:lineRule="auto"/>
        <w:jc w:val="both"/>
        <w:rPr>
          <w:rFonts w:ascii="Verdana" w:eastAsia="Verdana" w:hAnsi="Verdana" w:cs="Arial"/>
          <w:sz w:val="24"/>
          <w:szCs w:val="24"/>
        </w:rPr>
      </w:pPr>
    </w:p>
    <w:p w14:paraId="269363A5" w14:textId="44236BE2" w:rsidR="00B709EF" w:rsidRPr="00AB06F3" w:rsidRDefault="001E688C" w:rsidP="00187721">
      <w:pPr>
        <w:spacing w:after="0" w:line="276" w:lineRule="auto"/>
        <w:jc w:val="both"/>
        <w:rPr>
          <w:rFonts w:ascii="Verdana" w:eastAsia="Verdana" w:hAnsi="Verdana" w:cs="Arial"/>
          <w:color w:val="000000" w:themeColor="text1"/>
          <w:sz w:val="24"/>
          <w:szCs w:val="24"/>
        </w:rPr>
      </w:pPr>
      <w:r w:rsidRPr="00152442">
        <w:rPr>
          <w:rFonts w:ascii="Verdana" w:eastAsia="Calibri" w:hAnsi="Verdana" w:cs="Arial"/>
          <w:sz w:val="24"/>
          <w:szCs w:val="24"/>
        </w:rPr>
        <w:t>Al cierre de 2025,</w:t>
      </w:r>
      <w:r w:rsidRPr="00152442">
        <w:rPr>
          <w:rFonts w:ascii="Verdana" w:eastAsia="Times New Roman" w:hAnsi="Verdana" w:cs="Times New Roman"/>
          <w:kern w:val="0"/>
          <w:sz w:val="24"/>
          <w:szCs w:val="24"/>
          <w:lang w:eastAsia="es-CO"/>
          <w14:ligatures w14:val="none"/>
        </w:rPr>
        <w:t xml:space="preserve"> </w:t>
      </w:r>
      <w:r w:rsidR="65E2A0F7" w:rsidRPr="00AB06F3">
        <w:rPr>
          <w:rFonts w:ascii="Verdana" w:eastAsia="Verdana" w:hAnsi="Verdana" w:cs="Arial"/>
          <w:color w:val="000000" w:themeColor="text1"/>
          <w:sz w:val="24"/>
          <w:szCs w:val="24"/>
        </w:rPr>
        <w:t xml:space="preserve">el 100% del total de exintegrantes FARC-EP que cumplieron </w:t>
      </w:r>
      <w:r w:rsidR="005B63F6">
        <w:rPr>
          <w:rFonts w:ascii="Verdana" w:eastAsia="Verdana" w:hAnsi="Verdana" w:cs="Arial"/>
          <w:color w:val="000000" w:themeColor="text1"/>
          <w:sz w:val="24"/>
          <w:szCs w:val="24"/>
        </w:rPr>
        <w:t xml:space="preserve">con los </w:t>
      </w:r>
      <w:r w:rsidR="65E2A0F7" w:rsidRPr="00AB06F3">
        <w:rPr>
          <w:rFonts w:ascii="Verdana" w:eastAsia="Verdana" w:hAnsi="Verdana" w:cs="Arial"/>
          <w:color w:val="000000" w:themeColor="text1"/>
          <w:sz w:val="24"/>
          <w:szCs w:val="24"/>
        </w:rPr>
        <w:t xml:space="preserve">requisitos </w:t>
      </w:r>
      <w:r w:rsidR="005B63F6">
        <w:rPr>
          <w:rFonts w:ascii="Verdana" w:eastAsia="Verdana" w:hAnsi="Verdana" w:cs="Arial"/>
          <w:color w:val="000000" w:themeColor="text1"/>
          <w:sz w:val="24"/>
          <w:szCs w:val="24"/>
        </w:rPr>
        <w:t xml:space="preserve">recibieron </w:t>
      </w:r>
      <w:r w:rsidR="00284669">
        <w:rPr>
          <w:rFonts w:ascii="Verdana" w:eastAsia="Verdana" w:hAnsi="Verdana" w:cs="Arial"/>
          <w:color w:val="000000" w:themeColor="text1"/>
          <w:sz w:val="24"/>
          <w:szCs w:val="24"/>
        </w:rPr>
        <w:t>este beneficio</w:t>
      </w:r>
      <w:r w:rsidR="65E2A0F7" w:rsidRPr="00AB06F3">
        <w:rPr>
          <w:rFonts w:ascii="Verdana" w:eastAsia="Verdana" w:hAnsi="Verdana" w:cs="Arial"/>
          <w:color w:val="000000" w:themeColor="text1"/>
          <w:sz w:val="24"/>
          <w:szCs w:val="24"/>
        </w:rPr>
        <w:t>, lo que represent</w:t>
      </w:r>
      <w:r w:rsidR="005B63F6">
        <w:rPr>
          <w:rFonts w:ascii="Verdana" w:eastAsia="Verdana" w:hAnsi="Verdana" w:cs="Arial"/>
          <w:color w:val="000000" w:themeColor="text1"/>
          <w:sz w:val="24"/>
          <w:szCs w:val="24"/>
        </w:rPr>
        <w:t xml:space="preserve">ó </w:t>
      </w:r>
      <w:r w:rsidR="65E2A0F7" w:rsidRPr="00AB06F3">
        <w:rPr>
          <w:rFonts w:ascii="Verdana" w:eastAsia="Verdana" w:hAnsi="Verdana" w:cs="Arial"/>
          <w:color w:val="000000" w:themeColor="text1"/>
          <w:sz w:val="24"/>
          <w:szCs w:val="24"/>
        </w:rPr>
        <w:t xml:space="preserve">el desembolso de </w:t>
      </w:r>
      <w:r w:rsidR="00E701D8">
        <w:rPr>
          <w:rFonts w:ascii="Verdana" w:eastAsia="Verdana" w:hAnsi="Verdana" w:cs="Arial"/>
          <w:color w:val="000000" w:themeColor="text1"/>
          <w:sz w:val="24"/>
          <w:szCs w:val="24"/>
        </w:rPr>
        <w:t>59</w:t>
      </w:r>
      <w:r w:rsidR="65E2A0F7" w:rsidRPr="00AB06F3">
        <w:rPr>
          <w:rFonts w:ascii="Verdana" w:eastAsia="Verdana" w:hAnsi="Verdana" w:cs="Arial"/>
          <w:color w:val="000000" w:themeColor="text1"/>
          <w:sz w:val="24"/>
          <w:szCs w:val="24"/>
        </w:rPr>
        <w:t xml:space="preserve"> </w:t>
      </w:r>
      <w:r w:rsidR="005B63F6">
        <w:rPr>
          <w:rFonts w:ascii="Verdana" w:eastAsia="Verdana" w:hAnsi="Verdana" w:cs="Arial"/>
          <w:color w:val="000000" w:themeColor="text1"/>
          <w:sz w:val="24"/>
          <w:szCs w:val="24"/>
        </w:rPr>
        <w:t>a</w:t>
      </w:r>
      <w:r w:rsidR="65E2A0F7" w:rsidRPr="00AB06F3">
        <w:rPr>
          <w:rFonts w:ascii="Verdana" w:eastAsia="Verdana" w:hAnsi="Verdana" w:cs="Arial"/>
          <w:color w:val="000000" w:themeColor="text1"/>
          <w:sz w:val="24"/>
          <w:szCs w:val="24"/>
        </w:rPr>
        <w:t xml:space="preserve">signaciones por </w:t>
      </w:r>
      <w:r w:rsidR="005B63F6">
        <w:rPr>
          <w:rFonts w:ascii="Verdana" w:eastAsia="Verdana" w:hAnsi="Verdana" w:cs="Arial"/>
          <w:color w:val="000000" w:themeColor="text1"/>
          <w:sz w:val="24"/>
          <w:szCs w:val="24"/>
        </w:rPr>
        <w:t xml:space="preserve">un valor </w:t>
      </w:r>
      <w:r w:rsidR="00284669">
        <w:rPr>
          <w:rFonts w:ascii="Verdana" w:eastAsia="Verdana" w:hAnsi="Verdana" w:cs="Arial"/>
          <w:color w:val="000000" w:themeColor="text1"/>
          <w:sz w:val="24"/>
          <w:szCs w:val="24"/>
        </w:rPr>
        <w:t xml:space="preserve">total </w:t>
      </w:r>
      <w:r w:rsidR="005B63F6">
        <w:rPr>
          <w:rFonts w:ascii="Verdana" w:eastAsia="Verdana" w:hAnsi="Verdana" w:cs="Arial"/>
          <w:color w:val="000000" w:themeColor="text1"/>
          <w:sz w:val="24"/>
          <w:szCs w:val="24"/>
        </w:rPr>
        <w:t xml:space="preserve">de </w:t>
      </w:r>
      <w:r w:rsidR="65E2A0F7" w:rsidRPr="00AB06F3">
        <w:rPr>
          <w:rFonts w:ascii="Verdana" w:eastAsia="Verdana" w:hAnsi="Verdana" w:cs="Arial"/>
          <w:color w:val="000000" w:themeColor="text1"/>
          <w:sz w:val="24"/>
          <w:szCs w:val="24"/>
        </w:rPr>
        <w:t>$1</w:t>
      </w:r>
      <w:r w:rsidR="00A8479E">
        <w:rPr>
          <w:rFonts w:ascii="Verdana" w:eastAsia="Verdana" w:hAnsi="Verdana" w:cs="Arial"/>
          <w:color w:val="000000" w:themeColor="text1"/>
          <w:sz w:val="24"/>
          <w:szCs w:val="24"/>
        </w:rPr>
        <w:t>1</w:t>
      </w:r>
      <w:r w:rsidR="65E2A0F7" w:rsidRPr="00AB06F3">
        <w:rPr>
          <w:rFonts w:ascii="Verdana" w:eastAsia="Verdana" w:hAnsi="Verdana" w:cs="Arial"/>
          <w:color w:val="000000" w:themeColor="text1"/>
          <w:sz w:val="24"/>
          <w:szCs w:val="24"/>
        </w:rPr>
        <w:t>8.</w:t>
      </w:r>
      <w:r w:rsidR="00A8479E">
        <w:rPr>
          <w:rFonts w:ascii="Verdana" w:eastAsia="Verdana" w:hAnsi="Verdana" w:cs="Arial"/>
          <w:color w:val="000000" w:themeColor="text1"/>
          <w:sz w:val="24"/>
          <w:szCs w:val="24"/>
        </w:rPr>
        <w:t>000</w:t>
      </w:r>
      <w:r w:rsidR="65E2A0F7" w:rsidRPr="00AB06F3">
        <w:rPr>
          <w:rFonts w:ascii="Verdana" w:eastAsia="Verdana" w:hAnsi="Verdana" w:cs="Arial"/>
          <w:color w:val="000000" w:themeColor="text1"/>
          <w:sz w:val="24"/>
          <w:szCs w:val="24"/>
        </w:rPr>
        <w:t>.000</w:t>
      </w:r>
      <w:r w:rsidR="005B63F6">
        <w:rPr>
          <w:rFonts w:ascii="Verdana" w:eastAsia="Verdana" w:hAnsi="Verdana" w:cs="Arial"/>
          <w:color w:val="000000" w:themeColor="text1"/>
          <w:sz w:val="24"/>
          <w:szCs w:val="24"/>
        </w:rPr>
        <w:t xml:space="preserve">. En total, </w:t>
      </w:r>
      <w:r w:rsidR="00A8479E">
        <w:rPr>
          <w:rFonts w:ascii="Verdana" w:eastAsia="Verdana" w:hAnsi="Verdana" w:cs="Arial"/>
          <w:color w:val="000000" w:themeColor="text1"/>
          <w:sz w:val="24"/>
          <w:szCs w:val="24"/>
        </w:rPr>
        <w:t>59</w:t>
      </w:r>
      <w:r w:rsidR="65E2A0F7" w:rsidRPr="00AB06F3">
        <w:rPr>
          <w:rFonts w:ascii="Verdana" w:eastAsia="Verdana" w:hAnsi="Verdana" w:cs="Arial"/>
          <w:color w:val="000000" w:themeColor="text1"/>
          <w:sz w:val="24"/>
          <w:szCs w:val="24"/>
        </w:rPr>
        <w:t xml:space="preserve"> </w:t>
      </w:r>
      <w:r w:rsidR="27F021C5" w:rsidRPr="00AB06F3">
        <w:rPr>
          <w:rFonts w:ascii="Verdana" w:eastAsia="Verdana" w:hAnsi="Verdana" w:cs="Arial"/>
          <w:color w:val="000000" w:themeColor="text1"/>
          <w:sz w:val="24"/>
          <w:szCs w:val="24"/>
        </w:rPr>
        <w:t>Exintegrantes</w:t>
      </w:r>
      <w:r w:rsidR="65E2A0F7" w:rsidRPr="00AB06F3">
        <w:rPr>
          <w:rFonts w:ascii="Verdana" w:eastAsia="Verdana" w:hAnsi="Verdana" w:cs="Arial"/>
          <w:color w:val="000000" w:themeColor="text1"/>
          <w:sz w:val="24"/>
          <w:szCs w:val="24"/>
        </w:rPr>
        <w:t xml:space="preserve"> FARC-EP </w:t>
      </w:r>
      <w:r w:rsidR="005B63F6">
        <w:rPr>
          <w:rFonts w:ascii="Verdana" w:eastAsia="Verdana" w:hAnsi="Verdana" w:cs="Arial"/>
          <w:color w:val="000000" w:themeColor="text1"/>
          <w:sz w:val="24"/>
          <w:szCs w:val="24"/>
        </w:rPr>
        <w:t xml:space="preserve">fueron </w:t>
      </w:r>
      <w:r w:rsidR="65E2A0F7" w:rsidRPr="00AB06F3">
        <w:rPr>
          <w:rFonts w:ascii="Verdana" w:eastAsia="Verdana" w:hAnsi="Verdana" w:cs="Arial"/>
          <w:color w:val="000000" w:themeColor="text1"/>
          <w:sz w:val="24"/>
          <w:szCs w:val="24"/>
        </w:rPr>
        <w:t>beneficiados (</w:t>
      </w:r>
      <w:r w:rsidR="00A8479E">
        <w:rPr>
          <w:rFonts w:ascii="Verdana" w:eastAsia="Verdana" w:hAnsi="Verdana" w:cs="Arial"/>
          <w:color w:val="000000" w:themeColor="text1"/>
          <w:sz w:val="24"/>
          <w:szCs w:val="24"/>
        </w:rPr>
        <w:t>20</w:t>
      </w:r>
      <w:r w:rsidR="65E2A0F7" w:rsidRPr="00AB06F3">
        <w:rPr>
          <w:rFonts w:ascii="Verdana" w:eastAsia="Verdana" w:hAnsi="Verdana" w:cs="Arial"/>
          <w:color w:val="000000" w:themeColor="text1"/>
          <w:sz w:val="24"/>
          <w:szCs w:val="24"/>
        </w:rPr>
        <w:t xml:space="preserve"> mujeres y </w:t>
      </w:r>
      <w:r w:rsidR="00A8479E">
        <w:rPr>
          <w:rFonts w:ascii="Verdana" w:eastAsia="Verdana" w:hAnsi="Verdana" w:cs="Arial"/>
          <w:color w:val="000000" w:themeColor="text1"/>
          <w:sz w:val="24"/>
          <w:szCs w:val="24"/>
        </w:rPr>
        <w:t>39</w:t>
      </w:r>
      <w:r w:rsidR="65E2A0F7" w:rsidRPr="00AB06F3">
        <w:rPr>
          <w:rFonts w:ascii="Verdana" w:eastAsia="Verdana" w:hAnsi="Verdana" w:cs="Arial"/>
          <w:color w:val="000000" w:themeColor="text1"/>
          <w:sz w:val="24"/>
          <w:szCs w:val="24"/>
        </w:rPr>
        <w:t xml:space="preserve"> hombres)</w:t>
      </w:r>
      <w:r w:rsidR="005B63F6">
        <w:rPr>
          <w:rFonts w:ascii="Verdana" w:eastAsia="Verdana" w:hAnsi="Verdana" w:cs="Arial"/>
          <w:color w:val="000000" w:themeColor="text1"/>
          <w:sz w:val="24"/>
          <w:szCs w:val="24"/>
        </w:rPr>
        <w:t xml:space="preserve">, de los cuales </w:t>
      </w:r>
      <w:r w:rsidR="00F2309A">
        <w:rPr>
          <w:rFonts w:ascii="Verdana" w:eastAsia="Verdana" w:hAnsi="Verdana" w:cs="Arial"/>
          <w:color w:val="000000" w:themeColor="text1"/>
          <w:sz w:val="24"/>
          <w:szCs w:val="24"/>
        </w:rPr>
        <w:t>2</w:t>
      </w:r>
      <w:r w:rsidR="65E2A0F7" w:rsidRPr="00AB06F3">
        <w:rPr>
          <w:rFonts w:ascii="Verdana" w:eastAsia="Verdana" w:hAnsi="Verdana" w:cs="Arial"/>
          <w:color w:val="000000" w:themeColor="text1"/>
          <w:sz w:val="24"/>
          <w:szCs w:val="24"/>
        </w:rPr>
        <w:t xml:space="preserve"> personas se auto reconoc</w:t>
      </w:r>
      <w:r w:rsidR="005B63F6">
        <w:rPr>
          <w:rFonts w:ascii="Verdana" w:eastAsia="Verdana" w:hAnsi="Verdana" w:cs="Arial"/>
          <w:color w:val="000000" w:themeColor="text1"/>
          <w:sz w:val="24"/>
          <w:szCs w:val="24"/>
        </w:rPr>
        <w:t xml:space="preserve">ieron como parte de la </w:t>
      </w:r>
      <w:r w:rsidR="65E2A0F7" w:rsidRPr="00AB06F3">
        <w:rPr>
          <w:rFonts w:ascii="Verdana" w:eastAsia="Verdana" w:hAnsi="Verdana" w:cs="Arial"/>
          <w:color w:val="000000" w:themeColor="text1"/>
          <w:sz w:val="24"/>
          <w:szCs w:val="24"/>
        </w:rPr>
        <w:t>población indígena.</w:t>
      </w:r>
    </w:p>
    <w:p w14:paraId="6BC4DF5F" w14:textId="1AD41882" w:rsidR="2D2A373F" w:rsidRPr="00AB06F3" w:rsidRDefault="2D2A373F" w:rsidP="00187721">
      <w:pPr>
        <w:spacing w:after="0" w:line="276" w:lineRule="auto"/>
        <w:jc w:val="both"/>
        <w:rPr>
          <w:rFonts w:ascii="Verdana" w:eastAsiaTheme="majorEastAsia" w:hAnsi="Verdana" w:cs="Arial"/>
          <w:color w:val="000000" w:themeColor="text1"/>
          <w:sz w:val="24"/>
          <w:szCs w:val="24"/>
        </w:rPr>
      </w:pPr>
    </w:p>
    <w:p w14:paraId="2E31F8A7" w14:textId="377C2DD0" w:rsidR="082F874A" w:rsidRPr="00AB06F3" w:rsidRDefault="00CF7A37" w:rsidP="00187721">
      <w:pPr>
        <w:spacing w:after="0" w:line="276" w:lineRule="auto"/>
        <w:jc w:val="both"/>
        <w:rPr>
          <w:rFonts w:ascii="Verdana" w:hAnsi="Verdana" w:cs="Arial"/>
        </w:rPr>
      </w:pPr>
      <w:r w:rsidRPr="00CF7A37">
        <w:rPr>
          <w:rFonts w:ascii="Verdana" w:eastAsia="Verdana" w:hAnsi="Verdana" w:cs="Arial"/>
          <w:sz w:val="24"/>
          <w:szCs w:val="24"/>
        </w:rPr>
        <w:t>De manera acumulada, desde el inicio de los desembolsos en agosto de 2017 hasta el 31 de diciembre de 2025, el 100% de los exintegrantes de las FARC-EP que cumplieron los requisitos han recibido la Asignación Única de Normalización. En total, se han desembolsado 13.475 asignaciones por un valor acumulado de $26.410.840.000, beneficiando a 13.475 personas (3.175 mujeres y 10.300 hombres). Dentro de este grupo, 1.091 personas se identificaron como parte de comunidades Negras, Afrocolombianas, Raizales y Palenqueras; 1.897 como población indígena y 2 como parte del pueblo Rrom.</w:t>
      </w:r>
    </w:p>
    <w:p w14:paraId="6EA9A30F" w14:textId="4F2B8727" w:rsidR="00B709EF" w:rsidRPr="00FB3CA1" w:rsidRDefault="00B709EF" w:rsidP="00FB3CA1">
      <w:pPr>
        <w:pStyle w:val="Descripcin"/>
        <w:spacing w:after="0" w:line="276" w:lineRule="auto"/>
        <w:rPr>
          <w:rFonts w:ascii="Verdana" w:hAnsi="Verdana" w:cs="Arial"/>
          <w:i w:val="0"/>
          <w:iCs w:val="0"/>
          <w:color w:val="000000" w:themeColor="text1"/>
        </w:rPr>
      </w:pPr>
    </w:p>
    <w:p w14:paraId="1B404003" w14:textId="6905B97B" w:rsidR="00FB3CA1" w:rsidRPr="00FB3CA1" w:rsidRDefault="00FB3CA1" w:rsidP="00FB3CA1">
      <w:pPr>
        <w:pStyle w:val="Descripcin"/>
        <w:keepNext/>
        <w:jc w:val="center"/>
        <w:rPr>
          <w:rFonts w:ascii="Verdana" w:hAnsi="Verdana" w:cs="Arial"/>
          <w:i w:val="0"/>
          <w:iCs w:val="0"/>
          <w:color w:val="000000" w:themeColor="text1"/>
        </w:rPr>
      </w:pPr>
      <w:bookmarkStart w:id="36" w:name="_Toc225283143"/>
      <w:r w:rsidRPr="00FB3CA1">
        <w:rPr>
          <w:rFonts w:ascii="Verdana" w:hAnsi="Verdana" w:cs="Arial"/>
          <w:i w:val="0"/>
          <w:iCs w:val="0"/>
          <w:color w:val="000000" w:themeColor="text1"/>
        </w:rPr>
        <w:t xml:space="preserve">Tabla </w:t>
      </w:r>
      <w:r w:rsidRPr="00FB3CA1">
        <w:rPr>
          <w:rFonts w:ascii="Verdana" w:hAnsi="Verdana" w:cs="Arial"/>
          <w:i w:val="0"/>
          <w:iCs w:val="0"/>
          <w:color w:val="000000" w:themeColor="text1"/>
        </w:rPr>
        <w:fldChar w:fldCharType="begin"/>
      </w:r>
      <w:r w:rsidRPr="00FB3CA1">
        <w:rPr>
          <w:rFonts w:ascii="Verdana" w:hAnsi="Verdana" w:cs="Arial"/>
          <w:i w:val="0"/>
          <w:iCs w:val="0"/>
          <w:color w:val="000000" w:themeColor="text1"/>
        </w:rPr>
        <w:instrText xml:space="preserve"> SEQ Tabla \* ARABIC </w:instrText>
      </w:r>
      <w:r w:rsidRPr="00FB3CA1">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31</w:t>
      </w:r>
      <w:r w:rsidRPr="00FB3CA1">
        <w:rPr>
          <w:rFonts w:ascii="Verdana" w:hAnsi="Verdana" w:cs="Arial"/>
          <w:i w:val="0"/>
          <w:iCs w:val="0"/>
          <w:color w:val="000000" w:themeColor="text1"/>
        </w:rPr>
        <w:fldChar w:fldCharType="end"/>
      </w:r>
      <w:r w:rsidRPr="00FB3CA1">
        <w:rPr>
          <w:rFonts w:ascii="Verdana" w:hAnsi="Verdana" w:cs="Arial"/>
          <w:i w:val="0"/>
          <w:iCs w:val="0"/>
          <w:color w:val="000000" w:themeColor="text1"/>
        </w:rPr>
        <w:t>. Detalle de las principales acciones de los indicadores C.239</w:t>
      </w:r>
      <w:bookmarkEnd w:id="36"/>
    </w:p>
    <w:tbl>
      <w:tblPr>
        <w:tblStyle w:val="Tablaconcuadrcula"/>
        <w:tblW w:w="8643" w:type="dxa"/>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2881"/>
        <w:gridCol w:w="2881"/>
        <w:gridCol w:w="2881"/>
      </w:tblGrid>
      <w:tr w:rsidR="48836A97" w:rsidRPr="00AB06F3" w14:paraId="7A6F7C69" w14:textId="77777777" w:rsidTr="000111B5">
        <w:trPr>
          <w:trHeight w:val="293"/>
        </w:trPr>
        <w:tc>
          <w:tcPr>
            <w:tcW w:w="2881" w:type="dxa"/>
          </w:tcPr>
          <w:p w14:paraId="4DFD833E" w14:textId="77777777" w:rsidR="48836A97" w:rsidRPr="00D23BCC" w:rsidRDefault="48836A97" w:rsidP="00D23BCC">
            <w:pPr>
              <w:spacing w:line="276" w:lineRule="auto"/>
              <w:jc w:val="center"/>
              <w:rPr>
                <w:rFonts w:ascii="Verdana" w:hAnsi="Verdana" w:cs="Arial"/>
                <w:b/>
                <w:bCs/>
                <w:color w:val="000000" w:themeColor="text1"/>
                <w:sz w:val="18"/>
                <w:szCs w:val="18"/>
              </w:rPr>
            </w:pPr>
            <w:r w:rsidRPr="00D23BCC">
              <w:rPr>
                <w:rFonts w:ascii="Verdana" w:hAnsi="Verdana" w:cs="Arial"/>
                <w:b/>
                <w:bCs/>
                <w:color w:val="000000" w:themeColor="text1"/>
                <w:sz w:val="18"/>
                <w:szCs w:val="18"/>
              </w:rPr>
              <w:t>Indicador del PMI</w:t>
            </w:r>
          </w:p>
        </w:tc>
        <w:tc>
          <w:tcPr>
            <w:tcW w:w="2881" w:type="dxa"/>
          </w:tcPr>
          <w:p w14:paraId="5F0F21F2" w14:textId="77777777" w:rsidR="48836A97" w:rsidRPr="00D23BCC" w:rsidRDefault="48836A97" w:rsidP="00D23BCC">
            <w:pPr>
              <w:spacing w:line="276" w:lineRule="auto"/>
              <w:jc w:val="center"/>
              <w:rPr>
                <w:rFonts w:ascii="Verdana" w:hAnsi="Verdana" w:cs="Arial"/>
                <w:b/>
                <w:bCs/>
                <w:color w:val="000000" w:themeColor="text1"/>
                <w:sz w:val="18"/>
                <w:szCs w:val="18"/>
              </w:rPr>
            </w:pPr>
            <w:r w:rsidRPr="00D23BCC">
              <w:rPr>
                <w:rFonts w:ascii="Verdana" w:hAnsi="Verdana" w:cs="Arial"/>
                <w:b/>
                <w:bCs/>
                <w:color w:val="000000" w:themeColor="text1"/>
                <w:sz w:val="18"/>
                <w:szCs w:val="18"/>
              </w:rPr>
              <w:t>Principales Logros</w:t>
            </w:r>
          </w:p>
        </w:tc>
        <w:tc>
          <w:tcPr>
            <w:tcW w:w="2881" w:type="dxa"/>
          </w:tcPr>
          <w:p w14:paraId="7369E41F" w14:textId="4645FC70" w:rsidR="48836A97" w:rsidRPr="00D23BCC" w:rsidRDefault="48836A97" w:rsidP="00D23BCC">
            <w:pPr>
              <w:spacing w:line="276" w:lineRule="auto"/>
              <w:jc w:val="center"/>
              <w:rPr>
                <w:rFonts w:ascii="Verdana" w:hAnsi="Verdana" w:cs="Arial"/>
                <w:b/>
                <w:bCs/>
                <w:color w:val="000000" w:themeColor="text1"/>
                <w:sz w:val="18"/>
                <w:szCs w:val="18"/>
              </w:rPr>
            </w:pPr>
            <w:r w:rsidRPr="00D23BCC">
              <w:rPr>
                <w:rFonts w:ascii="Verdana" w:hAnsi="Verdana" w:cs="Arial"/>
                <w:b/>
                <w:bCs/>
                <w:color w:val="000000" w:themeColor="text1"/>
                <w:sz w:val="18"/>
                <w:szCs w:val="18"/>
              </w:rPr>
              <w:t>Recursos 202</w:t>
            </w:r>
            <w:r w:rsidR="009E6C07">
              <w:rPr>
                <w:rFonts w:ascii="Verdana" w:hAnsi="Verdana" w:cs="Arial"/>
                <w:b/>
                <w:bCs/>
                <w:color w:val="000000" w:themeColor="text1"/>
                <w:sz w:val="18"/>
                <w:szCs w:val="18"/>
              </w:rPr>
              <w:t>5</w:t>
            </w:r>
          </w:p>
        </w:tc>
      </w:tr>
      <w:tr w:rsidR="48836A97" w:rsidRPr="00AB06F3" w14:paraId="74DC85C6" w14:textId="77777777" w:rsidTr="000111B5">
        <w:trPr>
          <w:trHeight w:val="293"/>
        </w:trPr>
        <w:tc>
          <w:tcPr>
            <w:tcW w:w="2881" w:type="dxa"/>
          </w:tcPr>
          <w:p w14:paraId="68BFA8D9" w14:textId="371C9FB3" w:rsidR="48836A97" w:rsidRPr="00AB06F3" w:rsidRDefault="5099FCF4" w:rsidP="002C74D3">
            <w:pPr>
              <w:spacing w:line="276" w:lineRule="auto"/>
              <w:jc w:val="both"/>
              <w:rPr>
                <w:rFonts w:ascii="Verdana" w:hAnsi="Verdana" w:cs="Arial"/>
                <w:sz w:val="18"/>
                <w:szCs w:val="18"/>
              </w:rPr>
            </w:pPr>
            <w:r w:rsidRPr="00AB06F3">
              <w:rPr>
                <w:rFonts w:ascii="Verdana" w:hAnsi="Verdana" w:cs="Arial"/>
                <w:sz w:val="18"/>
                <w:szCs w:val="18"/>
              </w:rPr>
              <w:lastRenderedPageBreak/>
              <w:t>C.239 Porcentaje de asignaciones únicas de normalización entregadas a los integrantes de las FARC-EP acreditado</w:t>
            </w:r>
          </w:p>
        </w:tc>
        <w:tc>
          <w:tcPr>
            <w:tcW w:w="2881" w:type="dxa"/>
          </w:tcPr>
          <w:p w14:paraId="319AF5C7" w14:textId="138995AA" w:rsidR="48836A97" w:rsidRPr="00AB06F3" w:rsidRDefault="68E24DF3" w:rsidP="002C74D3">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 xml:space="preserve">Desembolso de </w:t>
            </w:r>
            <w:r w:rsidR="00FB3CA1">
              <w:rPr>
                <w:rFonts w:ascii="Verdana" w:hAnsi="Verdana" w:cs="Arial"/>
                <w:color w:val="000000" w:themeColor="text1"/>
                <w:sz w:val="18"/>
                <w:szCs w:val="18"/>
              </w:rPr>
              <w:t>59</w:t>
            </w:r>
            <w:r w:rsidRPr="00AB06F3">
              <w:rPr>
                <w:rFonts w:ascii="Verdana" w:hAnsi="Verdana" w:cs="Arial"/>
                <w:color w:val="000000" w:themeColor="text1"/>
                <w:sz w:val="18"/>
                <w:szCs w:val="18"/>
              </w:rPr>
              <w:t xml:space="preserve"> Asignaciones Únicas de Normalización</w:t>
            </w:r>
          </w:p>
        </w:tc>
        <w:tc>
          <w:tcPr>
            <w:tcW w:w="2881" w:type="dxa"/>
          </w:tcPr>
          <w:p w14:paraId="07693B5F" w14:textId="25DD79DE" w:rsidR="48836A97" w:rsidRPr="00AB06F3" w:rsidRDefault="60B8FDFE" w:rsidP="002C74D3">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$1</w:t>
            </w:r>
            <w:r w:rsidR="00FB3CA1">
              <w:rPr>
                <w:rFonts w:ascii="Verdana" w:hAnsi="Verdana" w:cs="Arial"/>
                <w:color w:val="000000" w:themeColor="text1"/>
                <w:sz w:val="18"/>
                <w:szCs w:val="18"/>
              </w:rPr>
              <w:t>1</w:t>
            </w:r>
            <w:r w:rsidRPr="00AB06F3">
              <w:rPr>
                <w:rFonts w:ascii="Verdana" w:hAnsi="Verdana" w:cs="Arial"/>
                <w:color w:val="000000" w:themeColor="text1"/>
                <w:sz w:val="18"/>
                <w:szCs w:val="18"/>
              </w:rPr>
              <w:t>8.</w:t>
            </w:r>
            <w:r w:rsidR="00FB3CA1">
              <w:rPr>
                <w:rFonts w:ascii="Verdana" w:hAnsi="Verdana" w:cs="Arial"/>
                <w:color w:val="000000" w:themeColor="text1"/>
                <w:sz w:val="18"/>
                <w:szCs w:val="18"/>
              </w:rPr>
              <w:t>000</w:t>
            </w:r>
            <w:r w:rsidRPr="00AB06F3">
              <w:rPr>
                <w:rFonts w:ascii="Verdana" w:hAnsi="Verdana" w:cs="Arial"/>
                <w:color w:val="000000" w:themeColor="text1"/>
                <w:sz w:val="18"/>
                <w:szCs w:val="18"/>
              </w:rPr>
              <w:t>.000</w:t>
            </w:r>
            <w:r w:rsidR="739E3C1B" w:rsidRPr="00AB06F3">
              <w:rPr>
                <w:rFonts w:ascii="Verdana" w:hAnsi="Verdana" w:cs="Arial"/>
                <w:color w:val="000000" w:themeColor="text1"/>
                <w:sz w:val="18"/>
                <w:szCs w:val="18"/>
              </w:rPr>
              <w:t xml:space="preserve"> F</w:t>
            </w:r>
            <w:r w:rsidR="739E3C1B" w:rsidRPr="00AB06F3">
              <w:rPr>
                <w:rFonts w:ascii="Verdana" w:eastAsia="Verdana" w:hAnsi="Verdana" w:cs="Arial"/>
                <w:sz w:val="18"/>
                <w:szCs w:val="18"/>
              </w:rPr>
              <w:t>uente de recursos de Transferencias y son Recursos de la Nación</w:t>
            </w:r>
          </w:p>
          <w:p w14:paraId="615A88B8" w14:textId="4EE1B91C" w:rsidR="48836A97" w:rsidRPr="00AB06F3" w:rsidRDefault="739E3C1B" w:rsidP="002C74D3">
            <w:pPr>
              <w:spacing w:line="276" w:lineRule="auto"/>
              <w:jc w:val="both"/>
              <w:rPr>
                <w:rFonts w:ascii="Verdana" w:eastAsia="Verdana" w:hAnsi="Verdana" w:cs="Arial"/>
                <w:sz w:val="18"/>
                <w:szCs w:val="18"/>
              </w:rPr>
            </w:pPr>
            <w:r w:rsidRPr="00AB06F3">
              <w:rPr>
                <w:rFonts w:ascii="Verdana" w:eastAsia="Verdana" w:hAnsi="Verdana" w:cs="Arial"/>
                <w:sz w:val="18"/>
                <w:szCs w:val="18"/>
              </w:rPr>
              <w:t xml:space="preserve">Nota: </w:t>
            </w:r>
            <w:r w:rsidR="608E0CED" w:rsidRPr="00AB06F3">
              <w:rPr>
                <w:rFonts w:ascii="Verdana" w:hAnsi="Verdana" w:cs="Arial"/>
                <w:color w:val="000000" w:themeColor="text1"/>
                <w:sz w:val="18"/>
                <w:szCs w:val="18"/>
              </w:rPr>
              <w:t>El Fondo Colombia en Paz realiza el desembolso del beneficio al participante final.</w:t>
            </w:r>
          </w:p>
        </w:tc>
      </w:tr>
    </w:tbl>
    <w:p w14:paraId="5C8B7449"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65412C7" w14:textId="77777777" w:rsidR="00157B16" w:rsidRPr="00157B16" w:rsidRDefault="00157B16" w:rsidP="00C25586">
      <w:pPr>
        <w:pStyle w:val="Ttulo5"/>
        <w:spacing w:after="0" w:line="276" w:lineRule="auto"/>
        <w:jc w:val="both"/>
        <w:rPr>
          <w:rFonts w:ascii="Verdana" w:hAnsi="Verdana" w:cs="Arial"/>
          <w:b/>
          <w:bCs/>
          <w:color w:val="000000" w:themeColor="text1"/>
          <w:sz w:val="24"/>
          <w:szCs w:val="24"/>
        </w:rPr>
      </w:pPr>
    </w:p>
    <w:p w14:paraId="3A66E339" w14:textId="68C19A94" w:rsidR="00010793" w:rsidRPr="00AB06F3" w:rsidRDefault="00C01A98" w:rsidP="00031DF5">
      <w:pPr>
        <w:pStyle w:val="Ttulo5"/>
        <w:numPr>
          <w:ilvl w:val="0"/>
          <w:numId w:val="3"/>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Regionalización de las acciones y beneficiarios:</w:t>
      </w:r>
      <w:r w:rsidR="00010793" w:rsidRPr="00AB06F3">
        <w:rPr>
          <w:rFonts w:ascii="Verdana" w:hAnsi="Verdana" w:cs="Arial"/>
          <w:color w:val="000000" w:themeColor="text1"/>
          <w:sz w:val="24"/>
          <w:szCs w:val="24"/>
        </w:rPr>
        <w:t xml:space="preserve">  </w:t>
      </w:r>
    </w:p>
    <w:p w14:paraId="2BD3105E" w14:textId="77777777" w:rsidR="00B217DE" w:rsidRDefault="00B217DE" w:rsidP="00C25586">
      <w:pPr>
        <w:spacing w:after="0" w:line="276" w:lineRule="auto"/>
        <w:jc w:val="both"/>
        <w:rPr>
          <w:rFonts w:ascii="Verdana" w:eastAsia="Verdana" w:hAnsi="Verdana" w:cs="Arial"/>
          <w:sz w:val="24"/>
          <w:szCs w:val="24"/>
        </w:rPr>
      </w:pPr>
    </w:p>
    <w:p w14:paraId="3970AB33" w14:textId="68C61229" w:rsidR="00B709EF" w:rsidRDefault="5CC55437" w:rsidP="00C25586">
      <w:pPr>
        <w:spacing w:after="0" w:line="276" w:lineRule="auto"/>
        <w:jc w:val="both"/>
        <w:rPr>
          <w:rFonts w:ascii="Verdana" w:eastAsia="Verdana" w:hAnsi="Verdana" w:cs="Arial"/>
          <w:sz w:val="24"/>
          <w:szCs w:val="24"/>
        </w:rPr>
      </w:pPr>
      <w:r w:rsidRPr="00AB06F3">
        <w:rPr>
          <w:rFonts w:ascii="Verdana" w:eastAsia="Verdana" w:hAnsi="Verdana" w:cs="Arial"/>
          <w:sz w:val="24"/>
          <w:szCs w:val="24"/>
        </w:rPr>
        <w:t xml:space="preserve">Los desembolsos de los beneficios económicos de </w:t>
      </w:r>
      <w:r w:rsidR="00B217DE">
        <w:rPr>
          <w:rFonts w:ascii="Verdana" w:eastAsia="Verdana" w:hAnsi="Verdana" w:cs="Arial"/>
          <w:sz w:val="24"/>
          <w:szCs w:val="24"/>
        </w:rPr>
        <w:t xml:space="preserve">la </w:t>
      </w:r>
      <w:r w:rsidRPr="00AB06F3">
        <w:rPr>
          <w:rFonts w:ascii="Verdana" w:eastAsia="Verdana" w:hAnsi="Verdana" w:cs="Arial"/>
          <w:sz w:val="24"/>
          <w:szCs w:val="24"/>
        </w:rPr>
        <w:t xml:space="preserve">Asignación Única de Normalización, establecidos en el Decreto </w:t>
      </w:r>
      <w:r w:rsidR="00B217DE">
        <w:rPr>
          <w:rFonts w:ascii="Verdana" w:eastAsia="Verdana" w:hAnsi="Verdana" w:cs="Arial"/>
          <w:sz w:val="24"/>
          <w:szCs w:val="24"/>
        </w:rPr>
        <w:t>L</w:t>
      </w:r>
      <w:r w:rsidRPr="00AB06F3">
        <w:rPr>
          <w:rFonts w:ascii="Verdana" w:eastAsia="Verdana" w:hAnsi="Verdana" w:cs="Arial"/>
          <w:sz w:val="24"/>
          <w:szCs w:val="24"/>
        </w:rPr>
        <w:t xml:space="preserve">ey 899 de 2017, </w:t>
      </w:r>
      <w:r w:rsidR="00B217DE">
        <w:rPr>
          <w:rFonts w:ascii="Verdana" w:eastAsia="Verdana" w:hAnsi="Verdana" w:cs="Arial"/>
          <w:sz w:val="24"/>
          <w:szCs w:val="24"/>
        </w:rPr>
        <w:t xml:space="preserve">se realizan mediante abono en cuenta bancaria </w:t>
      </w:r>
      <w:r w:rsidR="002B0EE9" w:rsidRPr="002B0EE9">
        <w:rPr>
          <w:rFonts w:ascii="Verdana" w:eastAsia="Verdana" w:hAnsi="Verdana" w:cs="Arial"/>
          <w:sz w:val="24"/>
          <w:szCs w:val="24"/>
        </w:rPr>
        <w:t>a las personas en proceso de reincorporación que cumplen los requisitos definidos para su otorgamiento.</w:t>
      </w:r>
      <w:r w:rsidR="002B0EE9" w:rsidRPr="002B0EE9">
        <w:t xml:space="preserve"> </w:t>
      </w:r>
      <w:r w:rsidR="002B0EE9" w:rsidRPr="002B0EE9">
        <w:rPr>
          <w:rFonts w:ascii="Verdana" w:eastAsia="Verdana" w:hAnsi="Verdana" w:cs="Arial"/>
          <w:sz w:val="24"/>
          <w:szCs w:val="24"/>
        </w:rPr>
        <w:t>a las personas en proceso de reincorporación que cumplen los requisitos definidos para su otorgamiento.</w:t>
      </w:r>
    </w:p>
    <w:p w14:paraId="7CE04385" w14:textId="57760673" w:rsidR="00B709EF" w:rsidRPr="00D92CCE" w:rsidRDefault="00B709EF" w:rsidP="00D92CCE">
      <w:pPr>
        <w:spacing w:after="0" w:line="276" w:lineRule="auto"/>
        <w:rPr>
          <w:rFonts w:ascii="Verdana" w:hAnsi="Verdana" w:cs="Arial"/>
          <w:sz w:val="18"/>
          <w:szCs w:val="18"/>
        </w:rPr>
      </w:pPr>
    </w:p>
    <w:p w14:paraId="20C0EFCE" w14:textId="2270A17B" w:rsidR="00D92CCE" w:rsidRPr="00D92CCE" w:rsidRDefault="00D92CCE" w:rsidP="00D92CCE">
      <w:pPr>
        <w:pStyle w:val="Descripcin"/>
        <w:keepNext/>
        <w:jc w:val="center"/>
        <w:rPr>
          <w:rFonts w:ascii="Verdana" w:hAnsi="Verdana" w:cs="Arial"/>
          <w:i w:val="0"/>
          <w:iCs w:val="0"/>
          <w:color w:val="auto"/>
        </w:rPr>
      </w:pPr>
      <w:bookmarkStart w:id="37" w:name="_Toc225283144"/>
      <w:r w:rsidRPr="00D92CCE">
        <w:rPr>
          <w:rFonts w:ascii="Verdana" w:hAnsi="Verdana" w:cs="Arial"/>
          <w:i w:val="0"/>
          <w:iCs w:val="0"/>
          <w:color w:val="auto"/>
        </w:rPr>
        <w:t xml:space="preserve">Tabla </w:t>
      </w:r>
      <w:r w:rsidRPr="00D92CCE">
        <w:rPr>
          <w:rFonts w:ascii="Verdana" w:hAnsi="Verdana" w:cs="Arial"/>
          <w:i w:val="0"/>
          <w:iCs w:val="0"/>
          <w:color w:val="auto"/>
        </w:rPr>
        <w:fldChar w:fldCharType="begin"/>
      </w:r>
      <w:r w:rsidRPr="00D92CCE">
        <w:rPr>
          <w:rFonts w:ascii="Verdana" w:hAnsi="Verdana" w:cs="Arial"/>
          <w:i w:val="0"/>
          <w:iCs w:val="0"/>
          <w:color w:val="auto"/>
        </w:rPr>
        <w:instrText xml:space="preserve"> SEQ Tabla \* ARABIC </w:instrText>
      </w:r>
      <w:r w:rsidRPr="00D92CCE">
        <w:rPr>
          <w:rFonts w:ascii="Verdana" w:hAnsi="Verdana" w:cs="Arial"/>
          <w:i w:val="0"/>
          <w:iCs w:val="0"/>
          <w:color w:val="auto"/>
        </w:rPr>
        <w:fldChar w:fldCharType="separate"/>
      </w:r>
      <w:r w:rsidR="0078027F">
        <w:rPr>
          <w:rFonts w:ascii="Verdana" w:hAnsi="Verdana" w:cs="Arial"/>
          <w:i w:val="0"/>
          <w:iCs w:val="0"/>
          <w:noProof/>
          <w:color w:val="auto"/>
        </w:rPr>
        <w:t>32</w:t>
      </w:r>
      <w:r w:rsidRPr="00D92CCE">
        <w:rPr>
          <w:rFonts w:ascii="Verdana" w:hAnsi="Verdana" w:cs="Arial"/>
          <w:i w:val="0"/>
          <w:iCs w:val="0"/>
          <w:color w:val="auto"/>
        </w:rPr>
        <w:fldChar w:fldCharType="end"/>
      </w:r>
      <w:r w:rsidRPr="00D92CCE">
        <w:rPr>
          <w:rFonts w:ascii="Verdana" w:hAnsi="Verdana" w:cs="Arial"/>
          <w:i w:val="0"/>
          <w:iCs w:val="0"/>
          <w:color w:val="auto"/>
        </w:rPr>
        <w:t>. Regionalización de las acciones del indicador C.239</w:t>
      </w:r>
      <w:bookmarkEnd w:id="37"/>
    </w:p>
    <w:tbl>
      <w:tblPr>
        <w:tblStyle w:val="Tablaconcuadrcula1clara-nfasis4"/>
        <w:tblW w:w="7862" w:type="dxa"/>
        <w:jc w:val="center"/>
        <w:tblBorders>
          <w:insideH w:val="single" w:sz="12" w:space="0" w:color="FFD966" w:themeColor="accent4" w:themeTint="99"/>
        </w:tblBorders>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2405"/>
        <w:gridCol w:w="1920"/>
        <w:gridCol w:w="3537"/>
      </w:tblGrid>
      <w:tr w:rsidR="48836A97" w:rsidRPr="00AB06F3" w14:paraId="18B881B9" w14:textId="77777777" w:rsidTr="006D165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05" w:type="dxa"/>
          </w:tcPr>
          <w:p w14:paraId="6A3AF21D" w14:textId="423DC87A" w:rsidR="48836A97" w:rsidRPr="00D23BCC" w:rsidRDefault="48836A97" w:rsidP="00C25586">
            <w:pPr>
              <w:spacing w:line="276" w:lineRule="auto"/>
              <w:jc w:val="center"/>
              <w:rPr>
                <w:rFonts w:ascii="Verdana" w:hAnsi="Verdana" w:cs="Arial"/>
                <w:sz w:val="18"/>
                <w:szCs w:val="18"/>
              </w:rPr>
            </w:pPr>
            <w:r w:rsidRPr="00D23BCC">
              <w:rPr>
                <w:rFonts w:ascii="Verdana" w:hAnsi="Verdana" w:cs="Arial"/>
                <w:color w:val="000000" w:themeColor="text1"/>
                <w:sz w:val="18"/>
                <w:szCs w:val="18"/>
              </w:rPr>
              <w:t>Indicador del PMI</w:t>
            </w:r>
          </w:p>
        </w:tc>
        <w:tc>
          <w:tcPr>
            <w:tcW w:w="1920" w:type="dxa"/>
            <w:vAlign w:val="center"/>
          </w:tcPr>
          <w:p w14:paraId="28A26F47" w14:textId="0E591F4B" w:rsidR="48836A97" w:rsidRPr="00D23BCC" w:rsidRDefault="033271B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hAnsi="Verdana" w:cs="Arial"/>
                <w:sz w:val="18"/>
                <w:szCs w:val="18"/>
              </w:rPr>
              <w:t>Total Población Beneficiada</w:t>
            </w:r>
          </w:p>
        </w:tc>
        <w:tc>
          <w:tcPr>
            <w:tcW w:w="3537" w:type="dxa"/>
            <w:vAlign w:val="center"/>
          </w:tcPr>
          <w:p w14:paraId="12B586FA" w14:textId="20243609" w:rsidR="48836A97" w:rsidRPr="00D23BC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D23BCC">
              <w:rPr>
                <w:rFonts w:ascii="Verdana" w:hAnsi="Verdana" w:cs="Arial"/>
                <w:sz w:val="18"/>
                <w:szCs w:val="18"/>
              </w:rPr>
              <w:t>Clasificación poblacional</w:t>
            </w:r>
          </w:p>
        </w:tc>
      </w:tr>
      <w:tr w:rsidR="48836A97" w:rsidRPr="00AB06F3" w14:paraId="381A6323" w14:textId="77777777" w:rsidTr="006D1650">
        <w:trPr>
          <w:trHeight w:val="300"/>
          <w:jc w:val="center"/>
        </w:trPr>
        <w:tc>
          <w:tcPr>
            <w:cnfStyle w:val="001000000000" w:firstRow="0" w:lastRow="0" w:firstColumn="1" w:lastColumn="0" w:oddVBand="0" w:evenVBand="0" w:oddHBand="0" w:evenHBand="0" w:firstRowFirstColumn="0" w:firstRowLastColumn="0" w:lastRowFirstColumn="0" w:lastRowLastColumn="0"/>
            <w:tcW w:w="2405" w:type="dxa"/>
          </w:tcPr>
          <w:p w14:paraId="1FCBAB90" w14:textId="178D4CE4" w:rsidR="48836A97" w:rsidRPr="00AB06F3" w:rsidRDefault="14BBB53A" w:rsidP="00187721">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C.239 Porcentaje de asignaciones únicas de normalización entregadas a los integrantes de las FARC-EP acreditado</w:t>
            </w:r>
          </w:p>
        </w:tc>
        <w:tc>
          <w:tcPr>
            <w:tcW w:w="1920" w:type="dxa"/>
            <w:vAlign w:val="center"/>
          </w:tcPr>
          <w:p w14:paraId="7CA2FE98" w14:textId="02DFAF55" w:rsidR="48836A97" w:rsidRPr="00AB06F3" w:rsidRDefault="09F34CCC"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13.4</w:t>
            </w:r>
            <w:r w:rsidR="00B55D34">
              <w:rPr>
                <w:rFonts w:ascii="Verdana" w:hAnsi="Verdana" w:cs="Arial"/>
                <w:sz w:val="18"/>
                <w:szCs w:val="18"/>
              </w:rPr>
              <w:t>75</w:t>
            </w:r>
            <w:r w:rsidRPr="00AB06F3">
              <w:rPr>
                <w:rFonts w:ascii="Verdana" w:hAnsi="Verdana" w:cs="Arial"/>
                <w:sz w:val="18"/>
                <w:szCs w:val="18"/>
              </w:rPr>
              <w:t xml:space="preserve"> personas con desembolso de </w:t>
            </w:r>
            <w:r w:rsidR="46E6ED73" w:rsidRPr="00AB06F3">
              <w:rPr>
                <w:rFonts w:ascii="Verdana" w:hAnsi="Verdana" w:cs="Arial"/>
                <w:sz w:val="18"/>
                <w:szCs w:val="18"/>
              </w:rPr>
              <w:t>Asignación Única de Normalización</w:t>
            </w:r>
          </w:p>
        </w:tc>
        <w:tc>
          <w:tcPr>
            <w:tcW w:w="3537" w:type="dxa"/>
            <w:vAlign w:val="center"/>
          </w:tcPr>
          <w:p w14:paraId="18867A86" w14:textId="2855D15C" w:rsidR="09F34CCC" w:rsidRPr="00AB06F3" w:rsidRDefault="09F34CCC"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3.1</w:t>
            </w:r>
            <w:r w:rsidR="00B55D34">
              <w:rPr>
                <w:rFonts w:ascii="Verdana" w:hAnsi="Verdana" w:cs="Arial"/>
                <w:sz w:val="18"/>
                <w:szCs w:val="18"/>
              </w:rPr>
              <w:t>75</w:t>
            </w:r>
            <w:r w:rsidRPr="00AB06F3">
              <w:rPr>
                <w:rFonts w:ascii="Verdana" w:hAnsi="Verdana" w:cs="Arial"/>
                <w:sz w:val="18"/>
                <w:szCs w:val="18"/>
              </w:rPr>
              <w:t xml:space="preserve"> mujeres </w:t>
            </w:r>
          </w:p>
          <w:p w14:paraId="040072C8" w14:textId="1A2772C4" w:rsidR="09F34CCC" w:rsidRPr="00AB06F3" w:rsidRDefault="09F34CCC"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10.</w:t>
            </w:r>
            <w:r w:rsidR="00AB2324">
              <w:rPr>
                <w:rFonts w:ascii="Verdana" w:hAnsi="Verdana" w:cs="Arial"/>
                <w:sz w:val="18"/>
                <w:szCs w:val="18"/>
              </w:rPr>
              <w:t>300</w:t>
            </w:r>
            <w:r w:rsidRPr="00AB06F3">
              <w:rPr>
                <w:rFonts w:ascii="Verdana" w:hAnsi="Verdana" w:cs="Arial"/>
                <w:sz w:val="18"/>
                <w:szCs w:val="18"/>
              </w:rPr>
              <w:t xml:space="preserve"> hombres</w:t>
            </w:r>
          </w:p>
          <w:p w14:paraId="2402AE16" w14:textId="4AA08C58" w:rsidR="2D2A373F" w:rsidRPr="00AB06F3" w:rsidRDefault="2D2A373F"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p w14:paraId="1BF3C5D1" w14:textId="6E68ACF4" w:rsidR="48836A97" w:rsidRPr="00AB06F3" w:rsidRDefault="190A80E0"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eastAsia="Calibri" w:hAnsi="Verdana" w:cs="Arial"/>
                <w:color w:val="000000" w:themeColor="text1"/>
                <w:sz w:val="18"/>
                <w:szCs w:val="18"/>
              </w:rPr>
            </w:pPr>
            <w:r w:rsidRPr="00AB06F3">
              <w:rPr>
                <w:rFonts w:ascii="Verdana" w:hAnsi="Verdana" w:cs="Arial"/>
                <w:sz w:val="18"/>
                <w:szCs w:val="18"/>
              </w:rPr>
              <w:t xml:space="preserve">De estos, </w:t>
            </w:r>
            <w:r w:rsidRPr="00AB06F3">
              <w:rPr>
                <w:rFonts w:ascii="Verdana" w:eastAsia="Calibri" w:hAnsi="Verdana" w:cs="Arial"/>
                <w:color w:val="000000" w:themeColor="text1"/>
                <w:sz w:val="18"/>
                <w:szCs w:val="18"/>
              </w:rPr>
              <w:t>1.0</w:t>
            </w:r>
            <w:r w:rsidR="00AB2324">
              <w:rPr>
                <w:rFonts w:ascii="Verdana" w:eastAsia="Calibri" w:hAnsi="Verdana" w:cs="Arial"/>
                <w:color w:val="000000" w:themeColor="text1"/>
                <w:sz w:val="18"/>
                <w:szCs w:val="18"/>
              </w:rPr>
              <w:t>91</w:t>
            </w:r>
            <w:r w:rsidRPr="00AB06F3">
              <w:rPr>
                <w:rFonts w:ascii="Verdana" w:eastAsia="Calibri" w:hAnsi="Verdana" w:cs="Arial"/>
                <w:color w:val="000000" w:themeColor="text1"/>
                <w:sz w:val="18"/>
                <w:szCs w:val="18"/>
              </w:rPr>
              <w:t xml:space="preserve"> personas </w:t>
            </w:r>
            <w:r w:rsidR="17AC802A" w:rsidRPr="00AB06F3">
              <w:rPr>
                <w:rFonts w:ascii="Verdana" w:eastAsia="Calibri" w:hAnsi="Verdana" w:cs="Arial"/>
                <w:color w:val="000000" w:themeColor="text1"/>
                <w:sz w:val="18"/>
                <w:szCs w:val="18"/>
              </w:rPr>
              <w:t>son de</w:t>
            </w:r>
            <w:r w:rsidRPr="00AB06F3">
              <w:rPr>
                <w:rFonts w:ascii="Verdana" w:eastAsia="Calibri" w:hAnsi="Verdana" w:cs="Arial"/>
                <w:color w:val="000000" w:themeColor="text1"/>
                <w:sz w:val="18"/>
                <w:szCs w:val="18"/>
              </w:rPr>
              <w:t xml:space="preserve"> comunidades Negras, Afrocolombianas, Raizales y Palenqueras</w:t>
            </w:r>
          </w:p>
          <w:p w14:paraId="1DB969EB" w14:textId="0C3C06ED" w:rsidR="48836A97" w:rsidRPr="00AB06F3" w:rsidRDefault="190A80E0"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Calibri" w:hAnsi="Verdana" w:cs="Arial"/>
                <w:color w:val="000000" w:themeColor="text1"/>
                <w:sz w:val="18"/>
                <w:szCs w:val="18"/>
              </w:rPr>
              <w:t xml:space="preserve">1.897 </w:t>
            </w:r>
            <w:r w:rsidR="50E354CC" w:rsidRPr="00AB06F3">
              <w:rPr>
                <w:rFonts w:ascii="Verdana" w:eastAsia="Calibri" w:hAnsi="Verdana" w:cs="Arial"/>
                <w:color w:val="000000" w:themeColor="text1"/>
                <w:sz w:val="18"/>
                <w:szCs w:val="18"/>
              </w:rPr>
              <w:t>personas son</w:t>
            </w:r>
            <w:r w:rsidRPr="00AB06F3">
              <w:rPr>
                <w:rFonts w:ascii="Verdana" w:eastAsia="Calibri" w:hAnsi="Verdana" w:cs="Arial"/>
                <w:color w:val="000000" w:themeColor="text1"/>
                <w:sz w:val="18"/>
                <w:szCs w:val="18"/>
              </w:rPr>
              <w:t xml:space="preserve"> indígena</w:t>
            </w:r>
            <w:r w:rsidR="5CE43187" w:rsidRPr="00AB06F3">
              <w:rPr>
                <w:rFonts w:ascii="Verdana" w:eastAsia="Calibri" w:hAnsi="Verdana" w:cs="Arial"/>
                <w:color w:val="000000" w:themeColor="text1"/>
                <w:sz w:val="18"/>
                <w:szCs w:val="18"/>
              </w:rPr>
              <w:t>s</w:t>
            </w:r>
            <w:r w:rsidRPr="00AB06F3">
              <w:rPr>
                <w:rFonts w:ascii="Verdana" w:eastAsia="Calibri" w:hAnsi="Verdana" w:cs="Arial"/>
                <w:color w:val="000000" w:themeColor="text1"/>
                <w:sz w:val="18"/>
                <w:szCs w:val="18"/>
              </w:rPr>
              <w:t xml:space="preserve"> </w:t>
            </w:r>
          </w:p>
          <w:p w14:paraId="53C8E73C" w14:textId="7FED3D55" w:rsidR="48836A97" w:rsidRPr="00AB06F3" w:rsidRDefault="683D6267" w:rsidP="00187721">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Calibri" w:hAnsi="Verdana" w:cs="Arial"/>
                <w:color w:val="000000" w:themeColor="text1"/>
                <w:sz w:val="18"/>
                <w:szCs w:val="18"/>
              </w:rPr>
              <w:t>2 per</w:t>
            </w:r>
            <w:r w:rsidR="484D2C39" w:rsidRPr="00AB06F3">
              <w:rPr>
                <w:rFonts w:ascii="Verdana" w:eastAsia="Calibri" w:hAnsi="Verdana" w:cs="Arial"/>
                <w:color w:val="000000" w:themeColor="text1"/>
                <w:sz w:val="18"/>
                <w:szCs w:val="18"/>
              </w:rPr>
              <w:t>sonas son de</w:t>
            </w:r>
            <w:r w:rsidRPr="00AB06F3">
              <w:rPr>
                <w:rFonts w:ascii="Verdana" w:eastAsia="Calibri" w:hAnsi="Verdana" w:cs="Arial"/>
                <w:color w:val="000000" w:themeColor="text1"/>
                <w:sz w:val="18"/>
                <w:szCs w:val="18"/>
              </w:rPr>
              <w:t xml:space="preserve"> pueblo Rrom.</w:t>
            </w:r>
          </w:p>
        </w:tc>
      </w:tr>
    </w:tbl>
    <w:p w14:paraId="6CF5BD88"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5DC8C36" w14:textId="7C269A0D" w:rsidR="00B709EF" w:rsidRPr="00AB06F3" w:rsidRDefault="00B709EF" w:rsidP="00C25586">
      <w:pPr>
        <w:spacing w:after="0" w:line="276" w:lineRule="auto"/>
        <w:jc w:val="center"/>
        <w:rPr>
          <w:rFonts w:ascii="Verdana" w:hAnsi="Verdana" w:cs="Arial"/>
          <w:sz w:val="18"/>
          <w:szCs w:val="18"/>
        </w:rPr>
      </w:pPr>
    </w:p>
    <w:p w14:paraId="596963A0" w14:textId="40BFEF65" w:rsidR="00B709EF" w:rsidRDefault="3702B699" w:rsidP="00C25586">
      <w:pPr>
        <w:spacing w:after="0" w:line="276" w:lineRule="auto"/>
        <w:jc w:val="center"/>
        <w:rPr>
          <w:rFonts w:ascii="Verdana" w:hAnsi="Verdana" w:cs="Arial"/>
          <w:sz w:val="18"/>
          <w:szCs w:val="18"/>
        </w:rPr>
      </w:pPr>
      <w:r w:rsidRPr="00AB06F3">
        <w:rPr>
          <w:rFonts w:ascii="Verdana" w:hAnsi="Verdana" w:cs="Arial"/>
          <w:sz w:val="18"/>
          <w:szCs w:val="18"/>
        </w:rPr>
        <w:t xml:space="preserve">Ver desagregación </w:t>
      </w:r>
      <w:r w:rsidR="72DC92B1" w:rsidRPr="00AB06F3">
        <w:rPr>
          <w:rFonts w:ascii="Verdana" w:hAnsi="Verdana" w:cs="Arial"/>
          <w:sz w:val="18"/>
          <w:szCs w:val="18"/>
        </w:rPr>
        <w:t>de género y étnico</w:t>
      </w:r>
      <w:r w:rsidRPr="00AB06F3">
        <w:rPr>
          <w:rFonts w:ascii="Verdana" w:hAnsi="Verdana" w:cs="Arial"/>
          <w:sz w:val="18"/>
          <w:szCs w:val="18"/>
        </w:rPr>
        <w:t xml:space="preserve"> que se reporta a SIIPO en el siguiente link</w:t>
      </w:r>
      <w:r w:rsidRPr="00AB06F3">
        <w:rPr>
          <w:rStyle w:val="Hipervnculo"/>
          <w:rFonts w:ascii="Verdana" w:hAnsi="Verdana" w:cs="Arial"/>
          <w:sz w:val="18"/>
          <w:szCs w:val="18"/>
        </w:rPr>
        <w:t xml:space="preserve"> </w:t>
      </w:r>
      <w:hyperlink r:id="rId17">
        <w:r w:rsidR="14DE00A0" w:rsidRPr="00AB06F3">
          <w:rPr>
            <w:rStyle w:val="Hipervnculo"/>
            <w:rFonts w:ascii="Verdana" w:hAnsi="Verdana" w:cs="Arial"/>
            <w:sz w:val="18"/>
            <w:szCs w:val="18"/>
          </w:rPr>
          <w:t>https://siipo.dnp.gov.co/detalleindicador/VgrqYcbAe6wsegjY5Lkr</w:t>
        </w:r>
      </w:hyperlink>
      <w:r w:rsidR="14DE00A0" w:rsidRPr="00AB06F3">
        <w:rPr>
          <w:rFonts w:ascii="Verdana" w:hAnsi="Verdana" w:cs="Arial"/>
          <w:sz w:val="18"/>
          <w:szCs w:val="18"/>
        </w:rPr>
        <w:t xml:space="preserve"> </w:t>
      </w:r>
    </w:p>
    <w:p w14:paraId="6A5006BA" w14:textId="77777777" w:rsidR="00BC25A9" w:rsidRPr="00AB06F3" w:rsidRDefault="00BC25A9" w:rsidP="00C25586">
      <w:pPr>
        <w:spacing w:after="0" w:line="276" w:lineRule="auto"/>
        <w:jc w:val="center"/>
        <w:rPr>
          <w:rFonts w:ascii="Verdana" w:hAnsi="Verdana" w:cs="Arial"/>
          <w:sz w:val="18"/>
          <w:szCs w:val="18"/>
        </w:rPr>
      </w:pPr>
    </w:p>
    <w:p w14:paraId="15532659" w14:textId="2DFF1AF6" w:rsidR="00B709EF" w:rsidRDefault="6B96FDB9" w:rsidP="00031DF5">
      <w:pPr>
        <w:pStyle w:val="Ttulo5"/>
        <w:numPr>
          <w:ilvl w:val="0"/>
          <w:numId w:val="8"/>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¿Qué desafíos y retos tuvimos para el cumplimiento del indicador PMI?</w:t>
      </w:r>
    </w:p>
    <w:p w14:paraId="1DDF856C" w14:textId="03DC2C15" w:rsidR="00B709EF" w:rsidRPr="005B4EF2" w:rsidRDefault="00B709EF" w:rsidP="005B4EF2">
      <w:pPr>
        <w:spacing w:after="0" w:line="276" w:lineRule="auto"/>
        <w:rPr>
          <w:rStyle w:val="Referenciasutil"/>
          <w:rFonts w:ascii="Verdana" w:hAnsi="Verdana" w:cs="Arial"/>
        </w:rPr>
      </w:pPr>
    </w:p>
    <w:p w14:paraId="63C19947" w14:textId="7A86432F" w:rsidR="005B4EF2" w:rsidRPr="005B4EF2" w:rsidRDefault="005B4EF2" w:rsidP="005B4EF2">
      <w:pPr>
        <w:pStyle w:val="Descripcin"/>
        <w:keepNext/>
        <w:jc w:val="center"/>
        <w:rPr>
          <w:rStyle w:val="Referenciasutil"/>
          <w:rFonts w:ascii="Verdana" w:hAnsi="Verdana" w:cs="Arial"/>
          <w:i w:val="0"/>
          <w:iCs w:val="0"/>
        </w:rPr>
      </w:pPr>
      <w:bookmarkStart w:id="38" w:name="_Toc225283145"/>
      <w:r w:rsidRPr="005B4EF2">
        <w:rPr>
          <w:rStyle w:val="Referenciasutil"/>
          <w:rFonts w:ascii="Verdana" w:hAnsi="Verdana" w:cs="Arial"/>
          <w:i w:val="0"/>
          <w:iCs w:val="0"/>
        </w:rPr>
        <w:t xml:space="preserve">Tabla </w:t>
      </w:r>
      <w:r w:rsidRPr="005B4EF2">
        <w:rPr>
          <w:rStyle w:val="Referenciasutil"/>
          <w:rFonts w:ascii="Verdana" w:hAnsi="Verdana" w:cs="Arial"/>
          <w:i w:val="0"/>
          <w:iCs w:val="0"/>
        </w:rPr>
        <w:fldChar w:fldCharType="begin"/>
      </w:r>
      <w:r w:rsidRPr="005B4EF2">
        <w:rPr>
          <w:rStyle w:val="Referenciasutil"/>
          <w:rFonts w:ascii="Verdana" w:hAnsi="Verdana" w:cs="Arial"/>
          <w:i w:val="0"/>
          <w:iCs w:val="0"/>
        </w:rPr>
        <w:instrText xml:space="preserve"> SEQ Tabla \* ARABIC </w:instrText>
      </w:r>
      <w:r w:rsidRPr="005B4EF2">
        <w:rPr>
          <w:rStyle w:val="Referenciasutil"/>
          <w:rFonts w:ascii="Verdana" w:hAnsi="Verdana" w:cs="Arial"/>
          <w:i w:val="0"/>
          <w:iCs w:val="0"/>
        </w:rPr>
        <w:fldChar w:fldCharType="separate"/>
      </w:r>
      <w:r w:rsidR="0078027F">
        <w:rPr>
          <w:rStyle w:val="Referenciasutil"/>
          <w:rFonts w:ascii="Verdana" w:hAnsi="Verdana" w:cs="Arial"/>
          <w:i w:val="0"/>
          <w:iCs w:val="0"/>
          <w:noProof/>
        </w:rPr>
        <w:t>33</w:t>
      </w:r>
      <w:r w:rsidRPr="005B4EF2">
        <w:rPr>
          <w:rStyle w:val="Referenciasutil"/>
          <w:rFonts w:ascii="Verdana" w:hAnsi="Verdana" w:cs="Arial"/>
          <w:i w:val="0"/>
          <w:iCs w:val="0"/>
        </w:rPr>
        <w:fldChar w:fldCharType="end"/>
      </w:r>
      <w:r w:rsidRPr="005B4EF2">
        <w:rPr>
          <w:rStyle w:val="Referenciasutil"/>
          <w:rFonts w:ascii="Verdana" w:hAnsi="Verdana" w:cs="Arial"/>
          <w:i w:val="0"/>
          <w:iCs w:val="0"/>
        </w:rPr>
        <w:t>. Desafíos y retos del indicador C.239</w:t>
      </w:r>
      <w:bookmarkEnd w:id="38"/>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2405"/>
        <w:gridCol w:w="3480"/>
        <w:gridCol w:w="2943"/>
      </w:tblGrid>
      <w:tr w:rsidR="48836A97" w:rsidRPr="00AB06F3" w14:paraId="3D80C6BF" w14:textId="77777777" w:rsidTr="005B4EF2">
        <w:trPr>
          <w:trHeight w:val="300"/>
          <w:tblHeader/>
        </w:trPr>
        <w:tc>
          <w:tcPr>
            <w:tcW w:w="2405" w:type="dxa"/>
          </w:tcPr>
          <w:p w14:paraId="64C79376" w14:textId="4D6F85C9" w:rsidR="48836A97" w:rsidRPr="0050063C" w:rsidRDefault="48836A97" w:rsidP="0050063C">
            <w:pPr>
              <w:spacing w:line="276" w:lineRule="auto"/>
              <w:jc w:val="center"/>
              <w:rPr>
                <w:rFonts w:ascii="Verdana" w:hAnsi="Verdana" w:cs="Arial"/>
                <w:b/>
                <w:bCs/>
                <w:color w:val="000000" w:themeColor="text1"/>
                <w:sz w:val="18"/>
                <w:szCs w:val="18"/>
              </w:rPr>
            </w:pPr>
            <w:r w:rsidRPr="0050063C">
              <w:rPr>
                <w:rFonts w:ascii="Verdana" w:hAnsi="Verdana" w:cs="Arial"/>
                <w:b/>
                <w:bCs/>
                <w:color w:val="000000" w:themeColor="text1"/>
                <w:sz w:val="18"/>
                <w:szCs w:val="18"/>
              </w:rPr>
              <w:t>Tipo de Reto</w:t>
            </w:r>
          </w:p>
        </w:tc>
        <w:tc>
          <w:tcPr>
            <w:tcW w:w="3480" w:type="dxa"/>
          </w:tcPr>
          <w:p w14:paraId="7B4B1733" w14:textId="77777777" w:rsidR="48836A97" w:rsidRPr="0050063C" w:rsidRDefault="48836A97" w:rsidP="0050063C">
            <w:pPr>
              <w:spacing w:line="276" w:lineRule="auto"/>
              <w:jc w:val="center"/>
              <w:rPr>
                <w:rFonts w:ascii="Verdana" w:hAnsi="Verdana" w:cs="Arial"/>
                <w:b/>
                <w:bCs/>
                <w:color w:val="000000" w:themeColor="text1"/>
                <w:sz w:val="18"/>
                <w:szCs w:val="18"/>
              </w:rPr>
            </w:pPr>
            <w:r w:rsidRPr="0050063C">
              <w:rPr>
                <w:rFonts w:ascii="Verdana" w:hAnsi="Verdana" w:cs="Arial"/>
                <w:b/>
                <w:bCs/>
                <w:color w:val="000000" w:themeColor="text1"/>
                <w:sz w:val="18"/>
                <w:szCs w:val="18"/>
              </w:rPr>
              <w:t>Descripción del Reto</w:t>
            </w:r>
          </w:p>
        </w:tc>
        <w:tc>
          <w:tcPr>
            <w:tcW w:w="2943" w:type="dxa"/>
          </w:tcPr>
          <w:p w14:paraId="3985DE49" w14:textId="77777777" w:rsidR="48836A97" w:rsidRPr="0050063C" w:rsidRDefault="48836A97" w:rsidP="0050063C">
            <w:pPr>
              <w:spacing w:line="276" w:lineRule="auto"/>
              <w:jc w:val="center"/>
              <w:rPr>
                <w:rFonts w:ascii="Verdana" w:hAnsi="Verdana" w:cs="Arial"/>
                <w:b/>
                <w:bCs/>
                <w:color w:val="000000" w:themeColor="text1"/>
                <w:sz w:val="18"/>
                <w:szCs w:val="18"/>
              </w:rPr>
            </w:pPr>
            <w:r w:rsidRPr="0050063C">
              <w:rPr>
                <w:rFonts w:ascii="Verdana" w:hAnsi="Verdana" w:cs="Arial"/>
                <w:b/>
                <w:bCs/>
                <w:color w:val="000000" w:themeColor="text1"/>
                <w:sz w:val="18"/>
                <w:szCs w:val="18"/>
              </w:rPr>
              <w:t>Medidas para mitigar el Reto</w:t>
            </w:r>
          </w:p>
        </w:tc>
      </w:tr>
      <w:tr w:rsidR="001428EF" w:rsidRPr="00AB06F3" w14:paraId="1065F6E3" w14:textId="77777777" w:rsidTr="006D1650">
        <w:trPr>
          <w:trHeight w:val="300"/>
        </w:trPr>
        <w:tc>
          <w:tcPr>
            <w:tcW w:w="2405" w:type="dxa"/>
          </w:tcPr>
          <w:p w14:paraId="2C204639" w14:textId="4B80548F" w:rsidR="001428EF" w:rsidRPr="001428EF" w:rsidRDefault="001428EF" w:rsidP="00187721">
            <w:pPr>
              <w:spacing w:line="276" w:lineRule="auto"/>
              <w:jc w:val="both"/>
              <w:rPr>
                <w:rStyle w:val="normaltextrun"/>
                <w:rFonts w:cs="Segoe UI"/>
              </w:rPr>
            </w:pPr>
            <w:r w:rsidRPr="001428EF">
              <w:rPr>
                <w:rStyle w:val="normaltextrun"/>
                <w:rFonts w:ascii="Verdana" w:hAnsi="Verdana" w:cs="Segoe UI"/>
                <w:color w:val="000000" w:themeColor="text1"/>
                <w:sz w:val="18"/>
                <w:szCs w:val="18"/>
              </w:rPr>
              <w:t>Decisiones de alto gobierno – Gobernanza </w:t>
            </w:r>
          </w:p>
        </w:tc>
        <w:tc>
          <w:tcPr>
            <w:tcW w:w="3480" w:type="dxa"/>
          </w:tcPr>
          <w:p w14:paraId="50116C1F" w14:textId="77777777" w:rsidR="00B66E56" w:rsidRPr="00B66E56" w:rsidRDefault="00B66E56" w:rsidP="00187721">
            <w:pPr>
              <w:spacing w:line="276" w:lineRule="auto"/>
              <w:jc w:val="both"/>
              <w:rPr>
                <w:rFonts w:ascii="Verdana" w:hAnsi="Verdana" w:cs="Segoe UI"/>
                <w:color w:val="000000" w:themeColor="text1"/>
                <w:sz w:val="18"/>
                <w:szCs w:val="18"/>
              </w:rPr>
            </w:pPr>
            <w:r w:rsidRPr="00B66E56">
              <w:rPr>
                <w:rFonts w:ascii="Verdana" w:hAnsi="Verdana" w:cs="Segoe UI"/>
                <w:color w:val="000000" w:themeColor="text1"/>
                <w:sz w:val="18"/>
                <w:szCs w:val="18"/>
              </w:rPr>
              <w:t xml:space="preserve">Un reto relevante en la implementación del </w:t>
            </w:r>
            <w:r w:rsidRPr="00187721">
              <w:rPr>
                <w:rFonts w:ascii="Verdana" w:hAnsi="Verdana" w:cs="Segoe UI"/>
                <w:color w:val="000000" w:themeColor="text1"/>
                <w:sz w:val="18"/>
                <w:szCs w:val="18"/>
              </w:rPr>
              <w:t xml:space="preserve">beneficio de Asignación Única de Normalización </w:t>
            </w:r>
            <w:r w:rsidRPr="00187721">
              <w:rPr>
                <w:rFonts w:ascii="Verdana" w:hAnsi="Verdana" w:cs="Segoe UI"/>
                <w:color w:val="000000" w:themeColor="text1"/>
                <w:sz w:val="18"/>
                <w:szCs w:val="18"/>
              </w:rPr>
              <w:lastRenderedPageBreak/>
              <w:t>duran</w:t>
            </w:r>
            <w:r w:rsidRPr="00B66E56">
              <w:rPr>
                <w:rFonts w:ascii="Verdana" w:hAnsi="Verdana" w:cs="Segoe UI"/>
                <w:color w:val="000000" w:themeColor="text1"/>
                <w:sz w:val="18"/>
                <w:szCs w:val="18"/>
              </w:rPr>
              <w:t>te la vigencia 2025 se relaciona con los retrasos presentados en la realización de los desembolsos a los beneficiarios. Si bien la ARN remitió de manera oportuna las autorizaciones para el trámite de pago en los meses de enero, febrero, mayo, septiembre y octubre, el Fondo Colombia en Paz, entidad responsable de efectuar los pagos, registró demoras en su ejecución.</w:t>
            </w:r>
          </w:p>
          <w:p w14:paraId="78F85B49" w14:textId="45BC88B8" w:rsidR="001428EF" w:rsidRPr="00B66E56" w:rsidRDefault="00B66E56" w:rsidP="00187721">
            <w:pPr>
              <w:spacing w:line="276" w:lineRule="auto"/>
              <w:jc w:val="both"/>
              <w:rPr>
                <w:rStyle w:val="normaltextrun"/>
                <w:rFonts w:ascii="Verdana" w:hAnsi="Verdana" w:cs="Segoe UI"/>
                <w:color w:val="000000" w:themeColor="text1"/>
                <w:sz w:val="18"/>
                <w:szCs w:val="18"/>
              </w:rPr>
            </w:pPr>
            <w:r w:rsidRPr="00B66E56">
              <w:rPr>
                <w:rFonts w:ascii="Verdana" w:hAnsi="Verdana" w:cs="Segoe UI"/>
                <w:color w:val="000000" w:themeColor="text1"/>
                <w:sz w:val="18"/>
                <w:szCs w:val="18"/>
              </w:rPr>
              <w:t>Esta situación obedece a que los desembolsos se encuentran condicionados al flujo de caja del Programa Anual Mensualizado de Caja (PAC) asignado por el Ministerio de Hacienda, en el marco de la coyuntura presupuestal que enfrenta el país. En consecuencia, aunque los procesos administrativos de autorización se surtieron dentro de los tiempos previstos por la entidad, la disponibilidad efectiva de recursos para el pago a los beneficiarios se vio limitada por factores externos asociados a la programación financiera nacional.</w:t>
            </w:r>
          </w:p>
        </w:tc>
        <w:tc>
          <w:tcPr>
            <w:tcW w:w="2943" w:type="dxa"/>
          </w:tcPr>
          <w:p w14:paraId="1DC8B851" w14:textId="4F99A497" w:rsidR="00A249B5" w:rsidRPr="00A249B5" w:rsidRDefault="00A249B5" w:rsidP="00187721">
            <w:pPr>
              <w:spacing w:line="276" w:lineRule="auto"/>
              <w:jc w:val="both"/>
              <w:rPr>
                <w:rFonts w:ascii="Verdana" w:hAnsi="Verdana" w:cs="Segoe UI"/>
                <w:color w:val="000000" w:themeColor="text1"/>
                <w:sz w:val="18"/>
                <w:szCs w:val="18"/>
              </w:rPr>
            </w:pPr>
            <w:r>
              <w:rPr>
                <w:rFonts w:ascii="Verdana" w:hAnsi="Verdana" w:cs="Segoe UI"/>
                <w:color w:val="000000" w:themeColor="text1"/>
                <w:sz w:val="18"/>
                <w:szCs w:val="18"/>
              </w:rPr>
              <w:lastRenderedPageBreak/>
              <w:t>L</w:t>
            </w:r>
            <w:r w:rsidRPr="00A249B5">
              <w:rPr>
                <w:rFonts w:ascii="Verdana" w:hAnsi="Verdana" w:cs="Segoe UI"/>
                <w:color w:val="000000" w:themeColor="text1"/>
                <w:sz w:val="18"/>
                <w:szCs w:val="18"/>
              </w:rPr>
              <w:t xml:space="preserve">a ARN adelanta gestiones de articulación y seguimiento con el Departamento </w:t>
            </w:r>
            <w:r w:rsidRPr="00A249B5">
              <w:rPr>
                <w:rFonts w:ascii="Verdana" w:hAnsi="Verdana" w:cs="Segoe UI"/>
                <w:color w:val="000000" w:themeColor="text1"/>
                <w:sz w:val="18"/>
                <w:szCs w:val="18"/>
              </w:rPr>
              <w:lastRenderedPageBreak/>
              <w:t>Administrativo de la Presidencia de la República y el Ministerio de Hacienda y Crédito Público, orientadas a viabilizar el traslado oportuno de los recursos al Patrimonio Autónomo – Fondo Colombia en Paz.</w:t>
            </w:r>
          </w:p>
          <w:p w14:paraId="2702BEF7" w14:textId="0303D448" w:rsidR="001428EF" w:rsidRPr="00A249B5" w:rsidRDefault="00A249B5" w:rsidP="00187721">
            <w:pPr>
              <w:spacing w:line="276" w:lineRule="auto"/>
              <w:jc w:val="both"/>
              <w:rPr>
                <w:rStyle w:val="normaltextrun"/>
                <w:rFonts w:ascii="Verdana" w:hAnsi="Verdana" w:cs="Segoe UI"/>
                <w:color w:val="000000" w:themeColor="text1"/>
                <w:sz w:val="18"/>
                <w:szCs w:val="18"/>
              </w:rPr>
            </w:pPr>
            <w:r w:rsidRPr="00A249B5">
              <w:rPr>
                <w:rFonts w:ascii="Verdana" w:hAnsi="Verdana" w:cs="Segoe UI"/>
                <w:color w:val="000000" w:themeColor="text1"/>
                <w:sz w:val="18"/>
                <w:szCs w:val="18"/>
              </w:rPr>
              <w:t>En este marco, se realiza un seguimiento permanente al estado de los trámites financieros y a la programación del flujo de caja, con el propósito de anticipar posibles restricciones y facilitar la disponibilidad de recursos para la ejecución de los pagos. Estas acciones buscan fortalecer la coordinación interinstitucional y contribuir a que el Fondo Colombia en Paz pueda realizar de manera oportuna los desembolsos a la población beneficiaria, reduciendo los riesgos de retraso asociados a la programación financiera nacional.</w:t>
            </w:r>
          </w:p>
        </w:tc>
      </w:tr>
    </w:tbl>
    <w:p w14:paraId="769F9882"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377D06D" w14:textId="53F140AB" w:rsidR="00B709EF" w:rsidRPr="00AB06F3" w:rsidRDefault="00B709EF" w:rsidP="00C25586">
      <w:pPr>
        <w:spacing w:after="0" w:line="276" w:lineRule="auto"/>
        <w:jc w:val="both"/>
        <w:rPr>
          <w:rFonts w:ascii="Verdana" w:hAnsi="Verdana" w:cs="Arial"/>
          <w:sz w:val="24"/>
          <w:szCs w:val="24"/>
          <w:highlight w:val="darkGray"/>
        </w:rPr>
      </w:pPr>
    </w:p>
    <w:p w14:paraId="6FA2CD10" w14:textId="11A17286" w:rsidR="00B709EF" w:rsidRDefault="18EA4907" w:rsidP="00031DF5">
      <w:pPr>
        <w:pStyle w:val="Prrafodelista"/>
        <w:numPr>
          <w:ilvl w:val="2"/>
          <w:numId w:val="13"/>
        </w:numPr>
        <w:spacing w:before="240" w:after="0" w:line="276" w:lineRule="auto"/>
        <w:jc w:val="both"/>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Producto: Renta </w:t>
      </w:r>
      <w:r w:rsidR="002E78C2">
        <w:rPr>
          <w:rFonts w:ascii="Verdana" w:eastAsia="Verdana" w:hAnsi="Verdana" w:cs="Arial"/>
          <w:b/>
          <w:bCs/>
          <w:color w:val="000000" w:themeColor="text1"/>
          <w:sz w:val="24"/>
          <w:szCs w:val="24"/>
        </w:rPr>
        <w:t>B</w:t>
      </w:r>
      <w:r w:rsidRPr="00AB06F3">
        <w:rPr>
          <w:rFonts w:ascii="Verdana" w:eastAsia="Verdana" w:hAnsi="Verdana" w:cs="Arial"/>
          <w:b/>
          <w:bCs/>
          <w:color w:val="000000" w:themeColor="text1"/>
          <w:sz w:val="24"/>
          <w:szCs w:val="24"/>
        </w:rPr>
        <w:t xml:space="preserve">ásica a miembros de las FARC-EP acreditados que no tengan vínculo contractual, laboral, legal y reglamentario, o un contrato de cualquier naturaleza que les genere ingresos </w:t>
      </w:r>
    </w:p>
    <w:p w14:paraId="3E4AFD6D" w14:textId="77777777" w:rsidR="001428EF" w:rsidRPr="00AB06F3" w:rsidRDefault="001428EF" w:rsidP="001428EF">
      <w:pPr>
        <w:pStyle w:val="Prrafodelista"/>
        <w:spacing w:before="240" w:after="0" w:line="276" w:lineRule="auto"/>
        <w:ind w:left="1080"/>
        <w:jc w:val="both"/>
        <w:rPr>
          <w:rFonts w:ascii="Verdana" w:eastAsia="Verdana" w:hAnsi="Verdana" w:cs="Arial"/>
          <w:b/>
          <w:bCs/>
          <w:color w:val="000000" w:themeColor="text1"/>
          <w:sz w:val="24"/>
          <w:szCs w:val="24"/>
        </w:rPr>
      </w:pPr>
    </w:p>
    <w:p w14:paraId="299AF7B3" w14:textId="7D274EFB" w:rsidR="005F7673" w:rsidRDefault="56460B58" w:rsidP="005F7673">
      <w:p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b/>
          <w:bCs/>
          <w:color w:val="000000" w:themeColor="text1"/>
          <w:sz w:val="24"/>
          <w:szCs w:val="24"/>
        </w:rPr>
        <w:t xml:space="preserve">C.240 </w:t>
      </w:r>
      <w:r w:rsidRPr="00AB06F3">
        <w:rPr>
          <w:rFonts w:ascii="Verdana" w:eastAsia="Verdana" w:hAnsi="Verdana" w:cs="Arial"/>
          <w:color w:val="000000" w:themeColor="text1"/>
          <w:sz w:val="24"/>
          <w:szCs w:val="24"/>
        </w:rPr>
        <w:t>Porcentaje de miembros de las FARC-EP acreditados que no tengan vínculo contractual que les genere ingresos, con renta básica</w:t>
      </w:r>
    </w:p>
    <w:p w14:paraId="2F3EEFE5" w14:textId="7BFCBAE6" w:rsidR="00B709EF" w:rsidRPr="00AB06F3" w:rsidRDefault="25EEE51B" w:rsidP="005F7673">
      <w:pPr>
        <w:spacing w:after="0"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 xml:space="preserve"> </w:t>
      </w:r>
    </w:p>
    <w:p w14:paraId="62809A09" w14:textId="199D5780" w:rsidR="005F7673" w:rsidRPr="005F7673" w:rsidRDefault="005F7673" w:rsidP="005F7673">
      <w:pPr>
        <w:pStyle w:val="Descripcin"/>
        <w:keepNext/>
        <w:jc w:val="center"/>
        <w:rPr>
          <w:rFonts w:ascii="Verdana" w:eastAsia="Verdana" w:hAnsi="Verdana" w:cs="Arial"/>
          <w:i w:val="0"/>
          <w:iCs w:val="0"/>
          <w:color w:val="000000" w:themeColor="text1"/>
        </w:rPr>
      </w:pPr>
      <w:bookmarkStart w:id="39" w:name="_Toc225283146"/>
      <w:r w:rsidRPr="005F7673">
        <w:rPr>
          <w:rFonts w:ascii="Verdana" w:eastAsia="Verdana" w:hAnsi="Verdana" w:cs="Arial"/>
          <w:i w:val="0"/>
          <w:iCs w:val="0"/>
          <w:color w:val="000000" w:themeColor="text1"/>
        </w:rPr>
        <w:t xml:space="preserve">Tabla </w:t>
      </w:r>
      <w:r w:rsidRPr="005F7673">
        <w:rPr>
          <w:rFonts w:ascii="Verdana" w:eastAsia="Verdana" w:hAnsi="Verdana" w:cs="Arial"/>
          <w:i w:val="0"/>
          <w:iCs w:val="0"/>
          <w:color w:val="000000" w:themeColor="text1"/>
        </w:rPr>
        <w:fldChar w:fldCharType="begin"/>
      </w:r>
      <w:r w:rsidRPr="005F7673">
        <w:rPr>
          <w:rFonts w:ascii="Verdana" w:eastAsia="Verdana" w:hAnsi="Verdana" w:cs="Arial"/>
          <w:i w:val="0"/>
          <w:iCs w:val="0"/>
          <w:color w:val="000000" w:themeColor="text1"/>
        </w:rPr>
        <w:instrText xml:space="preserve"> SEQ Tabla \* ARABIC </w:instrText>
      </w:r>
      <w:r w:rsidRPr="005F7673">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34</w:t>
      </w:r>
      <w:r w:rsidRPr="005F7673">
        <w:rPr>
          <w:rFonts w:ascii="Verdana" w:eastAsia="Verdana" w:hAnsi="Verdana" w:cs="Arial"/>
          <w:i w:val="0"/>
          <w:iCs w:val="0"/>
          <w:color w:val="000000" w:themeColor="text1"/>
        </w:rPr>
        <w:fldChar w:fldCharType="end"/>
      </w:r>
      <w:r w:rsidRPr="005F7673">
        <w:rPr>
          <w:rFonts w:ascii="Verdana" w:eastAsia="Verdana" w:hAnsi="Verdana" w:cs="Arial"/>
          <w:i w:val="0"/>
          <w:iCs w:val="0"/>
          <w:color w:val="000000" w:themeColor="text1"/>
        </w:rPr>
        <w:t>. Detalle de avance en el indicador C.240</w:t>
      </w:r>
      <w:bookmarkEnd w:id="39"/>
    </w:p>
    <w:tbl>
      <w:tblPr>
        <w:tblStyle w:val="Tablaconcuadrcula1clara-nfasis4"/>
        <w:tblW w:w="8834"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59"/>
        <w:gridCol w:w="1203"/>
        <w:gridCol w:w="1224"/>
        <w:gridCol w:w="1224"/>
        <w:gridCol w:w="1224"/>
      </w:tblGrid>
      <w:tr w:rsidR="00943241" w:rsidRPr="00AB06F3" w14:paraId="7160BFBC" w14:textId="77777777" w:rsidTr="009B1B0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193E1A56" w14:textId="77777777" w:rsidR="00943241" w:rsidRPr="00AB06F3" w:rsidRDefault="00943241"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1203" w:type="dxa"/>
            <w:tcMar>
              <w:left w:w="108" w:type="dxa"/>
              <w:right w:w="108" w:type="dxa"/>
            </w:tcMar>
            <w:vAlign w:val="center"/>
          </w:tcPr>
          <w:p w14:paraId="7E851CCC" w14:textId="77777777" w:rsidR="00943241" w:rsidRPr="00AB06F3" w:rsidRDefault="00943241"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24" w:type="dxa"/>
            <w:tcMar>
              <w:left w:w="108" w:type="dxa"/>
              <w:right w:w="108" w:type="dxa"/>
            </w:tcMar>
            <w:vAlign w:val="center"/>
          </w:tcPr>
          <w:p w14:paraId="53AEA9DB" w14:textId="77777777" w:rsidR="00943241" w:rsidRPr="00AB06F3" w:rsidRDefault="00943241"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24" w:type="dxa"/>
            <w:tcMar>
              <w:left w:w="108" w:type="dxa"/>
              <w:right w:w="108" w:type="dxa"/>
            </w:tcMar>
            <w:vAlign w:val="center"/>
          </w:tcPr>
          <w:p w14:paraId="6EB71830" w14:textId="77777777" w:rsidR="00943241" w:rsidRPr="00AB06F3" w:rsidRDefault="00943241"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24" w:type="dxa"/>
            <w:tcMar>
              <w:left w:w="108" w:type="dxa"/>
              <w:right w:w="108" w:type="dxa"/>
            </w:tcMar>
          </w:tcPr>
          <w:p w14:paraId="0127DD48" w14:textId="1BC65316" w:rsidR="00943241" w:rsidRPr="00AB06F3" w:rsidRDefault="00943241"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870599">
              <w:rPr>
                <w:rFonts w:ascii="Verdana" w:eastAsia="Verdana" w:hAnsi="Verdana" w:cs="Arial"/>
                <w:color w:val="000000" w:themeColor="text1"/>
                <w:sz w:val="18"/>
                <w:szCs w:val="18"/>
              </w:rPr>
              <w:t>5</w:t>
            </w:r>
          </w:p>
        </w:tc>
      </w:tr>
      <w:tr w:rsidR="00943241" w:rsidRPr="00AB06F3" w14:paraId="58EB6E3B" w14:textId="77777777" w:rsidTr="009B1B0B">
        <w:trPr>
          <w:trHeight w:val="30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27A8926D" w14:textId="5BF07604" w:rsidR="00943241" w:rsidRPr="00AB06F3" w:rsidRDefault="00943241" w:rsidP="002C74D3">
            <w:pPr>
              <w:spacing w:line="276" w:lineRule="auto"/>
              <w:jc w:val="both"/>
              <w:rPr>
                <w:rFonts w:ascii="Verdana" w:hAnsi="Verdana" w:cs="Arial"/>
                <w:b w:val="0"/>
                <w:bCs w:val="0"/>
              </w:rPr>
            </w:pPr>
            <w:r w:rsidRPr="00AB06F3">
              <w:rPr>
                <w:rFonts w:ascii="Verdana" w:hAnsi="Verdana" w:cs="Arial"/>
                <w:b w:val="0"/>
                <w:bCs w:val="0"/>
                <w:sz w:val="18"/>
                <w:szCs w:val="18"/>
              </w:rPr>
              <w:t xml:space="preserve">C.240 Porcentaje de miembros de las FARC-EP acreditados que no tengan </w:t>
            </w:r>
            <w:r w:rsidRPr="00AB06F3">
              <w:rPr>
                <w:rFonts w:ascii="Verdana" w:hAnsi="Verdana" w:cs="Arial"/>
                <w:b w:val="0"/>
                <w:bCs w:val="0"/>
                <w:sz w:val="18"/>
                <w:szCs w:val="18"/>
              </w:rPr>
              <w:lastRenderedPageBreak/>
              <w:t xml:space="preserve">vínculo contractual que les genere ingresos, con renta básica mensual  </w:t>
            </w:r>
          </w:p>
        </w:tc>
        <w:tc>
          <w:tcPr>
            <w:tcW w:w="1203" w:type="dxa"/>
            <w:tcMar>
              <w:left w:w="108" w:type="dxa"/>
              <w:right w:w="108" w:type="dxa"/>
            </w:tcMar>
            <w:vAlign w:val="center"/>
          </w:tcPr>
          <w:p w14:paraId="090619AC" w14:textId="77777777" w:rsidR="00943241" w:rsidRPr="002C74D3" w:rsidRDefault="00943241"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lastRenderedPageBreak/>
              <w:t>Temático</w:t>
            </w:r>
          </w:p>
        </w:tc>
        <w:tc>
          <w:tcPr>
            <w:tcW w:w="1224" w:type="dxa"/>
            <w:shd w:val="clear" w:color="auto" w:fill="FFFFFF" w:themeFill="background1"/>
            <w:tcMar>
              <w:left w:w="108" w:type="dxa"/>
              <w:right w:w="108" w:type="dxa"/>
            </w:tcMar>
            <w:vAlign w:val="center"/>
          </w:tcPr>
          <w:p w14:paraId="4A138631" w14:textId="77777777" w:rsidR="00943241" w:rsidRPr="002C74D3" w:rsidRDefault="00943241"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2017</w:t>
            </w:r>
          </w:p>
        </w:tc>
        <w:tc>
          <w:tcPr>
            <w:tcW w:w="1224" w:type="dxa"/>
            <w:shd w:val="clear" w:color="auto" w:fill="FFFFFF" w:themeFill="background1"/>
            <w:tcMar>
              <w:left w:w="108" w:type="dxa"/>
              <w:right w:w="108" w:type="dxa"/>
            </w:tcMar>
            <w:vAlign w:val="center"/>
          </w:tcPr>
          <w:p w14:paraId="6A0FF42B" w14:textId="3ABE2782" w:rsidR="00943241" w:rsidRPr="002C74D3" w:rsidRDefault="00943241"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w:t>
            </w:r>
            <w:r w:rsidR="005F7673">
              <w:rPr>
                <w:rFonts w:ascii="Verdana" w:eastAsia="Verdana" w:hAnsi="Verdana" w:cs="Arial"/>
                <w:sz w:val="18"/>
                <w:szCs w:val="18"/>
              </w:rPr>
              <w:t>31</w:t>
            </w:r>
          </w:p>
        </w:tc>
        <w:tc>
          <w:tcPr>
            <w:tcW w:w="1224" w:type="dxa"/>
            <w:tcMar>
              <w:left w:w="108" w:type="dxa"/>
              <w:right w:w="108" w:type="dxa"/>
            </w:tcMar>
          </w:tcPr>
          <w:p w14:paraId="247CE769" w14:textId="77777777" w:rsidR="002C74D3" w:rsidRDefault="002C74D3"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66216E4E" w14:textId="77777777" w:rsidR="002C74D3" w:rsidRDefault="002C74D3"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p>
          <w:p w14:paraId="5B0E915C" w14:textId="2B919FF2" w:rsidR="00943241" w:rsidRPr="002C74D3" w:rsidRDefault="00943241"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2C74D3">
              <w:rPr>
                <w:rFonts w:ascii="Verdana" w:eastAsia="Verdana" w:hAnsi="Verdana" w:cs="Arial"/>
                <w:sz w:val="18"/>
                <w:szCs w:val="18"/>
              </w:rPr>
              <w:lastRenderedPageBreak/>
              <w:t>100%</w:t>
            </w:r>
          </w:p>
        </w:tc>
      </w:tr>
    </w:tbl>
    <w:p w14:paraId="26D502E9"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049A250" w14:textId="3064E1F0" w:rsidR="00B709EF" w:rsidRPr="00AB06F3" w:rsidRDefault="00B709EF" w:rsidP="00C25586">
      <w:pPr>
        <w:spacing w:after="0" w:line="276" w:lineRule="auto"/>
        <w:jc w:val="center"/>
        <w:rPr>
          <w:rFonts w:ascii="Verdana" w:hAnsi="Verdana" w:cs="Arial"/>
          <w:sz w:val="18"/>
          <w:szCs w:val="18"/>
        </w:rPr>
      </w:pPr>
    </w:p>
    <w:p w14:paraId="69E1BAED" w14:textId="43F3C04B" w:rsidR="00B709EF" w:rsidRPr="00AB06F3" w:rsidRDefault="1C049527" w:rsidP="00031DF5">
      <w:pPr>
        <w:pStyle w:val="Ttulo5"/>
        <w:numPr>
          <w:ilvl w:val="0"/>
          <w:numId w:val="4"/>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¿Cómo lo hicimos y con qué recursos?  </w:t>
      </w:r>
    </w:p>
    <w:p w14:paraId="786DE85D" w14:textId="58834784" w:rsidR="00B709EF" w:rsidRPr="00AB06F3" w:rsidRDefault="00B709EF" w:rsidP="00187721">
      <w:pPr>
        <w:spacing w:after="0" w:line="276" w:lineRule="auto"/>
        <w:jc w:val="both"/>
        <w:rPr>
          <w:rFonts w:ascii="Verdana" w:hAnsi="Verdana" w:cs="Arial"/>
          <w:color w:val="000000" w:themeColor="text1"/>
          <w:sz w:val="24"/>
          <w:szCs w:val="24"/>
          <w:highlight w:val="darkGray"/>
        </w:rPr>
      </w:pPr>
    </w:p>
    <w:p w14:paraId="3EBDBDF6" w14:textId="3052647B" w:rsidR="00484CEC" w:rsidRDefault="7372D5EB" w:rsidP="00187721">
      <w:pPr>
        <w:spacing w:after="0" w:line="276" w:lineRule="auto"/>
        <w:jc w:val="both"/>
        <w:rPr>
          <w:rFonts w:ascii="Verdana" w:eastAsia="Verdana" w:hAnsi="Verdana" w:cs="Arial"/>
          <w:sz w:val="24"/>
          <w:szCs w:val="24"/>
        </w:rPr>
      </w:pPr>
      <w:r w:rsidRPr="00AB06F3">
        <w:rPr>
          <w:rFonts w:ascii="Verdana" w:eastAsia="Verdana" w:hAnsi="Verdana" w:cs="Arial"/>
          <w:sz w:val="24"/>
          <w:szCs w:val="24"/>
        </w:rPr>
        <w:t>De acuerdo con el artículo 8 del Decreto Ley 899 de 2017, modificad</w:t>
      </w:r>
      <w:r w:rsidR="00484CEC">
        <w:rPr>
          <w:rFonts w:ascii="Verdana" w:eastAsia="Verdana" w:hAnsi="Verdana" w:cs="Arial"/>
          <w:sz w:val="24"/>
          <w:szCs w:val="24"/>
        </w:rPr>
        <w:t>o</w:t>
      </w:r>
      <w:r w:rsidRPr="00AB06F3">
        <w:rPr>
          <w:rFonts w:ascii="Verdana" w:eastAsia="Verdana" w:hAnsi="Verdana" w:cs="Arial"/>
          <w:sz w:val="24"/>
          <w:szCs w:val="24"/>
        </w:rPr>
        <w:t xml:space="preserve"> parcialmente por el art</w:t>
      </w:r>
      <w:r w:rsidR="00484CEC">
        <w:rPr>
          <w:rFonts w:ascii="Verdana" w:eastAsia="Verdana" w:hAnsi="Verdana" w:cs="Arial"/>
          <w:sz w:val="24"/>
          <w:szCs w:val="24"/>
        </w:rPr>
        <w:t xml:space="preserve">ículo </w:t>
      </w:r>
      <w:r w:rsidRPr="00AB06F3">
        <w:rPr>
          <w:rFonts w:ascii="Verdana" w:eastAsia="Verdana" w:hAnsi="Verdana" w:cs="Arial"/>
          <w:sz w:val="24"/>
          <w:szCs w:val="24"/>
        </w:rPr>
        <w:t>284 de la Ley 1955 de 2019, este beneficio se otorga a las personas acreditadas por la</w:t>
      </w:r>
      <w:r w:rsidR="00D8277E">
        <w:rPr>
          <w:rFonts w:ascii="Verdana" w:eastAsia="Verdana" w:hAnsi="Verdana" w:cs="Arial"/>
          <w:sz w:val="24"/>
          <w:szCs w:val="24"/>
        </w:rPr>
        <w:t xml:space="preserve"> </w:t>
      </w:r>
      <w:r w:rsidR="00D8277E" w:rsidRPr="00D8277E">
        <w:rPr>
          <w:rFonts w:ascii="Verdana" w:eastAsia="Verdana" w:hAnsi="Verdana" w:cs="Arial"/>
          <w:sz w:val="24"/>
          <w:szCs w:val="24"/>
        </w:rPr>
        <w:t>Consejería Comisionada de Paz</w:t>
      </w:r>
      <w:r w:rsidR="00D8277E">
        <w:rPr>
          <w:rFonts w:ascii="Verdana" w:eastAsia="Verdana" w:hAnsi="Verdana" w:cs="Arial"/>
          <w:sz w:val="24"/>
          <w:szCs w:val="24"/>
        </w:rPr>
        <w:t>, anteriormente</w:t>
      </w:r>
      <w:r w:rsidRPr="00AB06F3">
        <w:rPr>
          <w:rFonts w:ascii="Verdana" w:eastAsia="Verdana" w:hAnsi="Verdana" w:cs="Arial"/>
          <w:sz w:val="24"/>
          <w:szCs w:val="24"/>
        </w:rPr>
        <w:t xml:space="preserve"> Oficina del Alto Comisionado para la Paz </w:t>
      </w:r>
      <w:r w:rsidR="00D8277E">
        <w:rPr>
          <w:rFonts w:ascii="Verdana" w:eastAsia="Verdana" w:hAnsi="Verdana" w:cs="Arial"/>
          <w:sz w:val="24"/>
          <w:szCs w:val="24"/>
        </w:rPr>
        <w:t xml:space="preserve">(OACP) </w:t>
      </w:r>
      <w:r w:rsidRPr="00AB06F3">
        <w:rPr>
          <w:rFonts w:ascii="Verdana" w:eastAsia="Verdana" w:hAnsi="Verdana" w:cs="Arial"/>
          <w:sz w:val="24"/>
          <w:szCs w:val="24"/>
        </w:rPr>
        <w:t xml:space="preserve">como exintegrantes de las FARC-EP </w:t>
      </w:r>
      <w:r w:rsidR="00036ABD" w:rsidRPr="00036ABD">
        <w:rPr>
          <w:rFonts w:ascii="Verdana" w:eastAsia="Verdana" w:hAnsi="Verdana" w:cs="Arial"/>
          <w:sz w:val="24"/>
          <w:szCs w:val="24"/>
        </w:rPr>
        <w:t>siempre que cumplan con los requisitos establecidos en la normatividad vigente.</w:t>
      </w:r>
    </w:p>
    <w:p w14:paraId="51D025A9" w14:textId="77777777" w:rsidR="00036ABD" w:rsidRDefault="00036ABD" w:rsidP="00187721">
      <w:pPr>
        <w:spacing w:after="0" w:line="276" w:lineRule="auto"/>
        <w:jc w:val="both"/>
        <w:rPr>
          <w:rFonts w:ascii="Verdana" w:eastAsia="Verdana" w:hAnsi="Verdana" w:cs="Arial"/>
          <w:b/>
          <w:bCs/>
          <w:sz w:val="24"/>
          <w:szCs w:val="24"/>
        </w:rPr>
      </w:pPr>
    </w:p>
    <w:p w14:paraId="08E1E41E" w14:textId="444584E4" w:rsidR="00484CEC" w:rsidRDefault="51D36B5D" w:rsidP="00187721">
      <w:pPr>
        <w:spacing w:after="0" w:line="276" w:lineRule="auto"/>
        <w:ind w:right="49"/>
        <w:jc w:val="both"/>
        <w:rPr>
          <w:rFonts w:ascii="Verdana" w:eastAsia="Verdana" w:hAnsi="Verdana" w:cs="Arial"/>
          <w:sz w:val="24"/>
          <w:szCs w:val="24"/>
        </w:rPr>
      </w:pPr>
      <w:r w:rsidRPr="00AB06F3">
        <w:rPr>
          <w:rFonts w:ascii="Verdana" w:eastAsia="Verdana" w:hAnsi="Verdana" w:cs="Arial"/>
          <w:sz w:val="24"/>
          <w:szCs w:val="24"/>
        </w:rPr>
        <w:t xml:space="preserve">La renta básica es un beneficio económico </w:t>
      </w:r>
      <w:r w:rsidR="00484CEC">
        <w:rPr>
          <w:rFonts w:ascii="Verdana" w:eastAsia="Verdana" w:hAnsi="Verdana" w:cs="Arial"/>
          <w:sz w:val="24"/>
          <w:szCs w:val="24"/>
        </w:rPr>
        <w:t xml:space="preserve">dirigido </w:t>
      </w:r>
      <w:r w:rsidRPr="00AB06F3">
        <w:rPr>
          <w:rFonts w:ascii="Verdana" w:eastAsia="Verdana" w:hAnsi="Verdana" w:cs="Arial"/>
          <w:sz w:val="24"/>
          <w:szCs w:val="24"/>
        </w:rPr>
        <w:t xml:space="preserve">a cada </w:t>
      </w:r>
      <w:r w:rsidR="00484CEC">
        <w:rPr>
          <w:rFonts w:ascii="Verdana" w:eastAsia="Verdana" w:hAnsi="Verdana" w:cs="Arial"/>
          <w:sz w:val="24"/>
          <w:szCs w:val="24"/>
        </w:rPr>
        <w:t xml:space="preserve">ex </w:t>
      </w:r>
      <w:r w:rsidRPr="00AB06F3">
        <w:rPr>
          <w:rFonts w:ascii="Verdana" w:eastAsia="Verdana" w:hAnsi="Verdana" w:cs="Arial"/>
          <w:sz w:val="24"/>
          <w:szCs w:val="24"/>
        </w:rPr>
        <w:t>integrante</w:t>
      </w:r>
      <w:r w:rsidR="00484CEC">
        <w:rPr>
          <w:rFonts w:ascii="Verdana" w:eastAsia="Verdana" w:hAnsi="Verdana" w:cs="Arial"/>
          <w:sz w:val="24"/>
          <w:szCs w:val="24"/>
        </w:rPr>
        <w:t xml:space="preserve"> </w:t>
      </w:r>
      <w:r w:rsidRPr="00AB06F3">
        <w:rPr>
          <w:rFonts w:ascii="Verdana" w:eastAsia="Verdana" w:hAnsi="Verdana" w:cs="Arial"/>
          <w:sz w:val="24"/>
          <w:szCs w:val="24"/>
        </w:rPr>
        <w:t xml:space="preserve">de las FARC-EP </w:t>
      </w:r>
      <w:r w:rsidR="00484CEC">
        <w:rPr>
          <w:rFonts w:ascii="Verdana" w:eastAsia="Verdana" w:hAnsi="Verdana" w:cs="Arial"/>
          <w:sz w:val="24"/>
          <w:szCs w:val="24"/>
        </w:rPr>
        <w:t xml:space="preserve">que hayan culminado el proceso de </w:t>
      </w:r>
      <w:r w:rsidRPr="00AB06F3">
        <w:rPr>
          <w:rFonts w:ascii="Verdana" w:eastAsia="Verdana" w:hAnsi="Verdana" w:cs="Arial"/>
          <w:sz w:val="24"/>
          <w:szCs w:val="24"/>
        </w:rPr>
        <w:t>acreditación y tránsito a la legalidad</w:t>
      </w:r>
      <w:r w:rsidR="00484CEC">
        <w:rPr>
          <w:rFonts w:ascii="Verdana" w:eastAsia="Verdana" w:hAnsi="Verdana" w:cs="Arial"/>
          <w:sz w:val="24"/>
          <w:szCs w:val="24"/>
        </w:rPr>
        <w:t xml:space="preserve">. </w:t>
      </w:r>
      <w:r w:rsidR="00036ABD">
        <w:rPr>
          <w:rFonts w:ascii="Verdana" w:eastAsia="Verdana" w:hAnsi="Verdana" w:cs="Arial"/>
          <w:sz w:val="24"/>
          <w:szCs w:val="24"/>
        </w:rPr>
        <w:t>Este apoyo s</w:t>
      </w:r>
      <w:r w:rsidR="00484CEC">
        <w:rPr>
          <w:rFonts w:ascii="Verdana" w:eastAsia="Verdana" w:hAnsi="Verdana" w:cs="Arial"/>
          <w:sz w:val="24"/>
          <w:szCs w:val="24"/>
        </w:rPr>
        <w:t xml:space="preserve">e otorga a partir de la finalización de las </w:t>
      </w:r>
      <w:r w:rsidRPr="00AB06F3">
        <w:rPr>
          <w:rFonts w:ascii="Verdana" w:eastAsia="Verdana" w:hAnsi="Verdana" w:cs="Arial"/>
          <w:sz w:val="24"/>
          <w:szCs w:val="24"/>
        </w:rPr>
        <w:t xml:space="preserve">Zonas Veredales Transitorias de Normalización y durante veinticuatro </w:t>
      </w:r>
      <w:r w:rsidR="00484CEC">
        <w:rPr>
          <w:rFonts w:ascii="Verdana" w:eastAsia="Verdana" w:hAnsi="Verdana" w:cs="Arial"/>
          <w:sz w:val="24"/>
          <w:szCs w:val="24"/>
        </w:rPr>
        <w:t xml:space="preserve">un período de </w:t>
      </w:r>
      <w:r w:rsidRPr="00AB06F3">
        <w:rPr>
          <w:rFonts w:ascii="Verdana" w:eastAsia="Verdana" w:hAnsi="Verdana" w:cs="Arial"/>
          <w:sz w:val="24"/>
          <w:szCs w:val="24"/>
        </w:rPr>
        <w:t>24</w:t>
      </w:r>
      <w:r w:rsidR="00484CEC">
        <w:rPr>
          <w:rFonts w:ascii="Verdana" w:eastAsia="Verdana" w:hAnsi="Verdana" w:cs="Arial"/>
          <w:sz w:val="24"/>
          <w:szCs w:val="24"/>
        </w:rPr>
        <w:t xml:space="preserve"> </w:t>
      </w:r>
      <w:r w:rsidRPr="00AB06F3">
        <w:rPr>
          <w:rFonts w:ascii="Verdana" w:eastAsia="Verdana" w:hAnsi="Verdana" w:cs="Arial"/>
          <w:sz w:val="24"/>
          <w:szCs w:val="24"/>
        </w:rPr>
        <w:t xml:space="preserve">meses, siempre </w:t>
      </w:r>
      <w:r w:rsidR="00714236">
        <w:rPr>
          <w:rFonts w:ascii="Verdana" w:eastAsia="Verdana" w:hAnsi="Verdana" w:cs="Arial"/>
          <w:sz w:val="24"/>
          <w:szCs w:val="24"/>
        </w:rPr>
        <w:t xml:space="preserve">que </w:t>
      </w:r>
      <w:r w:rsidR="00484CEC">
        <w:rPr>
          <w:rFonts w:ascii="Verdana" w:eastAsia="Verdana" w:hAnsi="Verdana" w:cs="Arial"/>
          <w:sz w:val="24"/>
          <w:szCs w:val="24"/>
        </w:rPr>
        <w:t xml:space="preserve">la persona </w:t>
      </w:r>
      <w:r w:rsidRPr="00AB06F3">
        <w:rPr>
          <w:rFonts w:ascii="Verdana" w:eastAsia="Verdana" w:hAnsi="Verdana" w:cs="Arial"/>
          <w:sz w:val="24"/>
          <w:szCs w:val="24"/>
        </w:rPr>
        <w:t xml:space="preserve">no tenga un vínculo contractual, laboral, legal </w:t>
      </w:r>
      <w:r w:rsidR="00484CEC">
        <w:rPr>
          <w:rFonts w:ascii="Verdana" w:eastAsia="Verdana" w:hAnsi="Verdana" w:cs="Arial"/>
          <w:sz w:val="24"/>
          <w:szCs w:val="24"/>
        </w:rPr>
        <w:t>o</w:t>
      </w:r>
      <w:r w:rsidRPr="00AB06F3">
        <w:rPr>
          <w:rFonts w:ascii="Verdana" w:eastAsia="Verdana" w:hAnsi="Verdana" w:cs="Arial"/>
          <w:sz w:val="24"/>
          <w:szCs w:val="24"/>
        </w:rPr>
        <w:t xml:space="preserve"> reglamentario, </w:t>
      </w:r>
      <w:r w:rsidR="00484CEC">
        <w:rPr>
          <w:rFonts w:ascii="Verdana" w:eastAsia="Verdana" w:hAnsi="Verdana" w:cs="Arial"/>
          <w:sz w:val="24"/>
          <w:szCs w:val="24"/>
        </w:rPr>
        <w:t xml:space="preserve">ni </w:t>
      </w:r>
      <w:r w:rsidRPr="00AB06F3">
        <w:rPr>
          <w:rFonts w:ascii="Verdana" w:eastAsia="Verdana" w:hAnsi="Verdana" w:cs="Arial"/>
          <w:sz w:val="24"/>
          <w:szCs w:val="24"/>
        </w:rPr>
        <w:t>un contrato de cualquier naturaleza que les genere ingresos. Este beneficio equival</w:t>
      </w:r>
      <w:r w:rsidR="00484CEC">
        <w:rPr>
          <w:rFonts w:ascii="Verdana" w:eastAsia="Verdana" w:hAnsi="Verdana" w:cs="Arial"/>
          <w:sz w:val="24"/>
          <w:szCs w:val="24"/>
        </w:rPr>
        <w:t xml:space="preserve">e </w:t>
      </w:r>
      <w:r w:rsidRPr="00AB06F3">
        <w:rPr>
          <w:rFonts w:ascii="Verdana" w:eastAsia="Verdana" w:hAnsi="Verdana" w:cs="Arial"/>
          <w:sz w:val="24"/>
          <w:szCs w:val="24"/>
        </w:rPr>
        <w:t xml:space="preserve">al 90% del Salario Mínimo Mensual Legal Vigente </w:t>
      </w:r>
      <w:r w:rsidR="00484CEC">
        <w:rPr>
          <w:rFonts w:ascii="Verdana" w:eastAsia="Verdana" w:hAnsi="Verdana" w:cs="Arial"/>
          <w:sz w:val="24"/>
          <w:szCs w:val="24"/>
        </w:rPr>
        <w:t xml:space="preserve">(SMMLV) </w:t>
      </w:r>
      <w:r w:rsidRPr="00AB06F3">
        <w:rPr>
          <w:rFonts w:ascii="Verdana" w:eastAsia="Verdana" w:hAnsi="Verdana" w:cs="Arial"/>
          <w:sz w:val="24"/>
          <w:szCs w:val="24"/>
        </w:rPr>
        <w:t>en el momento de su reconocimiento.</w:t>
      </w:r>
    </w:p>
    <w:p w14:paraId="57F2287F" w14:textId="77777777" w:rsidR="00484CEC" w:rsidRDefault="00484CEC" w:rsidP="00484CEC">
      <w:pPr>
        <w:spacing w:after="0" w:line="276" w:lineRule="auto"/>
        <w:ind w:right="49"/>
        <w:jc w:val="both"/>
        <w:rPr>
          <w:rFonts w:ascii="Verdana" w:eastAsia="Verdana" w:hAnsi="Verdana" w:cs="Arial"/>
          <w:sz w:val="24"/>
          <w:szCs w:val="24"/>
        </w:rPr>
      </w:pPr>
    </w:p>
    <w:p w14:paraId="62889E94" w14:textId="2F4DAD35" w:rsidR="51D36B5D" w:rsidRDefault="00484CEC" w:rsidP="00187721">
      <w:pPr>
        <w:spacing w:after="0" w:line="276" w:lineRule="auto"/>
        <w:ind w:right="49"/>
        <w:jc w:val="both"/>
        <w:rPr>
          <w:rFonts w:ascii="Verdana" w:eastAsia="Verdana" w:hAnsi="Verdana" w:cs="Arial"/>
          <w:sz w:val="24"/>
          <w:szCs w:val="24"/>
        </w:rPr>
      </w:pPr>
      <w:r>
        <w:rPr>
          <w:rFonts w:ascii="Verdana" w:eastAsia="Verdana" w:hAnsi="Verdana" w:cs="Arial"/>
          <w:sz w:val="24"/>
          <w:szCs w:val="24"/>
        </w:rPr>
        <w:t>C</w:t>
      </w:r>
      <w:r w:rsidR="3980504B" w:rsidRPr="00AB06F3">
        <w:rPr>
          <w:rFonts w:ascii="Verdana" w:eastAsia="Verdana" w:hAnsi="Verdana" w:cs="Arial"/>
          <w:sz w:val="24"/>
          <w:szCs w:val="24"/>
        </w:rPr>
        <w:t>umplidos los 24</w:t>
      </w:r>
      <w:r w:rsidR="001B2BA2">
        <w:rPr>
          <w:rFonts w:ascii="Verdana" w:eastAsia="Verdana" w:hAnsi="Verdana" w:cs="Arial"/>
          <w:sz w:val="24"/>
          <w:szCs w:val="24"/>
        </w:rPr>
        <w:t xml:space="preserve"> meses</w:t>
      </w:r>
      <w:r>
        <w:rPr>
          <w:rFonts w:ascii="Verdana" w:eastAsia="Verdana" w:hAnsi="Verdana" w:cs="Arial"/>
          <w:sz w:val="24"/>
          <w:szCs w:val="24"/>
        </w:rPr>
        <w:t xml:space="preserve">, se concede </w:t>
      </w:r>
      <w:r w:rsidR="3980504B" w:rsidRPr="00AB06F3">
        <w:rPr>
          <w:rFonts w:ascii="Verdana" w:eastAsia="Verdana" w:hAnsi="Verdana" w:cs="Arial"/>
          <w:sz w:val="24"/>
          <w:szCs w:val="24"/>
        </w:rPr>
        <w:t xml:space="preserve">una asignación mensual equivalente al 90% del </w:t>
      </w:r>
      <w:r>
        <w:rPr>
          <w:rFonts w:ascii="Verdana" w:eastAsia="Verdana" w:hAnsi="Verdana" w:cs="Arial"/>
          <w:sz w:val="24"/>
          <w:szCs w:val="24"/>
        </w:rPr>
        <w:t>SMMLV</w:t>
      </w:r>
      <w:r w:rsidR="3980504B" w:rsidRPr="00AB06F3">
        <w:rPr>
          <w:rFonts w:ascii="Verdana" w:eastAsia="Verdana" w:hAnsi="Verdana" w:cs="Arial"/>
          <w:sz w:val="24"/>
          <w:szCs w:val="24"/>
        </w:rPr>
        <w:t xml:space="preserve">, </w:t>
      </w:r>
      <w:r>
        <w:rPr>
          <w:rFonts w:ascii="Verdana" w:eastAsia="Verdana" w:hAnsi="Verdana" w:cs="Arial"/>
          <w:sz w:val="24"/>
          <w:szCs w:val="24"/>
        </w:rPr>
        <w:t xml:space="preserve">condicionada al </w:t>
      </w:r>
      <w:r w:rsidR="3980504B" w:rsidRPr="00AB06F3">
        <w:rPr>
          <w:rFonts w:ascii="Verdana" w:eastAsia="Verdana" w:hAnsi="Verdana" w:cs="Arial"/>
          <w:sz w:val="24"/>
          <w:szCs w:val="24"/>
        </w:rPr>
        <w:t xml:space="preserve">cumplimiento de la ruta de reincorporación, la cual </w:t>
      </w:r>
      <w:r w:rsidR="00602BC2">
        <w:rPr>
          <w:rFonts w:ascii="Verdana" w:eastAsia="Verdana" w:hAnsi="Verdana" w:cs="Arial"/>
          <w:sz w:val="24"/>
          <w:szCs w:val="24"/>
        </w:rPr>
        <w:t xml:space="preserve">contempla </w:t>
      </w:r>
      <w:r w:rsidR="0001766A" w:rsidRPr="0001766A">
        <w:rPr>
          <w:rFonts w:ascii="Verdana" w:eastAsia="Verdana" w:hAnsi="Verdana" w:cs="Arial"/>
          <w:sz w:val="24"/>
          <w:szCs w:val="24"/>
        </w:rPr>
        <w:t>componentes como formación académica, formación para el trabajo y el desarrollo humano, acompañamiento psicosocial y generación de ingresos, entre otros definidos por el Gobierno nacional. Este beneficio no se considera una fuente de generación de ingresos y su continuidad estará sujeta a la normatividad vigente relacionada con la implementación del Acuerdo Final para la Terminación del Conflicto y la Construcción de una Paz Estable y Duradera. Las condiciones y términos para su reconocimiento son establecidos por el Gobierno nacional.</w:t>
      </w:r>
    </w:p>
    <w:p w14:paraId="74F37A32" w14:textId="77777777" w:rsidR="009F1C51" w:rsidRPr="00AB06F3" w:rsidRDefault="009F1C51" w:rsidP="00CA367A">
      <w:pPr>
        <w:spacing w:after="0" w:line="276" w:lineRule="auto"/>
        <w:ind w:right="49"/>
        <w:rPr>
          <w:rFonts w:ascii="Verdana" w:eastAsia="Verdana" w:hAnsi="Verdana" w:cs="Arial"/>
          <w:sz w:val="24"/>
          <w:szCs w:val="24"/>
        </w:rPr>
      </w:pPr>
    </w:p>
    <w:p w14:paraId="45D52004" w14:textId="26533E7B" w:rsidR="51D36B5D" w:rsidRDefault="00BC25A9" w:rsidP="00187721">
      <w:pPr>
        <w:spacing w:after="0" w:line="276" w:lineRule="auto"/>
        <w:ind w:right="49"/>
        <w:jc w:val="both"/>
        <w:rPr>
          <w:rFonts w:ascii="Verdana" w:eastAsia="Verdana" w:hAnsi="Verdana" w:cs="Arial"/>
          <w:sz w:val="24"/>
          <w:szCs w:val="24"/>
        </w:rPr>
      </w:pPr>
      <w:r w:rsidRPr="00BC25A9">
        <w:rPr>
          <w:rFonts w:ascii="Verdana" w:eastAsia="Verdana" w:hAnsi="Verdana" w:cs="Arial"/>
          <w:sz w:val="24"/>
          <w:szCs w:val="24"/>
        </w:rPr>
        <w:t xml:space="preserve">Para los exintegrantes de las FARC-EP que hayan estado privados de la libertad y sean beneficiados con indulto o amnistía en el marco del Acuerdo Final, </w:t>
      </w:r>
      <w:r w:rsidR="00682680" w:rsidRPr="00682680">
        <w:rPr>
          <w:rFonts w:ascii="Verdana" w:eastAsia="Verdana" w:hAnsi="Verdana" w:cs="Arial"/>
          <w:sz w:val="24"/>
          <w:szCs w:val="24"/>
        </w:rPr>
        <w:t xml:space="preserve">el desembolso de la renta básica inicia el mes siguiente a </w:t>
      </w:r>
      <w:r w:rsidR="00682680" w:rsidRPr="00682680">
        <w:rPr>
          <w:rFonts w:ascii="Verdana" w:eastAsia="Verdana" w:hAnsi="Verdana" w:cs="Arial"/>
          <w:sz w:val="24"/>
          <w:szCs w:val="24"/>
        </w:rPr>
        <w:lastRenderedPageBreak/>
        <w:t>la recuperación de su libertad, una vez surtidos los trámites administrativos correspondientes.</w:t>
      </w:r>
    </w:p>
    <w:p w14:paraId="02DDC6C9" w14:textId="77777777" w:rsidR="009F1C51" w:rsidRPr="00AB06F3" w:rsidRDefault="009F1C51" w:rsidP="00CA367A">
      <w:pPr>
        <w:spacing w:after="0" w:line="276" w:lineRule="auto"/>
        <w:ind w:right="191"/>
        <w:rPr>
          <w:rFonts w:ascii="Verdana" w:hAnsi="Verdana" w:cs="Arial"/>
        </w:rPr>
      </w:pPr>
    </w:p>
    <w:p w14:paraId="5459B061" w14:textId="74DC6162" w:rsidR="51D36B5D" w:rsidRPr="00AB06F3" w:rsidRDefault="00682680" w:rsidP="00187721">
      <w:pPr>
        <w:tabs>
          <w:tab w:val="left" w:pos="8222"/>
        </w:tabs>
        <w:spacing w:after="0" w:line="276" w:lineRule="auto"/>
        <w:ind w:right="49"/>
        <w:jc w:val="both"/>
        <w:rPr>
          <w:rFonts w:ascii="Verdana" w:eastAsia="Verdana" w:hAnsi="Verdana" w:cs="Arial"/>
          <w:sz w:val="24"/>
          <w:szCs w:val="24"/>
        </w:rPr>
      </w:pPr>
      <w:r>
        <w:rPr>
          <w:rFonts w:ascii="Verdana" w:eastAsia="Verdana" w:hAnsi="Verdana" w:cs="Arial"/>
          <w:sz w:val="24"/>
          <w:szCs w:val="24"/>
        </w:rPr>
        <w:t xml:space="preserve">Con el fin de </w:t>
      </w:r>
      <w:r w:rsidR="009F1C51" w:rsidRPr="009F1C51">
        <w:rPr>
          <w:rFonts w:ascii="Verdana" w:eastAsia="Verdana" w:hAnsi="Verdana" w:cs="Arial"/>
          <w:sz w:val="24"/>
          <w:szCs w:val="24"/>
        </w:rPr>
        <w:t xml:space="preserve">garantizar la entrega de los beneficios económicos establecidos en el Decreto Ley 899 de 2017, la </w:t>
      </w:r>
      <w:r w:rsidR="00FF5173">
        <w:rPr>
          <w:rFonts w:ascii="Verdana" w:eastAsia="Verdana" w:hAnsi="Verdana" w:cs="Arial"/>
          <w:sz w:val="24"/>
          <w:szCs w:val="24"/>
        </w:rPr>
        <w:t xml:space="preserve">Agencia para la Reincorporación y la Normalización </w:t>
      </w:r>
      <w:r>
        <w:rPr>
          <w:rFonts w:ascii="Verdana" w:eastAsia="Verdana" w:hAnsi="Verdana" w:cs="Arial"/>
          <w:sz w:val="24"/>
          <w:szCs w:val="24"/>
        </w:rPr>
        <w:t xml:space="preserve">suscribió </w:t>
      </w:r>
      <w:r w:rsidR="009F1C51" w:rsidRPr="009F1C51">
        <w:rPr>
          <w:rFonts w:ascii="Verdana" w:eastAsia="Verdana" w:hAnsi="Verdana" w:cs="Arial"/>
          <w:sz w:val="24"/>
          <w:szCs w:val="24"/>
        </w:rPr>
        <w:t xml:space="preserve">el </w:t>
      </w:r>
      <w:r>
        <w:rPr>
          <w:rFonts w:ascii="Verdana" w:eastAsia="Verdana" w:hAnsi="Verdana" w:cs="Arial"/>
          <w:sz w:val="24"/>
          <w:szCs w:val="24"/>
        </w:rPr>
        <w:t>C</w:t>
      </w:r>
      <w:r w:rsidR="009F1C51" w:rsidRPr="009F1C51">
        <w:rPr>
          <w:rFonts w:ascii="Verdana" w:eastAsia="Verdana" w:hAnsi="Verdana" w:cs="Arial"/>
          <w:sz w:val="24"/>
          <w:szCs w:val="24"/>
        </w:rPr>
        <w:t xml:space="preserve">onvenio 1066 de 2018 con el Patrimonio Autónomo Fondo Colombia en Paz, con vigencia hasta el 31 de julio de 2024. Posteriormente, el 2 de agosto de 2024, se suscribió el convenio 1488-2024, cuyo objetivo es: </w:t>
      </w:r>
      <w:r w:rsidR="51D36B5D" w:rsidRPr="00AB06F3">
        <w:rPr>
          <w:rFonts w:ascii="Verdana" w:eastAsia="Verdana" w:hAnsi="Verdana" w:cs="Arial"/>
          <w:sz w:val="24"/>
          <w:szCs w:val="24"/>
        </w:rPr>
        <w:t>“Aunar esfuerzos técnicos, administrativos y financieros entre el Fondo Colombia en Paz -FCP- y la ARN para la materialización de los diferentes desembolsos y beneficios que se establezcan para la población sujeto de atención de la ARN”</w:t>
      </w:r>
      <w:r w:rsidR="009F1C51">
        <w:rPr>
          <w:rFonts w:ascii="Verdana" w:eastAsia="Verdana" w:hAnsi="Verdana" w:cs="Arial"/>
          <w:sz w:val="24"/>
          <w:szCs w:val="24"/>
        </w:rPr>
        <w:t>. A</w:t>
      </w:r>
      <w:r w:rsidR="51D36B5D" w:rsidRPr="00AB06F3">
        <w:rPr>
          <w:rFonts w:ascii="Verdana" w:eastAsia="Verdana" w:hAnsi="Verdana" w:cs="Arial"/>
          <w:sz w:val="24"/>
          <w:szCs w:val="24"/>
        </w:rPr>
        <w:t xml:space="preserve"> través de este operador fiduciario </w:t>
      </w:r>
      <w:r w:rsidR="0AC87649" w:rsidRPr="00AB06F3">
        <w:rPr>
          <w:rFonts w:ascii="Verdana" w:eastAsia="Verdana" w:hAnsi="Verdana" w:cs="Arial"/>
          <w:sz w:val="24"/>
          <w:szCs w:val="24"/>
        </w:rPr>
        <w:t xml:space="preserve">se </w:t>
      </w:r>
      <w:r w:rsidR="51D36B5D" w:rsidRPr="00AB06F3">
        <w:rPr>
          <w:rFonts w:ascii="Verdana" w:eastAsia="Verdana" w:hAnsi="Verdana" w:cs="Arial"/>
          <w:sz w:val="24"/>
          <w:szCs w:val="24"/>
        </w:rPr>
        <w:t>realiz</w:t>
      </w:r>
      <w:r w:rsidR="176B7646" w:rsidRPr="00AB06F3">
        <w:rPr>
          <w:rFonts w:ascii="Verdana" w:eastAsia="Verdana" w:hAnsi="Verdana" w:cs="Arial"/>
          <w:sz w:val="24"/>
          <w:szCs w:val="24"/>
        </w:rPr>
        <w:t>ó</w:t>
      </w:r>
      <w:r w:rsidR="51D36B5D" w:rsidRPr="00AB06F3">
        <w:rPr>
          <w:rFonts w:ascii="Verdana" w:eastAsia="Verdana" w:hAnsi="Verdana" w:cs="Arial"/>
          <w:sz w:val="24"/>
          <w:szCs w:val="24"/>
        </w:rPr>
        <w:t xml:space="preserve"> el </w:t>
      </w:r>
      <w:r w:rsidR="641ED484" w:rsidRPr="00AB06F3">
        <w:rPr>
          <w:rFonts w:ascii="Verdana" w:eastAsia="Verdana" w:hAnsi="Verdana" w:cs="Arial"/>
          <w:sz w:val="24"/>
          <w:szCs w:val="24"/>
        </w:rPr>
        <w:t xml:space="preserve">desembolso </w:t>
      </w:r>
      <w:r w:rsidR="51D36B5D" w:rsidRPr="00AB06F3">
        <w:rPr>
          <w:rFonts w:ascii="Verdana" w:eastAsia="Verdana" w:hAnsi="Verdana" w:cs="Arial"/>
          <w:sz w:val="24"/>
          <w:szCs w:val="24"/>
        </w:rPr>
        <w:t xml:space="preserve">o dispersión de recursos </w:t>
      </w:r>
      <w:r w:rsidR="003A76AE" w:rsidRPr="003A76AE">
        <w:rPr>
          <w:rFonts w:ascii="Verdana" w:eastAsia="Verdana" w:hAnsi="Verdana" w:cs="Arial"/>
          <w:sz w:val="24"/>
          <w:szCs w:val="24"/>
        </w:rPr>
        <w:t>de los recursos correspondientes al concepto de renta básica.</w:t>
      </w:r>
    </w:p>
    <w:p w14:paraId="1E5DEFAB" w14:textId="77777777" w:rsidR="009F1C51" w:rsidRDefault="009F1C51" w:rsidP="00C25586">
      <w:pPr>
        <w:spacing w:after="0" w:line="276" w:lineRule="auto"/>
        <w:jc w:val="both"/>
        <w:rPr>
          <w:rFonts w:ascii="Verdana" w:eastAsia="Verdana" w:hAnsi="Verdana" w:cs="Arial"/>
          <w:sz w:val="24"/>
          <w:szCs w:val="24"/>
        </w:rPr>
      </w:pPr>
    </w:p>
    <w:p w14:paraId="4A34869A" w14:textId="04823060" w:rsidR="10695DEC" w:rsidRPr="00AB06F3" w:rsidRDefault="00656261" w:rsidP="00187721">
      <w:pPr>
        <w:spacing w:after="0" w:line="276" w:lineRule="auto"/>
        <w:jc w:val="both"/>
        <w:rPr>
          <w:rFonts w:ascii="Verdana" w:eastAsia="Verdana" w:hAnsi="Verdana" w:cs="Arial"/>
          <w:sz w:val="24"/>
          <w:szCs w:val="24"/>
        </w:rPr>
      </w:pPr>
      <w:r w:rsidRPr="00152442">
        <w:rPr>
          <w:rFonts w:ascii="Verdana" w:eastAsia="Calibri" w:hAnsi="Verdana" w:cs="Arial"/>
          <w:sz w:val="24"/>
          <w:szCs w:val="24"/>
        </w:rPr>
        <w:t>Al cierre de 2025,</w:t>
      </w:r>
      <w:r w:rsidRPr="00152442">
        <w:rPr>
          <w:rFonts w:ascii="Verdana" w:eastAsia="Times New Roman" w:hAnsi="Verdana" w:cs="Times New Roman"/>
          <w:kern w:val="0"/>
          <w:sz w:val="24"/>
          <w:szCs w:val="24"/>
          <w:lang w:eastAsia="es-CO"/>
          <w14:ligatures w14:val="none"/>
        </w:rPr>
        <w:t xml:space="preserve"> </w:t>
      </w:r>
      <w:r w:rsidR="10695DEC" w:rsidRPr="00AB06F3">
        <w:rPr>
          <w:rFonts w:ascii="Verdana" w:eastAsia="Verdana" w:hAnsi="Verdana" w:cs="Arial"/>
          <w:sz w:val="24"/>
          <w:szCs w:val="24"/>
        </w:rPr>
        <w:t xml:space="preserve">el 100% de </w:t>
      </w:r>
      <w:r w:rsidR="009F1C51">
        <w:rPr>
          <w:rFonts w:ascii="Verdana" w:eastAsia="Verdana" w:hAnsi="Verdana" w:cs="Arial"/>
          <w:sz w:val="24"/>
          <w:szCs w:val="24"/>
        </w:rPr>
        <w:t xml:space="preserve">los </w:t>
      </w:r>
      <w:r w:rsidR="10695DEC" w:rsidRPr="00AB06F3">
        <w:rPr>
          <w:rFonts w:ascii="Verdana" w:eastAsia="Verdana" w:hAnsi="Verdana" w:cs="Arial"/>
          <w:sz w:val="24"/>
          <w:szCs w:val="24"/>
        </w:rPr>
        <w:t xml:space="preserve">exintegrantes </w:t>
      </w:r>
      <w:r w:rsidR="009F1C51">
        <w:rPr>
          <w:rFonts w:ascii="Verdana" w:eastAsia="Verdana" w:hAnsi="Verdana" w:cs="Arial"/>
          <w:sz w:val="24"/>
          <w:szCs w:val="24"/>
        </w:rPr>
        <w:t xml:space="preserve">de las </w:t>
      </w:r>
      <w:r w:rsidR="10695DEC" w:rsidRPr="00AB06F3">
        <w:rPr>
          <w:rFonts w:ascii="Verdana" w:eastAsia="Verdana" w:hAnsi="Verdana" w:cs="Arial"/>
          <w:sz w:val="24"/>
          <w:szCs w:val="24"/>
        </w:rPr>
        <w:t xml:space="preserve">FARC-EP que cumplieron </w:t>
      </w:r>
      <w:r w:rsidR="003A76AE">
        <w:rPr>
          <w:rFonts w:ascii="Verdana" w:eastAsia="Verdana" w:hAnsi="Verdana" w:cs="Arial"/>
          <w:sz w:val="24"/>
          <w:szCs w:val="24"/>
        </w:rPr>
        <w:t xml:space="preserve">los </w:t>
      </w:r>
      <w:r w:rsidR="10695DEC" w:rsidRPr="00AB06F3">
        <w:rPr>
          <w:rFonts w:ascii="Verdana" w:eastAsia="Verdana" w:hAnsi="Verdana" w:cs="Arial"/>
          <w:sz w:val="24"/>
          <w:szCs w:val="24"/>
        </w:rPr>
        <w:t xml:space="preserve">requisitos </w:t>
      </w:r>
      <w:r w:rsidR="009F1C51">
        <w:rPr>
          <w:rFonts w:ascii="Verdana" w:eastAsia="Verdana" w:hAnsi="Verdana" w:cs="Arial"/>
          <w:sz w:val="24"/>
          <w:szCs w:val="24"/>
        </w:rPr>
        <w:t xml:space="preserve">accedieron a la </w:t>
      </w:r>
      <w:r w:rsidR="003A76AE">
        <w:rPr>
          <w:rFonts w:ascii="Verdana" w:eastAsia="Verdana" w:hAnsi="Verdana" w:cs="Arial"/>
          <w:sz w:val="24"/>
          <w:szCs w:val="24"/>
        </w:rPr>
        <w:t>r</w:t>
      </w:r>
      <w:r w:rsidR="10695DEC" w:rsidRPr="00AB06F3">
        <w:rPr>
          <w:rFonts w:ascii="Verdana" w:eastAsia="Verdana" w:hAnsi="Verdana" w:cs="Arial"/>
          <w:sz w:val="24"/>
          <w:szCs w:val="24"/>
        </w:rPr>
        <w:t xml:space="preserve">enta </w:t>
      </w:r>
      <w:r w:rsidR="003A76AE">
        <w:rPr>
          <w:rFonts w:ascii="Verdana" w:eastAsia="Verdana" w:hAnsi="Verdana" w:cs="Arial"/>
          <w:sz w:val="24"/>
          <w:szCs w:val="24"/>
        </w:rPr>
        <w:t>b</w:t>
      </w:r>
      <w:r w:rsidR="10695DEC" w:rsidRPr="00AB06F3">
        <w:rPr>
          <w:rFonts w:ascii="Verdana" w:eastAsia="Verdana" w:hAnsi="Verdana" w:cs="Arial"/>
          <w:sz w:val="24"/>
          <w:szCs w:val="24"/>
        </w:rPr>
        <w:t>ásica</w:t>
      </w:r>
      <w:r w:rsidR="003A76AE">
        <w:rPr>
          <w:rFonts w:ascii="Verdana" w:eastAsia="Verdana" w:hAnsi="Verdana" w:cs="Arial"/>
          <w:sz w:val="24"/>
          <w:szCs w:val="24"/>
        </w:rPr>
        <w:t xml:space="preserve">. Durante la vigencia se realizaron </w:t>
      </w:r>
      <w:r w:rsidR="10695DEC" w:rsidRPr="00AB06F3">
        <w:rPr>
          <w:rFonts w:ascii="Verdana" w:eastAsia="Verdana" w:hAnsi="Verdana" w:cs="Arial"/>
          <w:sz w:val="24"/>
          <w:szCs w:val="24"/>
        </w:rPr>
        <w:t>1.</w:t>
      </w:r>
      <w:r w:rsidR="00670267">
        <w:rPr>
          <w:rFonts w:ascii="Verdana" w:eastAsia="Verdana" w:hAnsi="Verdana" w:cs="Arial"/>
          <w:sz w:val="24"/>
          <w:szCs w:val="24"/>
        </w:rPr>
        <w:t>271</w:t>
      </w:r>
      <w:r w:rsidR="10695DEC" w:rsidRPr="00AB06F3">
        <w:rPr>
          <w:rFonts w:ascii="Verdana" w:eastAsia="Verdana" w:hAnsi="Verdana" w:cs="Arial"/>
          <w:sz w:val="24"/>
          <w:szCs w:val="24"/>
        </w:rPr>
        <w:t xml:space="preserve"> </w:t>
      </w:r>
      <w:r w:rsidR="0079487E">
        <w:rPr>
          <w:rFonts w:ascii="Verdana" w:eastAsia="Verdana" w:hAnsi="Verdana" w:cs="Arial"/>
          <w:sz w:val="24"/>
          <w:szCs w:val="24"/>
        </w:rPr>
        <w:t xml:space="preserve">desembolsos </w:t>
      </w:r>
      <w:r w:rsidR="10695DEC" w:rsidRPr="00AB06F3">
        <w:rPr>
          <w:rFonts w:ascii="Verdana" w:eastAsia="Verdana" w:hAnsi="Verdana" w:cs="Arial"/>
          <w:sz w:val="24"/>
          <w:szCs w:val="24"/>
        </w:rPr>
        <w:t xml:space="preserve">por </w:t>
      </w:r>
      <w:r w:rsidR="009F1C51">
        <w:rPr>
          <w:rFonts w:ascii="Verdana" w:eastAsia="Verdana" w:hAnsi="Verdana" w:cs="Arial"/>
          <w:sz w:val="24"/>
          <w:szCs w:val="24"/>
        </w:rPr>
        <w:t xml:space="preserve">un total de </w:t>
      </w:r>
      <w:r w:rsidR="10695DEC" w:rsidRPr="00AB06F3">
        <w:rPr>
          <w:rFonts w:ascii="Verdana" w:eastAsia="Verdana" w:hAnsi="Verdana" w:cs="Arial"/>
          <w:sz w:val="24"/>
          <w:szCs w:val="24"/>
        </w:rPr>
        <w:t>$</w:t>
      </w:r>
      <w:r w:rsidR="00CA367A" w:rsidRPr="00CA367A">
        <w:rPr>
          <w:rFonts w:ascii="Verdana" w:eastAsia="Verdana" w:hAnsi="Verdana" w:cs="Arial"/>
          <w:sz w:val="24"/>
          <w:szCs w:val="24"/>
        </w:rPr>
        <w:t>1.603.840.711</w:t>
      </w:r>
      <w:r w:rsidR="10695DEC" w:rsidRPr="00AB06F3">
        <w:rPr>
          <w:rFonts w:ascii="Verdana" w:eastAsia="Verdana" w:hAnsi="Verdana" w:cs="Arial"/>
          <w:sz w:val="24"/>
          <w:szCs w:val="24"/>
        </w:rPr>
        <w:t xml:space="preserve">, </w:t>
      </w:r>
      <w:r w:rsidR="009F1C51">
        <w:rPr>
          <w:rFonts w:ascii="Verdana" w:eastAsia="Verdana" w:hAnsi="Verdana" w:cs="Arial"/>
          <w:sz w:val="24"/>
          <w:szCs w:val="24"/>
        </w:rPr>
        <w:t xml:space="preserve">beneficiando a </w:t>
      </w:r>
      <w:r w:rsidR="10695DEC" w:rsidRPr="00AB06F3">
        <w:rPr>
          <w:rFonts w:ascii="Verdana" w:eastAsia="Verdana" w:hAnsi="Verdana" w:cs="Arial"/>
          <w:sz w:val="24"/>
          <w:szCs w:val="24"/>
        </w:rPr>
        <w:t>1</w:t>
      </w:r>
      <w:r w:rsidR="00CA367A">
        <w:rPr>
          <w:rFonts w:ascii="Verdana" w:eastAsia="Verdana" w:hAnsi="Verdana" w:cs="Arial"/>
          <w:sz w:val="24"/>
          <w:szCs w:val="24"/>
        </w:rPr>
        <w:t>36</w:t>
      </w:r>
      <w:r w:rsidR="10695DEC" w:rsidRPr="00AB06F3">
        <w:rPr>
          <w:rFonts w:ascii="Verdana" w:eastAsia="Verdana" w:hAnsi="Verdana" w:cs="Arial"/>
          <w:sz w:val="24"/>
          <w:szCs w:val="24"/>
        </w:rPr>
        <w:t xml:space="preserve"> </w:t>
      </w:r>
      <w:r w:rsidR="009F1C51">
        <w:rPr>
          <w:rFonts w:ascii="Verdana" w:eastAsia="Verdana" w:hAnsi="Verdana" w:cs="Arial"/>
          <w:sz w:val="24"/>
          <w:szCs w:val="24"/>
        </w:rPr>
        <w:t>personas</w:t>
      </w:r>
      <w:r w:rsidR="0079487E">
        <w:rPr>
          <w:rFonts w:ascii="Verdana" w:eastAsia="Verdana" w:hAnsi="Verdana" w:cs="Arial"/>
          <w:sz w:val="24"/>
          <w:szCs w:val="24"/>
        </w:rPr>
        <w:t xml:space="preserve">, de las cuales </w:t>
      </w:r>
      <w:r w:rsidR="00CA367A">
        <w:rPr>
          <w:rFonts w:ascii="Verdana" w:eastAsia="Verdana" w:hAnsi="Verdana" w:cs="Arial"/>
          <w:sz w:val="24"/>
          <w:szCs w:val="24"/>
        </w:rPr>
        <w:t>37</w:t>
      </w:r>
      <w:r w:rsidR="10695DEC" w:rsidRPr="00AB06F3">
        <w:rPr>
          <w:rFonts w:ascii="Verdana" w:eastAsia="Verdana" w:hAnsi="Verdana" w:cs="Arial"/>
          <w:sz w:val="24"/>
          <w:szCs w:val="24"/>
        </w:rPr>
        <w:t xml:space="preserve"> </w:t>
      </w:r>
      <w:r w:rsidR="0079487E">
        <w:rPr>
          <w:rFonts w:ascii="Verdana" w:eastAsia="Verdana" w:hAnsi="Verdana" w:cs="Arial"/>
          <w:sz w:val="24"/>
          <w:szCs w:val="24"/>
        </w:rPr>
        <w:t xml:space="preserve">son </w:t>
      </w:r>
      <w:r w:rsidR="10695DEC" w:rsidRPr="00AB06F3">
        <w:rPr>
          <w:rFonts w:ascii="Verdana" w:eastAsia="Verdana" w:hAnsi="Verdana" w:cs="Arial"/>
          <w:sz w:val="24"/>
          <w:szCs w:val="24"/>
        </w:rPr>
        <w:t>mujeres y 9</w:t>
      </w:r>
      <w:r w:rsidR="00CA367A">
        <w:rPr>
          <w:rFonts w:ascii="Verdana" w:eastAsia="Verdana" w:hAnsi="Verdana" w:cs="Arial"/>
          <w:sz w:val="24"/>
          <w:szCs w:val="24"/>
        </w:rPr>
        <w:t>9</w:t>
      </w:r>
      <w:r w:rsidR="10695DEC" w:rsidRPr="00AB06F3">
        <w:rPr>
          <w:rFonts w:ascii="Verdana" w:eastAsia="Verdana" w:hAnsi="Verdana" w:cs="Arial"/>
          <w:sz w:val="24"/>
          <w:szCs w:val="24"/>
        </w:rPr>
        <w:t xml:space="preserve"> hombres</w:t>
      </w:r>
      <w:r w:rsidR="009F1C51">
        <w:rPr>
          <w:rFonts w:ascii="Verdana" w:eastAsia="Verdana" w:hAnsi="Verdana" w:cs="Arial"/>
          <w:sz w:val="24"/>
          <w:szCs w:val="24"/>
        </w:rPr>
        <w:t>)</w:t>
      </w:r>
      <w:r w:rsidR="10695DEC" w:rsidRPr="00AB06F3">
        <w:rPr>
          <w:rFonts w:ascii="Verdana" w:eastAsia="Verdana" w:hAnsi="Verdana" w:cs="Arial"/>
          <w:sz w:val="24"/>
          <w:szCs w:val="24"/>
        </w:rPr>
        <w:t xml:space="preserve">. </w:t>
      </w:r>
      <w:r w:rsidR="004E4BEB">
        <w:rPr>
          <w:rFonts w:ascii="Verdana" w:eastAsia="Verdana" w:hAnsi="Verdana" w:cs="Arial"/>
          <w:sz w:val="24"/>
          <w:szCs w:val="24"/>
        </w:rPr>
        <w:t>R</w:t>
      </w:r>
      <w:r w:rsidR="004E4BEB" w:rsidRPr="004E4BEB">
        <w:rPr>
          <w:rFonts w:ascii="Verdana" w:eastAsia="Verdana" w:hAnsi="Verdana" w:cs="Arial"/>
          <w:sz w:val="24"/>
          <w:szCs w:val="24"/>
        </w:rPr>
        <w:t>n relación con la pertenencia étnica, cinco (5) personas se autorreconocieron como pertenecientes a comunidades negras, afrocolombianas, raizales o palenqueras, mientras que dieciocho (18) personas se identificaron como integrantes de pueblos indígenas.</w:t>
      </w:r>
    </w:p>
    <w:p w14:paraId="583880D5" w14:textId="3A23C4B1" w:rsidR="2D2A373F" w:rsidRDefault="2D2A373F" w:rsidP="00187721">
      <w:pPr>
        <w:spacing w:after="0" w:line="276" w:lineRule="auto"/>
        <w:jc w:val="both"/>
        <w:rPr>
          <w:rFonts w:ascii="Verdana" w:eastAsiaTheme="minorEastAsia" w:hAnsi="Verdana" w:cs="Arial"/>
          <w:sz w:val="24"/>
          <w:szCs w:val="24"/>
        </w:rPr>
      </w:pPr>
    </w:p>
    <w:p w14:paraId="6F4003CC" w14:textId="4B9D11E9" w:rsidR="003D3F09" w:rsidRPr="003D3F09" w:rsidRDefault="004E4BEB" w:rsidP="00187721">
      <w:pPr>
        <w:jc w:val="both"/>
      </w:pPr>
      <w:r w:rsidRPr="004E4BEB">
        <w:rPr>
          <w:rFonts w:ascii="Verdana" w:eastAsiaTheme="minorEastAsia" w:hAnsi="Verdana" w:cs="Arial"/>
          <w:sz w:val="24"/>
          <w:szCs w:val="24"/>
        </w:rPr>
        <w:t>De manera acumulada, desde agosto de 2017 hasta el 31 de diciembre de 2025 se han realizado 293.751 desembolsos de renta básica por un valor total de $210.173.970.729, beneficiando a 13.431 exintegrantes acreditados. De esta población, 3.166 corresponden a mujeres y 10.265 a hombres.</w:t>
      </w:r>
    </w:p>
    <w:p w14:paraId="37B690B8" w14:textId="486C54A9" w:rsidR="0093369A" w:rsidRPr="0093369A" w:rsidRDefault="0093369A" w:rsidP="00187721">
      <w:pPr>
        <w:pStyle w:val="Descripcin"/>
        <w:keepNext/>
        <w:jc w:val="center"/>
        <w:rPr>
          <w:rFonts w:ascii="Verdana" w:hAnsi="Verdana" w:cs="Arial"/>
          <w:i w:val="0"/>
          <w:iCs w:val="0"/>
          <w:color w:val="000000" w:themeColor="text1"/>
        </w:rPr>
      </w:pPr>
      <w:bookmarkStart w:id="40" w:name="_Toc225283147"/>
      <w:r w:rsidRPr="0093369A">
        <w:rPr>
          <w:rFonts w:ascii="Verdana" w:hAnsi="Verdana" w:cs="Arial"/>
          <w:i w:val="0"/>
          <w:iCs w:val="0"/>
          <w:color w:val="000000" w:themeColor="text1"/>
        </w:rPr>
        <w:t xml:space="preserve">Tabla </w:t>
      </w:r>
      <w:r w:rsidRPr="0093369A">
        <w:rPr>
          <w:rFonts w:ascii="Verdana" w:hAnsi="Verdana" w:cs="Arial"/>
          <w:i w:val="0"/>
          <w:iCs w:val="0"/>
          <w:color w:val="000000" w:themeColor="text1"/>
        </w:rPr>
        <w:fldChar w:fldCharType="begin"/>
      </w:r>
      <w:r w:rsidRPr="0093369A">
        <w:rPr>
          <w:rFonts w:ascii="Verdana" w:hAnsi="Verdana" w:cs="Arial"/>
          <w:i w:val="0"/>
          <w:iCs w:val="0"/>
          <w:color w:val="000000" w:themeColor="text1"/>
        </w:rPr>
        <w:instrText xml:space="preserve"> SEQ Tabla \* ARABIC </w:instrText>
      </w:r>
      <w:r w:rsidRPr="0093369A">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35</w:t>
      </w:r>
      <w:r w:rsidRPr="0093369A">
        <w:rPr>
          <w:rFonts w:ascii="Verdana" w:hAnsi="Verdana" w:cs="Arial"/>
          <w:i w:val="0"/>
          <w:iCs w:val="0"/>
          <w:color w:val="000000" w:themeColor="text1"/>
        </w:rPr>
        <w:fldChar w:fldCharType="end"/>
      </w:r>
      <w:r w:rsidRPr="0093369A">
        <w:rPr>
          <w:rFonts w:ascii="Verdana" w:hAnsi="Verdana" w:cs="Arial"/>
          <w:i w:val="0"/>
          <w:iCs w:val="0"/>
          <w:color w:val="000000" w:themeColor="text1"/>
        </w:rPr>
        <w:t>. Detalle de las principales acciones del indicador C.240</w:t>
      </w:r>
      <w:bookmarkEnd w:id="40"/>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2663"/>
        <w:gridCol w:w="2663"/>
        <w:gridCol w:w="2663"/>
      </w:tblGrid>
      <w:tr w:rsidR="48836A97" w:rsidRPr="00AB06F3" w14:paraId="5E90A656" w14:textId="77777777" w:rsidTr="000F4B9A">
        <w:trPr>
          <w:trHeight w:val="300"/>
        </w:trPr>
        <w:tc>
          <w:tcPr>
            <w:tcW w:w="2663" w:type="dxa"/>
          </w:tcPr>
          <w:p w14:paraId="33EC58DF" w14:textId="77777777" w:rsidR="48836A97" w:rsidRPr="009F1C51" w:rsidRDefault="48836A97" w:rsidP="009F1C51">
            <w:pPr>
              <w:spacing w:line="276" w:lineRule="auto"/>
              <w:jc w:val="center"/>
              <w:rPr>
                <w:rFonts w:ascii="Verdana" w:hAnsi="Verdana" w:cs="Arial"/>
                <w:b/>
                <w:bCs/>
                <w:color w:val="000000" w:themeColor="text1"/>
                <w:sz w:val="18"/>
                <w:szCs w:val="18"/>
              </w:rPr>
            </w:pPr>
            <w:r w:rsidRPr="009F1C51">
              <w:rPr>
                <w:rFonts w:ascii="Verdana" w:hAnsi="Verdana" w:cs="Arial"/>
                <w:b/>
                <w:bCs/>
                <w:color w:val="000000" w:themeColor="text1"/>
                <w:sz w:val="18"/>
                <w:szCs w:val="18"/>
              </w:rPr>
              <w:t>Indicador del PMI</w:t>
            </w:r>
          </w:p>
        </w:tc>
        <w:tc>
          <w:tcPr>
            <w:tcW w:w="2663" w:type="dxa"/>
          </w:tcPr>
          <w:p w14:paraId="754BFAA3" w14:textId="77777777" w:rsidR="48836A97" w:rsidRPr="009F1C51" w:rsidRDefault="48836A97" w:rsidP="009F1C51">
            <w:pPr>
              <w:spacing w:line="276" w:lineRule="auto"/>
              <w:jc w:val="center"/>
              <w:rPr>
                <w:rFonts w:ascii="Verdana" w:hAnsi="Verdana" w:cs="Arial"/>
                <w:b/>
                <w:bCs/>
                <w:color w:val="000000" w:themeColor="text1"/>
                <w:sz w:val="18"/>
                <w:szCs w:val="18"/>
              </w:rPr>
            </w:pPr>
            <w:r w:rsidRPr="009F1C51">
              <w:rPr>
                <w:rFonts w:ascii="Verdana" w:hAnsi="Verdana" w:cs="Arial"/>
                <w:b/>
                <w:bCs/>
                <w:color w:val="000000" w:themeColor="text1"/>
                <w:sz w:val="18"/>
                <w:szCs w:val="18"/>
              </w:rPr>
              <w:t>Principales Logros</w:t>
            </w:r>
          </w:p>
        </w:tc>
        <w:tc>
          <w:tcPr>
            <w:tcW w:w="2663" w:type="dxa"/>
          </w:tcPr>
          <w:p w14:paraId="3174213E" w14:textId="18A316C9" w:rsidR="48836A97" w:rsidRPr="009F1C51" w:rsidRDefault="48836A97" w:rsidP="009F1C51">
            <w:pPr>
              <w:spacing w:line="276" w:lineRule="auto"/>
              <w:jc w:val="center"/>
              <w:rPr>
                <w:rFonts w:ascii="Verdana" w:hAnsi="Verdana" w:cs="Arial"/>
                <w:b/>
                <w:bCs/>
                <w:color w:val="000000" w:themeColor="text1"/>
                <w:sz w:val="18"/>
                <w:szCs w:val="18"/>
              </w:rPr>
            </w:pPr>
            <w:r w:rsidRPr="009F1C51">
              <w:rPr>
                <w:rFonts w:ascii="Verdana" w:hAnsi="Verdana" w:cs="Arial"/>
                <w:b/>
                <w:bCs/>
                <w:color w:val="000000" w:themeColor="text1"/>
                <w:sz w:val="18"/>
                <w:szCs w:val="18"/>
              </w:rPr>
              <w:t>Recursos 202</w:t>
            </w:r>
            <w:r w:rsidR="00870599">
              <w:rPr>
                <w:rFonts w:ascii="Verdana" w:hAnsi="Verdana" w:cs="Arial"/>
                <w:b/>
                <w:bCs/>
                <w:color w:val="000000" w:themeColor="text1"/>
                <w:sz w:val="18"/>
                <w:szCs w:val="18"/>
              </w:rPr>
              <w:t>5</w:t>
            </w:r>
          </w:p>
        </w:tc>
      </w:tr>
      <w:tr w:rsidR="48836A97" w:rsidRPr="00AB06F3" w14:paraId="140A0A2B" w14:textId="77777777" w:rsidTr="000F4B9A">
        <w:trPr>
          <w:trHeight w:val="300"/>
        </w:trPr>
        <w:tc>
          <w:tcPr>
            <w:tcW w:w="2663" w:type="dxa"/>
          </w:tcPr>
          <w:p w14:paraId="271A811D" w14:textId="04048735" w:rsidR="48836A97" w:rsidRPr="00AB06F3" w:rsidRDefault="3E6326AE" w:rsidP="00404B5E">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C.240 Porcentaje de miembros de las FARC-EP acreditados que no tengan vínculo contractual que les genere ingresos, con renta básica mensual</w:t>
            </w:r>
          </w:p>
        </w:tc>
        <w:tc>
          <w:tcPr>
            <w:tcW w:w="2663" w:type="dxa"/>
          </w:tcPr>
          <w:p w14:paraId="60269CB3" w14:textId="64656535" w:rsidR="48836A97" w:rsidRPr="00AB06F3" w:rsidRDefault="7463FDEC" w:rsidP="00404B5E">
            <w:pPr>
              <w:spacing w:line="276" w:lineRule="auto"/>
              <w:jc w:val="both"/>
              <w:rPr>
                <w:rFonts w:ascii="Verdana" w:eastAsia="Verdana" w:hAnsi="Verdana" w:cs="Arial"/>
                <w:sz w:val="18"/>
                <w:szCs w:val="18"/>
              </w:rPr>
            </w:pPr>
            <w:r w:rsidRPr="00AB06F3">
              <w:rPr>
                <w:rFonts w:ascii="Verdana" w:eastAsia="Verdana" w:hAnsi="Verdana" w:cs="Arial"/>
                <w:sz w:val="18"/>
                <w:szCs w:val="18"/>
              </w:rPr>
              <w:t>Desembolso de 1.</w:t>
            </w:r>
            <w:r w:rsidR="00E90446">
              <w:rPr>
                <w:rFonts w:ascii="Verdana" w:eastAsia="Verdana" w:hAnsi="Verdana" w:cs="Arial"/>
                <w:sz w:val="18"/>
                <w:szCs w:val="18"/>
              </w:rPr>
              <w:t>271</w:t>
            </w:r>
            <w:r w:rsidRPr="00AB06F3">
              <w:rPr>
                <w:rFonts w:ascii="Verdana" w:eastAsia="Verdana" w:hAnsi="Verdana" w:cs="Arial"/>
                <w:sz w:val="18"/>
                <w:szCs w:val="18"/>
              </w:rPr>
              <w:t xml:space="preserve"> rentas básicas</w:t>
            </w:r>
            <w:r w:rsidR="52FA471B" w:rsidRPr="00AB06F3">
              <w:rPr>
                <w:rFonts w:ascii="Verdana" w:eastAsia="Verdana" w:hAnsi="Verdana" w:cs="Arial"/>
                <w:sz w:val="18"/>
                <w:szCs w:val="18"/>
              </w:rPr>
              <w:t xml:space="preserve"> </w:t>
            </w:r>
          </w:p>
        </w:tc>
        <w:tc>
          <w:tcPr>
            <w:tcW w:w="2663" w:type="dxa"/>
          </w:tcPr>
          <w:p w14:paraId="4BB5B929" w14:textId="0780A225" w:rsidR="00404B5E" w:rsidRDefault="4F23A2E5" w:rsidP="00404B5E">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w:t>
            </w:r>
            <w:r w:rsidR="00E90446" w:rsidRPr="00E90446">
              <w:rPr>
                <w:rFonts w:ascii="Verdana" w:hAnsi="Verdana" w:cs="Arial"/>
                <w:color w:val="000000" w:themeColor="text1"/>
                <w:sz w:val="18"/>
                <w:szCs w:val="18"/>
              </w:rPr>
              <w:t>1.603.840.711</w:t>
            </w:r>
            <w:r w:rsidR="00404B5E">
              <w:rPr>
                <w:rFonts w:ascii="Verdana" w:hAnsi="Verdana" w:cs="Arial"/>
                <w:color w:val="000000" w:themeColor="text1"/>
                <w:sz w:val="18"/>
                <w:szCs w:val="18"/>
              </w:rPr>
              <w:t xml:space="preserve">. </w:t>
            </w:r>
          </w:p>
          <w:p w14:paraId="5C8549B4" w14:textId="4CEA2A58" w:rsidR="48836A97" w:rsidRPr="00AB06F3" w:rsidRDefault="68DC5408" w:rsidP="00404B5E">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Fuente</w:t>
            </w:r>
            <w:r w:rsidR="00404B5E">
              <w:rPr>
                <w:rFonts w:ascii="Verdana" w:hAnsi="Verdana" w:cs="Arial"/>
                <w:color w:val="000000" w:themeColor="text1"/>
                <w:sz w:val="18"/>
                <w:szCs w:val="18"/>
              </w:rPr>
              <w:t xml:space="preserve">: </w:t>
            </w:r>
            <w:r w:rsidRPr="00AB06F3">
              <w:rPr>
                <w:rFonts w:ascii="Verdana" w:hAnsi="Verdana" w:cs="Arial"/>
                <w:color w:val="000000" w:themeColor="text1"/>
                <w:sz w:val="18"/>
                <w:szCs w:val="18"/>
              </w:rPr>
              <w:t>recursos de Transferencias</w:t>
            </w:r>
            <w:r w:rsidR="00404B5E">
              <w:rPr>
                <w:rFonts w:ascii="Verdana" w:hAnsi="Verdana" w:cs="Arial"/>
                <w:color w:val="000000" w:themeColor="text1"/>
                <w:sz w:val="18"/>
                <w:szCs w:val="18"/>
              </w:rPr>
              <w:t xml:space="preserve">. </w:t>
            </w:r>
            <w:r w:rsidRPr="00AB06F3">
              <w:rPr>
                <w:rFonts w:ascii="Verdana" w:hAnsi="Verdana" w:cs="Arial"/>
                <w:color w:val="000000" w:themeColor="text1"/>
                <w:sz w:val="18"/>
                <w:szCs w:val="18"/>
              </w:rPr>
              <w:t>Recursos de la Nación</w:t>
            </w:r>
          </w:p>
          <w:p w14:paraId="7725D9BD" w14:textId="546381F7" w:rsidR="48836A97" w:rsidRPr="00AB06F3" w:rsidRDefault="48836A97" w:rsidP="00404B5E">
            <w:pPr>
              <w:spacing w:line="276" w:lineRule="auto"/>
              <w:jc w:val="both"/>
              <w:rPr>
                <w:rFonts w:ascii="Verdana" w:hAnsi="Verdana" w:cs="Arial"/>
                <w:color w:val="000000" w:themeColor="text1"/>
                <w:sz w:val="18"/>
                <w:szCs w:val="18"/>
              </w:rPr>
            </w:pPr>
          </w:p>
          <w:p w14:paraId="58812018" w14:textId="1CE4D257" w:rsidR="48836A97" w:rsidRPr="00AB06F3" w:rsidRDefault="68DC5408" w:rsidP="00404B5E">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 xml:space="preserve">Nota: El Fondo Colombia en Paz realiza el </w:t>
            </w:r>
            <w:r w:rsidRPr="00AB06F3">
              <w:rPr>
                <w:rFonts w:ascii="Verdana" w:hAnsi="Verdana" w:cs="Arial"/>
                <w:color w:val="000000" w:themeColor="text1"/>
                <w:sz w:val="18"/>
                <w:szCs w:val="18"/>
              </w:rPr>
              <w:lastRenderedPageBreak/>
              <w:t>desembolso del beneficio al participante final.</w:t>
            </w:r>
          </w:p>
        </w:tc>
      </w:tr>
    </w:tbl>
    <w:p w14:paraId="06B25C0B"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0CFC19C0" w14:textId="77777777" w:rsidR="00C71D0A" w:rsidRPr="00157B16" w:rsidRDefault="00C71D0A" w:rsidP="00C25586">
      <w:pPr>
        <w:pStyle w:val="Prrafodelista"/>
        <w:spacing w:after="0" w:line="276" w:lineRule="auto"/>
        <w:rPr>
          <w:rFonts w:ascii="Verdana" w:hAnsi="Verdana" w:cs="Arial"/>
        </w:rPr>
      </w:pPr>
    </w:p>
    <w:p w14:paraId="6595EEF1" w14:textId="4E67449D" w:rsidR="00B709EF" w:rsidRPr="00AB06F3" w:rsidRDefault="00CA0A9A" w:rsidP="00031DF5">
      <w:pPr>
        <w:pStyle w:val="Ttulo5"/>
        <w:numPr>
          <w:ilvl w:val="0"/>
          <w:numId w:val="4"/>
        </w:numPr>
        <w:spacing w:after="0" w:line="276" w:lineRule="auto"/>
        <w:jc w:val="both"/>
        <w:rPr>
          <w:rFonts w:ascii="Verdana" w:eastAsia="Verdana" w:hAnsi="Verdana" w:cs="Arial"/>
          <w:sz w:val="24"/>
          <w:szCs w:val="24"/>
        </w:rPr>
      </w:pPr>
      <w:r w:rsidRPr="00AB06F3">
        <w:rPr>
          <w:rFonts w:ascii="Verdana" w:hAnsi="Verdana" w:cs="Arial"/>
          <w:color w:val="000000" w:themeColor="text1"/>
          <w:sz w:val="24"/>
          <w:szCs w:val="24"/>
        </w:rPr>
        <w:t>Regionalización de las acciones y beneficiarios:</w:t>
      </w:r>
    </w:p>
    <w:p w14:paraId="1D1FF1EA" w14:textId="77777777" w:rsidR="00CA0A9A" w:rsidRPr="00AB06F3" w:rsidRDefault="00CA0A9A" w:rsidP="00C25586">
      <w:pPr>
        <w:spacing w:after="0" w:line="276" w:lineRule="auto"/>
        <w:rPr>
          <w:rFonts w:ascii="Verdana" w:eastAsia="Verdana" w:hAnsi="Verdana" w:cs="Arial"/>
          <w:sz w:val="24"/>
          <w:szCs w:val="24"/>
        </w:rPr>
      </w:pPr>
    </w:p>
    <w:p w14:paraId="52C73967" w14:textId="2D9C9CEB" w:rsidR="00B709EF" w:rsidRPr="00AB06F3" w:rsidRDefault="00096149" w:rsidP="00187721">
      <w:pPr>
        <w:pStyle w:val="Descripcin"/>
        <w:spacing w:after="0" w:line="276" w:lineRule="auto"/>
        <w:jc w:val="both"/>
        <w:rPr>
          <w:rFonts w:ascii="Verdana" w:hAnsi="Verdana" w:cs="Arial"/>
          <w:i w:val="0"/>
          <w:iCs w:val="0"/>
          <w:color w:val="000000" w:themeColor="text1"/>
        </w:rPr>
      </w:pPr>
      <w:r w:rsidRPr="00096149">
        <w:rPr>
          <w:rFonts w:ascii="Verdana" w:eastAsia="Verdana" w:hAnsi="Verdana" w:cs="Arial"/>
          <w:i w:val="0"/>
          <w:iCs w:val="0"/>
          <w:color w:val="auto"/>
          <w:sz w:val="24"/>
          <w:szCs w:val="24"/>
        </w:rPr>
        <w:t>Los desembolsos correspondientes al beneficio económico de la Renta Básica, establecidos en el Decreto Ley 899 de 2017, se realizan mediante abono directo en cuenta bancaria a la población en proceso de reincorporación. Dado que esta población presenta dinámicas de movilidad dentro del territorio nacional, la implementación de estos desembolsos se realiza a nivel nacional, garantizando así el acceso oportuno al beneficio independientemente de la ubicación geográfica de los beneficiarios.</w:t>
      </w:r>
    </w:p>
    <w:p w14:paraId="061163D7" w14:textId="0F2605D9" w:rsidR="0024555C" w:rsidRPr="0024555C" w:rsidRDefault="0024555C" w:rsidP="0024555C">
      <w:pPr>
        <w:pStyle w:val="Descripcin"/>
        <w:keepNext/>
        <w:jc w:val="center"/>
        <w:rPr>
          <w:rFonts w:ascii="Verdana" w:hAnsi="Verdana" w:cs="Arial"/>
          <w:i w:val="0"/>
          <w:iCs w:val="0"/>
          <w:color w:val="000000" w:themeColor="text1"/>
        </w:rPr>
      </w:pPr>
      <w:bookmarkStart w:id="41" w:name="_Toc225283148"/>
      <w:r w:rsidRPr="0024555C">
        <w:rPr>
          <w:rFonts w:ascii="Verdana" w:hAnsi="Verdana" w:cs="Arial"/>
          <w:i w:val="0"/>
          <w:iCs w:val="0"/>
          <w:color w:val="000000" w:themeColor="text1"/>
        </w:rPr>
        <w:t xml:space="preserve">Tabla </w:t>
      </w:r>
      <w:r w:rsidRPr="0024555C">
        <w:rPr>
          <w:rFonts w:ascii="Verdana" w:hAnsi="Verdana" w:cs="Arial"/>
          <w:i w:val="0"/>
          <w:iCs w:val="0"/>
          <w:color w:val="000000" w:themeColor="text1"/>
        </w:rPr>
        <w:fldChar w:fldCharType="begin"/>
      </w:r>
      <w:r w:rsidRPr="0024555C">
        <w:rPr>
          <w:rFonts w:ascii="Verdana" w:hAnsi="Verdana" w:cs="Arial"/>
          <w:i w:val="0"/>
          <w:iCs w:val="0"/>
          <w:color w:val="000000" w:themeColor="text1"/>
        </w:rPr>
        <w:instrText xml:space="preserve"> SEQ Tabla \* ARABIC </w:instrText>
      </w:r>
      <w:r w:rsidRPr="0024555C">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36</w:t>
      </w:r>
      <w:r w:rsidRPr="0024555C">
        <w:rPr>
          <w:rFonts w:ascii="Verdana" w:hAnsi="Verdana" w:cs="Arial"/>
          <w:i w:val="0"/>
          <w:iCs w:val="0"/>
          <w:color w:val="000000" w:themeColor="text1"/>
        </w:rPr>
        <w:fldChar w:fldCharType="end"/>
      </w:r>
      <w:r w:rsidRPr="0024555C">
        <w:rPr>
          <w:rFonts w:ascii="Verdana" w:hAnsi="Verdana" w:cs="Arial"/>
          <w:i w:val="0"/>
          <w:iCs w:val="0"/>
          <w:color w:val="000000" w:themeColor="text1"/>
        </w:rPr>
        <w:t>. Regionalización del indicador C.240</w:t>
      </w:r>
      <w:bookmarkEnd w:id="41"/>
    </w:p>
    <w:tbl>
      <w:tblPr>
        <w:tblStyle w:val="Tablaconcuadrcula1clara-nfasis4"/>
        <w:tblW w:w="8117" w:type="dxa"/>
        <w:jc w:val="center"/>
        <w:tblLook w:val="04A0" w:firstRow="1" w:lastRow="0" w:firstColumn="1" w:lastColumn="0" w:noHBand="0" w:noVBand="1"/>
        <w:tblCaption w:val="Detalle de regionalización del indicador"/>
        <w:tblDescription w:val="Tabla que contiene los siguientes items: indicador del PMI, total población beneficiada y clasificación poblacional.&#10;"/>
      </w:tblPr>
      <w:tblGrid>
        <w:gridCol w:w="2830"/>
        <w:gridCol w:w="1701"/>
        <w:gridCol w:w="3586"/>
      </w:tblGrid>
      <w:tr w:rsidR="48836A97" w:rsidRPr="00AB06F3" w14:paraId="2A5AE6DF" w14:textId="77777777" w:rsidTr="00DF01B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30" w:type="dxa"/>
          </w:tcPr>
          <w:p w14:paraId="78427F0C" w14:textId="77777777" w:rsidR="48836A97" w:rsidRPr="00C71D0A" w:rsidRDefault="48836A97" w:rsidP="00C25586">
            <w:pPr>
              <w:spacing w:line="276" w:lineRule="auto"/>
              <w:jc w:val="center"/>
              <w:rPr>
                <w:rFonts w:ascii="Verdana" w:hAnsi="Verdana" w:cs="Arial"/>
                <w:color w:val="000000" w:themeColor="text1"/>
                <w:sz w:val="18"/>
                <w:szCs w:val="18"/>
              </w:rPr>
            </w:pPr>
          </w:p>
          <w:p w14:paraId="72BF640E" w14:textId="423DC87A" w:rsidR="48836A97" w:rsidRPr="00C71D0A" w:rsidRDefault="48836A97" w:rsidP="00C25586">
            <w:pPr>
              <w:spacing w:line="276" w:lineRule="auto"/>
              <w:jc w:val="center"/>
              <w:rPr>
                <w:rFonts w:ascii="Verdana" w:hAnsi="Verdana" w:cs="Arial"/>
                <w:sz w:val="18"/>
                <w:szCs w:val="18"/>
              </w:rPr>
            </w:pPr>
            <w:r w:rsidRPr="00C71D0A">
              <w:rPr>
                <w:rFonts w:ascii="Verdana" w:hAnsi="Verdana" w:cs="Arial"/>
                <w:color w:val="000000" w:themeColor="text1"/>
                <w:sz w:val="18"/>
                <w:szCs w:val="18"/>
              </w:rPr>
              <w:t>Indicador del PMI</w:t>
            </w:r>
          </w:p>
        </w:tc>
        <w:tc>
          <w:tcPr>
            <w:tcW w:w="1701" w:type="dxa"/>
            <w:vAlign w:val="center"/>
          </w:tcPr>
          <w:p w14:paraId="28351045" w14:textId="6F8EE92F" w:rsidR="48836A97" w:rsidRPr="00C71D0A" w:rsidRDefault="7232B4B5"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C71D0A">
              <w:rPr>
                <w:rFonts w:ascii="Verdana" w:hAnsi="Verdana" w:cs="Arial"/>
                <w:sz w:val="18"/>
                <w:szCs w:val="18"/>
              </w:rPr>
              <w:t>Total Población Beneficiada</w:t>
            </w:r>
          </w:p>
        </w:tc>
        <w:tc>
          <w:tcPr>
            <w:tcW w:w="3586" w:type="dxa"/>
            <w:vAlign w:val="center"/>
          </w:tcPr>
          <w:p w14:paraId="730922DC" w14:textId="689B4385" w:rsidR="48836A97" w:rsidRPr="00C71D0A"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C71D0A">
              <w:rPr>
                <w:rFonts w:ascii="Verdana" w:hAnsi="Verdana" w:cs="Arial"/>
                <w:sz w:val="18"/>
                <w:szCs w:val="18"/>
              </w:rPr>
              <w:t>Clasificación poblacional</w:t>
            </w:r>
          </w:p>
        </w:tc>
      </w:tr>
      <w:tr w:rsidR="48836A97" w:rsidRPr="00AB06F3" w14:paraId="5AE40898" w14:textId="77777777" w:rsidTr="00DF01B5">
        <w:trPr>
          <w:trHeight w:val="300"/>
          <w:jc w:val="center"/>
        </w:trPr>
        <w:tc>
          <w:tcPr>
            <w:cnfStyle w:val="001000000000" w:firstRow="0" w:lastRow="0" w:firstColumn="1" w:lastColumn="0" w:oddVBand="0" w:evenVBand="0" w:oddHBand="0" w:evenHBand="0" w:firstRowFirstColumn="0" w:firstRowLastColumn="0" w:lastRowFirstColumn="0" w:lastRowLastColumn="0"/>
            <w:tcW w:w="2830" w:type="dxa"/>
          </w:tcPr>
          <w:p w14:paraId="74BF6F16" w14:textId="09598CBA" w:rsidR="48836A97" w:rsidRPr="00AB06F3" w:rsidRDefault="531284CA" w:rsidP="002C74D3">
            <w:pPr>
              <w:spacing w:line="276" w:lineRule="auto"/>
              <w:jc w:val="both"/>
              <w:rPr>
                <w:rFonts w:ascii="Verdana" w:hAnsi="Verdana" w:cs="Arial"/>
                <w:b w:val="0"/>
                <w:bCs w:val="0"/>
                <w:sz w:val="18"/>
                <w:szCs w:val="18"/>
              </w:rPr>
            </w:pPr>
            <w:r w:rsidRPr="00AB06F3">
              <w:rPr>
                <w:rFonts w:ascii="Verdana" w:hAnsi="Verdana" w:cs="Arial"/>
                <w:b w:val="0"/>
                <w:bCs w:val="0"/>
                <w:color w:val="000000" w:themeColor="text1"/>
                <w:sz w:val="18"/>
                <w:szCs w:val="18"/>
              </w:rPr>
              <w:t xml:space="preserve">C.240 Porcentaje de miembros de las FARC-EP acreditados que no tengan vínculo contractual que les genere ingresos, con renta básica mensual  </w:t>
            </w:r>
          </w:p>
        </w:tc>
        <w:tc>
          <w:tcPr>
            <w:tcW w:w="1701" w:type="dxa"/>
            <w:vAlign w:val="center"/>
          </w:tcPr>
          <w:p w14:paraId="48BA76D9" w14:textId="7BA3A4D9" w:rsidR="5B427541" w:rsidRPr="00AB06F3" w:rsidRDefault="127E1D89"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hAnsi="Verdana" w:cs="Arial"/>
                <w:sz w:val="18"/>
                <w:szCs w:val="18"/>
              </w:rPr>
              <w:t>1</w:t>
            </w:r>
            <w:r w:rsidR="006D57DD">
              <w:rPr>
                <w:rFonts w:ascii="Verdana" w:hAnsi="Verdana" w:cs="Arial"/>
                <w:sz w:val="18"/>
                <w:szCs w:val="18"/>
              </w:rPr>
              <w:t>36</w:t>
            </w:r>
            <w:r w:rsidRPr="00AB06F3">
              <w:rPr>
                <w:rFonts w:ascii="Verdana" w:hAnsi="Verdana" w:cs="Arial"/>
                <w:sz w:val="18"/>
                <w:szCs w:val="18"/>
              </w:rPr>
              <w:t xml:space="preserve"> personas</w:t>
            </w:r>
            <w:r w:rsidR="0F0AEA31" w:rsidRPr="00AB06F3">
              <w:rPr>
                <w:rFonts w:ascii="Verdana" w:hAnsi="Verdana" w:cs="Arial"/>
                <w:sz w:val="18"/>
                <w:szCs w:val="18"/>
              </w:rPr>
              <w:t xml:space="preserve"> con desembolso de renta básica mensual</w:t>
            </w:r>
          </w:p>
          <w:p w14:paraId="18E7DBA8" w14:textId="77777777" w:rsidR="48836A97" w:rsidRPr="00AB06F3" w:rsidRDefault="48836A97"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c>
          <w:tcPr>
            <w:tcW w:w="3586" w:type="dxa"/>
            <w:vAlign w:val="center"/>
          </w:tcPr>
          <w:p w14:paraId="759BFA05" w14:textId="439EB1BD" w:rsidR="48836A97" w:rsidRPr="00AB06F3" w:rsidRDefault="00BA685F" w:rsidP="00DF01B5">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37</w:t>
            </w:r>
            <w:r w:rsidR="33CC0D6F" w:rsidRPr="00AB06F3">
              <w:rPr>
                <w:rFonts w:ascii="Verdana" w:hAnsi="Verdana" w:cs="Arial"/>
                <w:sz w:val="18"/>
                <w:szCs w:val="18"/>
              </w:rPr>
              <w:t xml:space="preserve"> mujeres</w:t>
            </w:r>
          </w:p>
          <w:p w14:paraId="6F1B580A" w14:textId="3497C872" w:rsidR="48836A97" w:rsidRPr="00AB06F3" w:rsidRDefault="33CC0D6F" w:rsidP="00DF01B5">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9</w:t>
            </w:r>
            <w:r w:rsidR="00BA685F">
              <w:rPr>
                <w:rFonts w:ascii="Verdana" w:hAnsi="Verdana" w:cs="Arial"/>
                <w:sz w:val="18"/>
                <w:szCs w:val="18"/>
              </w:rPr>
              <w:t xml:space="preserve">9 </w:t>
            </w:r>
            <w:r w:rsidR="48836A97" w:rsidRPr="00AB06F3">
              <w:rPr>
                <w:rFonts w:ascii="Verdana" w:hAnsi="Verdana" w:cs="Arial"/>
                <w:sz w:val="18"/>
                <w:szCs w:val="18"/>
              </w:rPr>
              <w:t>hombres</w:t>
            </w:r>
          </w:p>
          <w:p w14:paraId="4A9DF118" w14:textId="043367AD" w:rsidR="2D2A373F" w:rsidRPr="00AB06F3" w:rsidRDefault="2D2A373F" w:rsidP="00DF01B5">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p w14:paraId="70425CEE" w14:textId="5DDB7A95" w:rsidR="3401504D" w:rsidRPr="00AB06F3" w:rsidRDefault="3401504D" w:rsidP="00DF01B5">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 xml:space="preserve">De estas, </w:t>
            </w:r>
            <w:r w:rsidR="00BA685F">
              <w:rPr>
                <w:rFonts w:ascii="Verdana" w:hAnsi="Verdana" w:cs="Arial"/>
                <w:sz w:val="18"/>
                <w:szCs w:val="18"/>
              </w:rPr>
              <w:t>5</w:t>
            </w:r>
            <w:r w:rsidRPr="00AB06F3">
              <w:rPr>
                <w:rFonts w:ascii="Verdana" w:hAnsi="Verdana" w:cs="Arial"/>
                <w:sz w:val="18"/>
                <w:szCs w:val="18"/>
              </w:rPr>
              <w:t xml:space="preserve"> personas </w:t>
            </w:r>
            <w:r w:rsidR="00BC25A9">
              <w:rPr>
                <w:rFonts w:ascii="Verdana" w:hAnsi="Verdana" w:cs="Arial"/>
                <w:sz w:val="18"/>
                <w:szCs w:val="18"/>
              </w:rPr>
              <w:t xml:space="preserve">se autorreconocen como pertenecientes a </w:t>
            </w:r>
            <w:r w:rsidRPr="00AB06F3">
              <w:rPr>
                <w:rFonts w:ascii="Verdana" w:hAnsi="Verdana" w:cs="Arial"/>
                <w:sz w:val="18"/>
                <w:szCs w:val="18"/>
              </w:rPr>
              <w:t xml:space="preserve">comunidades negras, afrocolombianas, raizales y palenqueras </w:t>
            </w:r>
            <w:r w:rsidR="00BC25A9">
              <w:rPr>
                <w:rFonts w:ascii="Verdana" w:hAnsi="Verdana" w:cs="Arial"/>
                <w:sz w:val="18"/>
                <w:szCs w:val="18"/>
              </w:rPr>
              <w:t xml:space="preserve">y </w:t>
            </w:r>
            <w:r w:rsidRPr="00AB06F3">
              <w:rPr>
                <w:rFonts w:ascii="Verdana" w:hAnsi="Verdana" w:cs="Arial"/>
                <w:sz w:val="18"/>
                <w:szCs w:val="18"/>
              </w:rPr>
              <w:t>1</w:t>
            </w:r>
            <w:r w:rsidR="00BA685F">
              <w:rPr>
                <w:rFonts w:ascii="Verdana" w:hAnsi="Verdana" w:cs="Arial"/>
                <w:sz w:val="18"/>
                <w:szCs w:val="18"/>
              </w:rPr>
              <w:t>8</w:t>
            </w:r>
            <w:r w:rsidRPr="00AB06F3">
              <w:rPr>
                <w:rFonts w:ascii="Verdana" w:hAnsi="Verdana" w:cs="Arial"/>
                <w:sz w:val="18"/>
                <w:szCs w:val="18"/>
              </w:rPr>
              <w:t xml:space="preserve"> </w:t>
            </w:r>
            <w:r w:rsidR="283C31C7" w:rsidRPr="00AB06F3">
              <w:rPr>
                <w:rFonts w:ascii="Verdana" w:hAnsi="Verdana" w:cs="Arial"/>
                <w:sz w:val="18"/>
                <w:szCs w:val="18"/>
              </w:rPr>
              <w:t xml:space="preserve">personas </w:t>
            </w:r>
            <w:r w:rsidR="00BC25A9">
              <w:rPr>
                <w:rFonts w:ascii="Verdana" w:hAnsi="Verdana" w:cs="Arial"/>
                <w:sz w:val="18"/>
                <w:szCs w:val="18"/>
              </w:rPr>
              <w:t xml:space="preserve">a comunidades </w:t>
            </w:r>
            <w:r w:rsidRPr="00AB06F3">
              <w:rPr>
                <w:rFonts w:ascii="Verdana" w:hAnsi="Verdana" w:cs="Arial"/>
                <w:sz w:val="18"/>
                <w:szCs w:val="18"/>
              </w:rPr>
              <w:t>indígena</w:t>
            </w:r>
            <w:r w:rsidR="7EBCB7A1" w:rsidRPr="00AB06F3">
              <w:rPr>
                <w:rFonts w:ascii="Verdana" w:hAnsi="Verdana" w:cs="Arial"/>
                <w:sz w:val="18"/>
                <w:szCs w:val="18"/>
              </w:rPr>
              <w:t>s</w:t>
            </w:r>
            <w:r w:rsidRPr="00AB06F3">
              <w:rPr>
                <w:rFonts w:ascii="Verdana" w:hAnsi="Verdana" w:cs="Arial"/>
                <w:sz w:val="18"/>
                <w:szCs w:val="18"/>
              </w:rPr>
              <w:t>.</w:t>
            </w:r>
          </w:p>
          <w:p w14:paraId="3AA089D6" w14:textId="77777777" w:rsidR="48836A97" w:rsidRPr="00AB06F3" w:rsidRDefault="48836A97" w:rsidP="002C74D3">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p>
        </w:tc>
      </w:tr>
    </w:tbl>
    <w:p w14:paraId="2D6705E1"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A0429D6" w14:textId="77777777" w:rsidR="00DD5103" w:rsidRDefault="00DD5103" w:rsidP="00C25586">
      <w:pPr>
        <w:spacing w:after="0" w:line="276" w:lineRule="auto"/>
        <w:jc w:val="center"/>
        <w:rPr>
          <w:rFonts w:ascii="Verdana" w:hAnsi="Verdana" w:cs="Arial"/>
          <w:sz w:val="18"/>
          <w:szCs w:val="18"/>
        </w:rPr>
      </w:pPr>
    </w:p>
    <w:p w14:paraId="065743C7" w14:textId="4D52BC07" w:rsidR="00B709EF" w:rsidRDefault="2543EC88" w:rsidP="00C25586">
      <w:pPr>
        <w:spacing w:after="0" w:line="276" w:lineRule="auto"/>
        <w:jc w:val="center"/>
        <w:rPr>
          <w:rFonts w:ascii="Verdana" w:hAnsi="Verdana" w:cs="Arial"/>
          <w:sz w:val="18"/>
          <w:szCs w:val="18"/>
        </w:rPr>
      </w:pPr>
      <w:r w:rsidRPr="00AB06F3">
        <w:rPr>
          <w:rFonts w:ascii="Verdana" w:hAnsi="Verdana" w:cs="Arial"/>
          <w:sz w:val="18"/>
          <w:szCs w:val="18"/>
        </w:rPr>
        <w:t>Ver desagregación territorial que se reporta a SIIPO en el siguiente link</w:t>
      </w:r>
      <w:r w:rsidRPr="00AB06F3">
        <w:rPr>
          <w:rStyle w:val="Hipervnculo"/>
          <w:rFonts w:ascii="Verdana" w:hAnsi="Verdana" w:cs="Arial"/>
          <w:sz w:val="18"/>
          <w:szCs w:val="18"/>
        </w:rPr>
        <w:t xml:space="preserve"> </w:t>
      </w:r>
      <w:hyperlink r:id="rId18">
        <w:r w:rsidR="5CEBFB17" w:rsidRPr="00AB06F3">
          <w:rPr>
            <w:rStyle w:val="Hipervnculo"/>
            <w:rFonts w:ascii="Verdana" w:hAnsi="Verdana" w:cs="Arial"/>
            <w:sz w:val="18"/>
            <w:szCs w:val="18"/>
          </w:rPr>
          <w:t>https://siipo.dnp.gov.co/detalleindicador/UAPkM6wsegvNv653</w:t>
        </w:r>
        <w:r w:rsidR="4B0B06AC" w:rsidRPr="00AB06F3">
          <w:rPr>
            <w:rStyle w:val="Hipervnculo"/>
            <w:rFonts w:ascii="Verdana" w:hAnsi="Verdana" w:cs="Arial"/>
            <w:sz w:val="18"/>
            <w:szCs w:val="18"/>
          </w:rPr>
          <w:t>)</w:t>
        </w:r>
      </w:hyperlink>
      <w:r w:rsidR="5CEBFB17" w:rsidRPr="00AB06F3">
        <w:rPr>
          <w:rFonts w:ascii="Verdana" w:hAnsi="Verdana" w:cs="Arial"/>
          <w:sz w:val="18"/>
          <w:szCs w:val="18"/>
        </w:rPr>
        <w:t xml:space="preserve"> </w:t>
      </w:r>
    </w:p>
    <w:p w14:paraId="18298E52" w14:textId="77777777" w:rsidR="00BC25A9" w:rsidRPr="00AB06F3" w:rsidRDefault="00BC25A9" w:rsidP="00C25586">
      <w:pPr>
        <w:spacing w:after="0" w:line="276" w:lineRule="auto"/>
        <w:jc w:val="center"/>
        <w:rPr>
          <w:rFonts w:ascii="Verdana" w:hAnsi="Verdana" w:cs="Arial"/>
          <w:color w:val="000000" w:themeColor="text1"/>
          <w:sz w:val="24"/>
          <w:szCs w:val="24"/>
        </w:rPr>
      </w:pPr>
    </w:p>
    <w:p w14:paraId="23135950" w14:textId="7C166BEA" w:rsidR="00B709EF" w:rsidRPr="00AB06F3" w:rsidRDefault="1C049527" w:rsidP="00031DF5">
      <w:pPr>
        <w:pStyle w:val="Ttulo5"/>
        <w:numPr>
          <w:ilvl w:val="0"/>
          <w:numId w:val="4"/>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¿Qué desafíos y retos tuvimos para el cumplimiento del indicador PMI?</w:t>
      </w:r>
    </w:p>
    <w:p w14:paraId="407491C8" w14:textId="77777777" w:rsidR="00BC25A9" w:rsidRDefault="00BC25A9" w:rsidP="00BC25A9">
      <w:pPr>
        <w:spacing w:after="0" w:line="276" w:lineRule="auto"/>
        <w:jc w:val="both"/>
        <w:rPr>
          <w:rFonts w:ascii="Verdana" w:eastAsia="Verdana" w:hAnsi="Verdana" w:cs="Arial"/>
          <w:sz w:val="24"/>
          <w:szCs w:val="24"/>
        </w:rPr>
      </w:pPr>
    </w:p>
    <w:p w14:paraId="0D53811D" w14:textId="77777777" w:rsidR="00AE66C7" w:rsidRDefault="00822F95" w:rsidP="00BC25A9">
      <w:pPr>
        <w:spacing w:after="0" w:line="276" w:lineRule="auto"/>
        <w:jc w:val="both"/>
        <w:rPr>
          <w:rFonts w:ascii="Verdana" w:eastAsia="Verdana" w:hAnsi="Verdana" w:cs="Arial"/>
          <w:sz w:val="24"/>
          <w:szCs w:val="24"/>
        </w:rPr>
      </w:pPr>
      <w:r>
        <w:rPr>
          <w:rFonts w:ascii="Verdana" w:eastAsia="Verdana" w:hAnsi="Verdana" w:cs="Arial"/>
          <w:sz w:val="24"/>
          <w:szCs w:val="24"/>
        </w:rPr>
        <w:t xml:space="preserve">Al </w:t>
      </w:r>
      <w:r w:rsidR="00595653" w:rsidRPr="00595653">
        <w:rPr>
          <w:rFonts w:ascii="Verdana" w:eastAsia="Verdana" w:hAnsi="Verdana" w:cs="Arial"/>
          <w:sz w:val="24"/>
          <w:szCs w:val="24"/>
        </w:rPr>
        <w:t xml:space="preserve">mes de diciembre de 2025 se identificaron 118 exintegrantes FARC-EP que no accedieron al beneficio de renta básica </w:t>
      </w:r>
      <w:r w:rsidR="00AE66C7">
        <w:rPr>
          <w:rFonts w:ascii="Verdana" w:eastAsia="Verdana" w:hAnsi="Verdana" w:cs="Arial"/>
          <w:sz w:val="24"/>
          <w:szCs w:val="24"/>
        </w:rPr>
        <w:t>debido al in</w:t>
      </w:r>
      <w:r w:rsidR="00595653" w:rsidRPr="00595653">
        <w:rPr>
          <w:rFonts w:ascii="Verdana" w:eastAsia="Verdana" w:hAnsi="Verdana" w:cs="Arial"/>
          <w:sz w:val="24"/>
          <w:szCs w:val="24"/>
        </w:rPr>
        <w:t>cumplimiento de los requisitos</w:t>
      </w:r>
      <w:r w:rsidR="00AE66C7">
        <w:rPr>
          <w:rFonts w:ascii="Verdana" w:eastAsia="Verdana" w:hAnsi="Verdana" w:cs="Arial"/>
          <w:sz w:val="24"/>
          <w:szCs w:val="24"/>
        </w:rPr>
        <w:t xml:space="preserve"> establecidos para su reconocimiento. Esta situacion se explica por diferentes condiciones particulares de la población acreditada, entre las que se encuentran</w:t>
      </w:r>
      <w:r w:rsidR="00595653" w:rsidRPr="00595653">
        <w:rPr>
          <w:rFonts w:ascii="Verdana" w:eastAsia="Verdana" w:hAnsi="Verdana" w:cs="Arial"/>
          <w:sz w:val="24"/>
          <w:szCs w:val="24"/>
        </w:rPr>
        <w:t xml:space="preserve">: 52 personas pendientes por bancarización, </w:t>
      </w:r>
      <w:r w:rsidR="00595653" w:rsidRPr="00595653">
        <w:rPr>
          <w:rFonts w:ascii="Verdana" w:eastAsia="Verdana" w:hAnsi="Verdana" w:cs="Arial"/>
          <w:sz w:val="24"/>
          <w:szCs w:val="24"/>
        </w:rPr>
        <w:lastRenderedPageBreak/>
        <w:t xml:space="preserve">16 personas con vinculo contractual - Régimen Contributivo, 2 persona en investigación por privación de la libertad, 9 personas que desde la firma del acuerdo de paz han fallecido, 27 personas con limitante temporal, 11 personas con limitante definitiva y 1 persona por desaparición forzada. </w:t>
      </w:r>
    </w:p>
    <w:p w14:paraId="554C78D2" w14:textId="77777777" w:rsidR="00AE66C7" w:rsidRDefault="00AE66C7" w:rsidP="00BC25A9">
      <w:pPr>
        <w:spacing w:after="0" w:line="276" w:lineRule="auto"/>
        <w:jc w:val="both"/>
        <w:rPr>
          <w:rFonts w:ascii="Verdana" w:eastAsia="Verdana" w:hAnsi="Verdana" w:cs="Arial"/>
          <w:sz w:val="24"/>
          <w:szCs w:val="24"/>
        </w:rPr>
      </w:pPr>
    </w:p>
    <w:p w14:paraId="41B2D12F" w14:textId="0AF32D90" w:rsidR="00F31A9F" w:rsidRPr="00F31A9F" w:rsidRDefault="00AE66C7" w:rsidP="00F31A9F">
      <w:pPr>
        <w:spacing w:after="0" w:line="276" w:lineRule="auto"/>
        <w:jc w:val="both"/>
        <w:rPr>
          <w:rFonts w:ascii="Verdana" w:eastAsia="Verdana" w:hAnsi="Verdana" w:cs="Arial"/>
          <w:sz w:val="24"/>
          <w:szCs w:val="24"/>
        </w:rPr>
      </w:pPr>
      <w:r>
        <w:rPr>
          <w:rFonts w:ascii="Verdana" w:eastAsia="Verdana" w:hAnsi="Verdana" w:cs="Arial"/>
          <w:sz w:val="24"/>
          <w:szCs w:val="24"/>
        </w:rPr>
        <w:t xml:space="preserve">Adicionalmente, durante la vigencia 2025 continuó el proceso de  identificación de exintegrantes </w:t>
      </w:r>
      <w:r w:rsidR="00595653" w:rsidRPr="00595653">
        <w:rPr>
          <w:rFonts w:ascii="Verdana" w:eastAsia="Verdana" w:hAnsi="Verdana" w:cs="Arial"/>
          <w:sz w:val="24"/>
          <w:szCs w:val="24"/>
        </w:rPr>
        <w:t xml:space="preserve">acreditados que, en el marco </w:t>
      </w:r>
      <w:r w:rsidR="00F31A9F" w:rsidRPr="00F31A9F">
        <w:rPr>
          <w:rFonts w:ascii="Verdana" w:eastAsia="Verdana" w:hAnsi="Verdana" w:cs="Arial"/>
        </w:rPr>
        <w:t>de la implementación del Acuerdo Final para la Terminación del Conflicto y la Construcción de una Paz Estable y Duradera, cumplieron el periodo de veinticuatro (24) meses establecido para el acceso a la renta básica, de conformidad con lo dispuesto en el artículo 8 del Decreto Ley 899 de 2017, modificado por el artículo 284 de la Ley 1955 de 2019, y que, en consecuencia, pasan a ser susceptibles del respectivo desembolso del beneficio.</w:t>
      </w:r>
      <w:r w:rsidR="00F31A9F">
        <w:rPr>
          <w:rFonts w:ascii="Verdana" w:eastAsia="Verdana" w:hAnsi="Verdana" w:cs="Arial"/>
        </w:rPr>
        <w:t xml:space="preserve"> </w:t>
      </w:r>
    </w:p>
    <w:p w14:paraId="682A365F" w14:textId="040FDD62" w:rsidR="00B709EF" w:rsidRPr="00595653" w:rsidRDefault="00B709EF" w:rsidP="00F31A9F">
      <w:pPr>
        <w:spacing w:after="0" w:line="276" w:lineRule="auto"/>
        <w:jc w:val="both"/>
        <w:rPr>
          <w:rStyle w:val="Referenciasutil"/>
          <w:rFonts w:ascii="Verdana" w:eastAsia="Verdana" w:hAnsi="Verdana" w:cs="Arial"/>
          <w:sz w:val="24"/>
          <w:szCs w:val="24"/>
        </w:rPr>
      </w:pPr>
    </w:p>
    <w:p w14:paraId="22E01796" w14:textId="49785589" w:rsidR="00595653" w:rsidRPr="00595653" w:rsidRDefault="00595653" w:rsidP="00595653">
      <w:pPr>
        <w:pStyle w:val="Descripcin"/>
        <w:keepNext/>
        <w:jc w:val="center"/>
        <w:rPr>
          <w:rStyle w:val="Referenciasutil"/>
          <w:rFonts w:ascii="Verdana" w:hAnsi="Verdana" w:cs="Arial"/>
          <w:i w:val="0"/>
          <w:iCs w:val="0"/>
        </w:rPr>
      </w:pPr>
      <w:bookmarkStart w:id="42" w:name="_Toc225283149"/>
      <w:r w:rsidRPr="00595653">
        <w:rPr>
          <w:rStyle w:val="Referenciasutil"/>
          <w:rFonts w:ascii="Verdana" w:hAnsi="Verdana" w:cs="Arial"/>
          <w:i w:val="0"/>
          <w:iCs w:val="0"/>
        </w:rPr>
        <w:t xml:space="preserve">Tabla </w:t>
      </w:r>
      <w:r w:rsidRPr="00595653">
        <w:rPr>
          <w:rStyle w:val="Referenciasutil"/>
          <w:rFonts w:ascii="Verdana" w:hAnsi="Verdana" w:cs="Arial"/>
          <w:i w:val="0"/>
          <w:iCs w:val="0"/>
        </w:rPr>
        <w:fldChar w:fldCharType="begin"/>
      </w:r>
      <w:r w:rsidRPr="00595653">
        <w:rPr>
          <w:rStyle w:val="Referenciasutil"/>
          <w:rFonts w:ascii="Verdana" w:hAnsi="Verdana" w:cs="Arial"/>
          <w:i w:val="0"/>
          <w:iCs w:val="0"/>
        </w:rPr>
        <w:instrText xml:space="preserve"> SEQ Tabla \* ARABIC </w:instrText>
      </w:r>
      <w:r w:rsidRPr="00595653">
        <w:rPr>
          <w:rStyle w:val="Referenciasutil"/>
          <w:rFonts w:ascii="Verdana" w:hAnsi="Verdana" w:cs="Arial"/>
          <w:i w:val="0"/>
          <w:iCs w:val="0"/>
        </w:rPr>
        <w:fldChar w:fldCharType="separate"/>
      </w:r>
      <w:r w:rsidR="0078027F">
        <w:rPr>
          <w:rStyle w:val="Referenciasutil"/>
          <w:rFonts w:ascii="Verdana" w:hAnsi="Verdana" w:cs="Arial"/>
          <w:i w:val="0"/>
          <w:iCs w:val="0"/>
          <w:noProof/>
        </w:rPr>
        <w:t>37</w:t>
      </w:r>
      <w:r w:rsidRPr="00595653">
        <w:rPr>
          <w:rStyle w:val="Referenciasutil"/>
          <w:rFonts w:ascii="Verdana" w:hAnsi="Verdana" w:cs="Arial"/>
          <w:i w:val="0"/>
          <w:iCs w:val="0"/>
        </w:rPr>
        <w:fldChar w:fldCharType="end"/>
      </w:r>
      <w:r w:rsidRPr="00595653">
        <w:rPr>
          <w:rStyle w:val="Referenciasutil"/>
          <w:rFonts w:ascii="Verdana" w:hAnsi="Verdana" w:cs="Arial"/>
          <w:i w:val="0"/>
          <w:iCs w:val="0"/>
        </w:rPr>
        <w:t>. Desafíos y retos del indicador C.240</w:t>
      </w:r>
      <w:bookmarkEnd w:id="42"/>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696"/>
        <w:gridCol w:w="4359"/>
        <w:gridCol w:w="2773"/>
      </w:tblGrid>
      <w:tr w:rsidR="2D2A373F" w:rsidRPr="00AB06F3" w14:paraId="305A52B8" w14:textId="77777777" w:rsidTr="000F51F7">
        <w:trPr>
          <w:trHeight w:val="300"/>
          <w:tblHeader/>
        </w:trPr>
        <w:tc>
          <w:tcPr>
            <w:tcW w:w="1696" w:type="dxa"/>
          </w:tcPr>
          <w:p w14:paraId="338D9D01" w14:textId="590D5A0E" w:rsidR="2D2A373F" w:rsidRPr="00BC25A9" w:rsidRDefault="2D2A373F" w:rsidP="00BC25A9">
            <w:pPr>
              <w:spacing w:line="276" w:lineRule="auto"/>
              <w:jc w:val="center"/>
              <w:rPr>
                <w:rFonts w:ascii="Verdana" w:hAnsi="Verdana" w:cs="Arial"/>
                <w:b/>
                <w:bCs/>
                <w:color w:val="000000" w:themeColor="text1"/>
                <w:sz w:val="18"/>
                <w:szCs w:val="18"/>
              </w:rPr>
            </w:pPr>
            <w:r w:rsidRPr="00BC25A9">
              <w:rPr>
                <w:rFonts w:ascii="Verdana" w:hAnsi="Verdana" w:cs="Arial"/>
                <w:b/>
                <w:bCs/>
                <w:color w:val="000000" w:themeColor="text1"/>
                <w:sz w:val="18"/>
                <w:szCs w:val="18"/>
              </w:rPr>
              <w:t>Tipo de Reto</w:t>
            </w:r>
          </w:p>
        </w:tc>
        <w:tc>
          <w:tcPr>
            <w:tcW w:w="4359" w:type="dxa"/>
          </w:tcPr>
          <w:p w14:paraId="38646104" w14:textId="77777777" w:rsidR="2D2A373F" w:rsidRPr="00BC25A9" w:rsidRDefault="2D2A373F" w:rsidP="00BC25A9">
            <w:pPr>
              <w:spacing w:line="276" w:lineRule="auto"/>
              <w:jc w:val="center"/>
              <w:rPr>
                <w:rFonts w:ascii="Verdana" w:hAnsi="Verdana" w:cs="Arial"/>
                <w:b/>
                <w:bCs/>
                <w:color w:val="000000" w:themeColor="text1"/>
                <w:sz w:val="18"/>
                <w:szCs w:val="18"/>
              </w:rPr>
            </w:pPr>
            <w:r w:rsidRPr="00BC25A9">
              <w:rPr>
                <w:rFonts w:ascii="Verdana" w:hAnsi="Verdana" w:cs="Arial"/>
                <w:b/>
                <w:bCs/>
                <w:color w:val="000000" w:themeColor="text1"/>
                <w:sz w:val="18"/>
                <w:szCs w:val="18"/>
              </w:rPr>
              <w:t>Descripción del Reto</w:t>
            </w:r>
          </w:p>
        </w:tc>
        <w:tc>
          <w:tcPr>
            <w:tcW w:w="2773" w:type="dxa"/>
          </w:tcPr>
          <w:p w14:paraId="416F993E" w14:textId="77777777" w:rsidR="2D2A373F" w:rsidRPr="00BC25A9" w:rsidRDefault="2D2A373F" w:rsidP="00BC25A9">
            <w:pPr>
              <w:spacing w:line="276" w:lineRule="auto"/>
              <w:jc w:val="center"/>
              <w:rPr>
                <w:rFonts w:ascii="Verdana" w:hAnsi="Verdana" w:cs="Arial"/>
                <w:b/>
                <w:bCs/>
                <w:color w:val="000000" w:themeColor="text1"/>
                <w:sz w:val="18"/>
                <w:szCs w:val="18"/>
              </w:rPr>
            </w:pPr>
            <w:r w:rsidRPr="00BC25A9">
              <w:rPr>
                <w:rFonts w:ascii="Verdana" w:hAnsi="Verdana" w:cs="Arial"/>
                <w:b/>
                <w:bCs/>
                <w:color w:val="000000" w:themeColor="text1"/>
                <w:sz w:val="18"/>
                <w:szCs w:val="18"/>
              </w:rPr>
              <w:t>Medidas para mitigar el Reto</w:t>
            </w:r>
          </w:p>
        </w:tc>
      </w:tr>
      <w:tr w:rsidR="00305178" w:rsidRPr="00AB06F3" w14:paraId="3B279587" w14:textId="77777777" w:rsidTr="001B36CA">
        <w:trPr>
          <w:trHeight w:val="300"/>
        </w:trPr>
        <w:tc>
          <w:tcPr>
            <w:tcW w:w="1696" w:type="dxa"/>
          </w:tcPr>
          <w:p w14:paraId="17949992" w14:textId="51E70939" w:rsidR="00305178" w:rsidRPr="00305178" w:rsidRDefault="00305178" w:rsidP="00187721">
            <w:pPr>
              <w:spacing w:line="276" w:lineRule="auto"/>
              <w:jc w:val="both"/>
              <w:rPr>
                <w:rFonts w:ascii="Verdana" w:eastAsia="Verdana" w:hAnsi="Verdana" w:cs="Arial"/>
                <w:color w:val="000000" w:themeColor="text1"/>
                <w:sz w:val="18"/>
                <w:szCs w:val="18"/>
              </w:rPr>
            </w:pPr>
            <w:r w:rsidRPr="00305178">
              <w:rPr>
                <w:rStyle w:val="normaltextrun"/>
                <w:rFonts w:ascii="Verdana" w:hAnsi="Verdana" w:cs="Segoe UI"/>
                <w:color w:val="000000" w:themeColor="text1"/>
                <w:sz w:val="18"/>
                <w:szCs w:val="18"/>
              </w:rPr>
              <w:t>Decisiones de alto gobierno – Gobernanza</w:t>
            </w:r>
          </w:p>
        </w:tc>
        <w:tc>
          <w:tcPr>
            <w:tcW w:w="4359" w:type="dxa"/>
          </w:tcPr>
          <w:p w14:paraId="16BE822E" w14:textId="798BFF0C" w:rsidR="00F31A9F" w:rsidRPr="00F31A9F" w:rsidRDefault="00F31A9F" w:rsidP="00187721">
            <w:pPr>
              <w:pStyle w:val="paragraph"/>
              <w:spacing w:before="0" w:beforeAutospacing="0" w:after="0" w:afterAutospacing="0"/>
              <w:jc w:val="both"/>
              <w:textAlignment w:val="baseline"/>
              <w:divId w:val="2042169063"/>
              <w:rPr>
                <w:rStyle w:val="normaltextrun"/>
                <w:rFonts w:ascii="Verdana" w:hAnsi="Verdana" w:cs="Segoe UI"/>
                <w:color w:val="000000" w:themeColor="text1"/>
                <w:sz w:val="18"/>
                <w:szCs w:val="18"/>
              </w:rPr>
            </w:pPr>
            <w:r>
              <w:rPr>
                <w:rStyle w:val="normaltextrun"/>
                <w:rFonts w:ascii="Verdana" w:hAnsi="Verdana" w:cs="Segoe UI"/>
                <w:color w:val="000000" w:themeColor="text1"/>
                <w:sz w:val="18"/>
                <w:szCs w:val="18"/>
              </w:rPr>
              <w:t>S</w:t>
            </w:r>
            <w:r>
              <w:rPr>
                <w:rStyle w:val="normaltextrun"/>
                <w:rFonts w:cs="Segoe UI"/>
                <w:color w:val="000000" w:themeColor="text1"/>
                <w:sz w:val="18"/>
                <w:szCs w:val="18"/>
              </w:rPr>
              <w:t xml:space="preserve">e </w:t>
            </w:r>
            <w:r w:rsidRPr="00F31A9F">
              <w:rPr>
                <w:rStyle w:val="normaltextrun"/>
                <w:rFonts w:ascii="Verdana" w:hAnsi="Verdana" w:cs="Segoe UI"/>
                <w:color w:val="000000" w:themeColor="text1"/>
                <w:sz w:val="18"/>
                <w:szCs w:val="18"/>
              </w:rPr>
              <w:t>continuó el proceso de  identificación de exintegrantes acreditados que, en el marco de la implementación del Acuerdo Final para la Terminación del Conflicto y la Construcción de una Paz Estable y Duradera, cumplieron el periodo de veinticuatro (24) meses establecido para el acceso a la renta básica, de conformidad con lo dispuesto en el artículo 8 del Decreto Ley 899 de 2017, modificado por el artículo 284 de la Ley 1955 de 2019, y que, en consecuencia, pasan a ser susceptibles del respectivo desembolso del beneficio.</w:t>
            </w:r>
          </w:p>
          <w:p w14:paraId="609EDD90" w14:textId="0AB682A4" w:rsidR="00305178" w:rsidRPr="00F31A9F" w:rsidRDefault="00305178" w:rsidP="00187721">
            <w:pPr>
              <w:pStyle w:val="paragraph"/>
              <w:spacing w:before="0" w:beforeAutospacing="0" w:after="0" w:afterAutospacing="0"/>
              <w:jc w:val="both"/>
              <w:textAlignment w:val="baseline"/>
              <w:divId w:val="2042169063"/>
              <w:rPr>
                <w:rStyle w:val="normaltextrun"/>
                <w:rFonts w:ascii="Verdana" w:hAnsi="Verdana" w:cs="Segoe UI"/>
                <w:color w:val="000000" w:themeColor="text1"/>
                <w:sz w:val="18"/>
                <w:szCs w:val="18"/>
              </w:rPr>
            </w:pPr>
            <w:r w:rsidRPr="00F31A9F">
              <w:rPr>
                <w:rStyle w:val="normaltextrun"/>
              </w:rPr>
              <w:t> </w:t>
            </w:r>
          </w:p>
          <w:p w14:paraId="6BCD4B07" w14:textId="5338F2D7" w:rsidR="00305178" w:rsidRPr="00305178" w:rsidRDefault="00A73468" w:rsidP="00187721">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S</w:t>
            </w:r>
            <w:r w:rsidRPr="00A73468">
              <w:rPr>
                <w:rFonts w:ascii="Verdana" w:eastAsia="Verdana" w:hAnsi="Verdana" w:cs="Arial"/>
                <w:color w:val="000000" w:themeColor="text1"/>
                <w:sz w:val="18"/>
                <w:szCs w:val="18"/>
              </w:rPr>
              <w:t>e presentaron retrasos en el desembolso del beneficio de renta básica mensual, pese a que la Agencia para la Reincorporación y la Normalización (ARN) remitió oportunamente al Fondo Colombia en Paz (FCP) las autorizaciones para el trámite de pago en los meses de enero, febrero, mayo, septiembre y octubre. Esta situación se generó debido a que los desembolsos están sujetos a la disponibilidad del flujo de caja del Programa Anual Mensualizado de Caja (PAC) asignado por el Ministerio de Hacienda y Crédito Público, en el marco de la coyuntura presupuestal que enfrentó el país durante la vigencia, lo cual incidió en la oportunidad de los pagos a la población beneficiaria.</w:t>
            </w:r>
          </w:p>
        </w:tc>
        <w:tc>
          <w:tcPr>
            <w:tcW w:w="2773" w:type="dxa"/>
          </w:tcPr>
          <w:p w14:paraId="71F6990E" w14:textId="03822B0C" w:rsidR="00305178" w:rsidRPr="00305178" w:rsidRDefault="00ED25CC" w:rsidP="00187721">
            <w:pPr>
              <w:spacing w:line="276" w:lineRule="auto"/>
              <w:jc w:val="both"/>
              <w:rPr>
                <w:rFonts w:ascii="Verdana" w:hAnsi="Verdana" w:cs="Arial"/>
                <w:color w:val="000000" w:themeColor="text1"/>
                <w:sz w:val="18"/>
                <w:szCs w:val="18"/>
              </w:rPr>
            </w:pPr>
            <w:r>
              <w:rPr>
                <w:rFonts w:ascii="Verdana" w:hAnsi="Verdana" w:cs="Segoe UI"/>
                <w:color w:val="000000" w:themeColor="text1"/>
                <w:sz w:val="18"/>
                <w:szCs w:val="18"/>
              </w:rPr>
              <w:t>L</w:t>
            </w:r>
            <w:r w:rsidRPr="00ED25CC">
              <w:rPr>
                <w:rFonts w:ascii="Verdana" w:hAnsi="Verdana" w:cs="Segoe UI"/>
                <w:color w:val="000000" w:themeColor="text1"/>
                <w:sz w:val="18"/>
                <w:szCs w:val="18"/>
              </w:rPr>
              <w:t>a Agencia para la Reincorporación y la Normalización adelanta gestiones de coordinación interinstitucional con el Departamento Administrativo de la Presidencia de la República y el Ministerio de Hacienda y Crédito Público, orientadas a viabilizar el traslado oportuno de recursos al Patrimonio Autónomo Fondo Colombia en Paz. Estas acciones buscan garantizar la disponibilidad de recursos y fortalecer la programación financiera requerida para que el operador fiduciario pueda efectuar de manera oportuna los pagos del beneficio de renta básica a la población beneficiaria.</w:t>
            </w:r>
          </w:p>
        </w:tc>
      </w:tr>
    </w:tbl>
    <w:p w14:paraId="6EF10BA4"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BAE6EC9" w14:textId="033B6089" w:rsidR="00B709EF" w:rsidRDefault="5994DCB2" w:rsidP="00031DF5">
      <w:pPr>
        <w:pStyle w:val="Prrafodelista"/>
        <w:numPr>
          <w:ilvl w:val="2"/>
          <w:numId w:val="13"/>
        </w:numPr>
        <w:spacing w:before="240" w:after="0" w:line="276" w:lineRule="auto"/>
        <w:jc w:val="both"/>
        <w:rPr>
          <w:rFonts w:ascii="Verdana" w:eastAsia="Verdana" w:hAnsi="Verdana" w:cs="Arial"/>
          <w:b/>
          <w:bCs/>
          <w:color w:val="000000" w:themeColor="text1"/>
          <w:sz w:val="24"/>
          <w:szCs w:val="24"/>
        </w:rPr>
      </w:pPr>
      <w:r w:rsidRPr="0053191F">
        <w:rPr>
          <w:rFonts w:ascii="Verdana" w:eastAsia="Verdana" w:hAnsi="Verdana" w:cs="Arial"/>
          <w:b/>
          <w:bCs/>
          <w:color w:val="000000" w:themeColor="text1"/>
          <w:sz w:val="24"/>
          <w:szCs w:val="24"/>
        </w:rPr>
        <w:t xml:space="preserve">Producto: Pagos por concepto de seguridad social para miembros de las FARC-EP que no se encuentren vinculados a actividades remuneradas (durante 24 meses después de la acreditación) </w:t>
      </w:r>
    </w:p>
    <w:p w14:paraId="235D94D8" w14:textId="77777777" w:rsidR="001B36CA" w:rsidRPr="0053191F" w:rsidRDefault="001B36CA" w:rsidP="001B36CA">
      <w:pPr>
        <w:pStyle w:val="Prrafodelista"/>
        <w:spacing w:before="240" w:after="0" w:line="276" w:lineRule="auto"/>
        <w:ind w:left="1080"/>
        <w:jc w:val="both"/>
        <w:rPr>
          <w:rFonts w:ascii="Verdana" w:eastAsia="Verdana" w:hAnsi="Verdana" w:cs="Arial"/>
          <w:b/>
          <w:bCs/>
          <w:color w:val="000000" w:themeColor="text1"/>
          <w:sz w:val="24"/>
          <w:szCs w:val="24"/>
        </w:rPr>
      </w:pPr>
    </w:p>
    <w:p w14:paraId="427D0AF7" w14:textId="77777777" w:rsidR="005E0C25" w:rsidRDefault="55669558" w:rsidP="00187721">
      <w:p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b/>
          <w:bCs/>
          <w:color w:val="000000" w:themeColor="text1"/>
          <w:sz w:val="24"/>
          <w:szCs w:val="24"/>
        </w:rPr>
        <w:t xml:space="preserve">C.241 </w:t>
      </w:r>
      <w:r w:rsidRPr="00AB06F3">
        <w:rPr>
          <w:rFonts w:ascii="Verdana" w:eastAsia="Verdana" w:hAnsi="Verdana" w:cs="Arial"/>
          <w:color w:val="000000" w:themeColor="text1"/>
          <w:sz w:val="24"/>
          <w:szCs w:val="24"/>
        </w:rPr>
        <w:t>Porcentaje de miembros de las FARC-EP acreditados que no tengan vínculo contractual, que reciben pago por concepto de seguridad social</w:t>
      </w:r>
    </w:p>
    <w:p w14:paraId="2F3D72D8" w14:textId="55734724" w:rsidR="008D2884" w:rsidRPr="005E0C25" w:rsidRDefault="0274C2C2" w:rsidP="005E0C25">
      <w:p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18"/>
          <w:szCs w:val="18"/>
        </w:rPr>
        <w:t xml:space="preserve"> </w:t>
      </w:r>
    </w:p>
    <w:p w14:paraId="099A2648" w14:textId="54D8E1F9" w:rsidR="005E0C25" w:rsidRPr="005E0C25" w:rsidRDefault="005E0C25" w:rsidP="005E0C25">
      <w:pPr>
        <w:pStyle w:val="Descripcin"/>
        <w:keepNext/>
        <w:jc w:val="center"/>
        <w:rPr>
          <w:rFonts w:ascii="Verdana" w:eastAsia="Verdana" w:hAnsi="Verdana" w:cs="Arial"/>
          <w:i w:val="0"/>
          <w:iCs w:val="0"/>
          <w:color w:val="000000" w:themeColor="text1"/>
        </w:rPr>
      </w:pPr>
      <w:bookmarkStart w:id="43" w:name="_Toc225283150"/>
      <w:r w:rsidRPr="005E0C25">
        <w:rPr>
          <w:rFonts w:ascii="Verdana" w:eastAsia="Verdana" w:hAnsi="Verdana" w:cs="Arial"/>
          <w:i w:val="0"/>
          <w:iCs w:val="0"/>
          <w:color w:val="000000" w:themeColor="text1"/>
        </w:rPr>
        <w:t xml:space="preserve">Tabla </w:t>
      </w:r>
      <w:r w:rsidRPr="005E0C25">
        <w:rPr>
          <w:rFonts w:ascii="Verdana" w:eastAsia="Verdana" w:hAnsi="Verdana" w:cs="Arial"/>
          <w:i w:val="0"/>
          <w:iCs w:val="0"/>
          <w:color w:val="000000" w:themeColor="text1"/>
        </w:rPr>
        <w:fldChar w:fldCharType="begin"/>
      </w:r>
      <w:r w:rsidRPr="005E0C25">
        <w:rPr>
          <w:rFonts w:ascii="Verdana" w:eastAsia="Verdana" w:hAnsi="Verdana" w:cs="Arial"/>
          <w:i w:val="0"/>
          <w:iCs w:val="0"/>
          <w:color w:val="000000" w:themeColor="text1"/>
        </w:rPr>
        <w:instrText xml:space="preserve"> SEQ Tabla \* ARABIC </w:instrText>
      </w:r>
      <w:r w:rsidRPr="005E0C25">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38</w:t>
      </w:r>
      <w:r w:rsidRPr="005E0C25">
        <w:rPr>
          <w:rFonts w:ascii="Verdana" w:eastAsia="Verdana" w:hAnsi="Verdana" w:cs="Arial"/>
          <w:i w:val="0"/>
          <w:iCs w:val="0"/>
          <w:color w:val="000000" w:themeColor="text1"/>
        </w:rPr>
        <w:fldChar w:fldCharType="end"/>
      </w:r>
      <w:r w:rsidRPr="005E0C25">
        <w:rPr>
          <w:rFonts w:ascii="Verdana" w:eastAsia="Verdana" w:hAnsi="Verdana" w:cs="Arial"/>
          <w:i w:val="0"/>
          <w:iCs w:val="0"/>
          <w:color w:val="000000" w:themeColor="text1"/>
        </w:rPr>
        <w:t>. Detalle de avance en el indicador C.241</w:t>
      </w:r>
      <w:bookmarkEnd w:id="43"/>
    </w:p>
    <w:tbl>
      <w:tblPr>
        <w:tblStyle w:val="Tablaconcuadrcula1clara-nfasis4"/>
        <w:tblW w:w="8834"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18"/>
        <w:gridCol w:w="1344"/>
        <w:gridCol w:w="1224"/>
        <w:gridCol w:w="1224"/>
        <w:gridCol w:w="1224"/>
      </w:tblGrid>
      <w:tr w:rsidR="008D2884" w:rsidRPr="00AB06F3" w14:paraId="50C953DC" w14:textId="77777777" w:rsidTr="001415E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636B95B8" w14:textId="77777777" w:rsidR="008D2884" w:rsidRPr="00AB06F3" w:rsidRDefault="008D2884"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1344" w:type="dxa"/>
            <w:tcMar>
              <w:left w:w="108" w:type="dxa"/>
              <w:right w:w="108" w:type="dxa"/>
            </w:tcMar>
            <w:vAlign w:val="center"/>
          </w:tcPr>
          <w:p w14:paraId="315B9819" w14:textId="77777777" w:rsidR="008D2884" w:rsidRPr="00AB06F3" w:rsidRDefault="008D2884"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24" w:type="dxa"/>
            <w:tcMar>
              <w:left w:w="108" w:type="dxa"/>
              <w:right w:w="108" w:type="dxa"/>
            </w:tcMar>
            <w:vAlign w:val="center"/>
          </w:tcPr>
          <w:p w14:paraId="21E6D246" w14:textId="77777777" w:rsidR="008D2884" w:rsidRPr="00AB06F3" w:rsidRDefault="008D2884"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24" w:type="dxa"/>
            <w:tcMar>
              <w:left w:w="108" w:type="dxa"/>
              <w:right w:w="108" w:type="dxa"/>
            </w:tcMar>
            <w:vAlign w:val="center"/>
          </w:tcPr>
          <w:p w14:paraId="2F1D7D14" w14:textId="77777777" w:rsidR="008D2884" w:rsidRPr="00AB06F3" w:rsidRDefault="008D2884"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24" w:type="dxa"/>
            <w:tcMar>
              <w:left w:w="108" w:type="dxa"/>
              <w:right w:w="108" w:type="dxa"/>
            </w:tcMar>
          </w:tcPr>
          <w:p w14:paraId="19544435" w14:textId="5479FF76" w:rsidR="008D2884" w:rsidRPr="00AB06F3" w:rsidRDefault="008D2884"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6910E7">
              <w:rPr>
                <w:rFonts w:ascii="Verdana" w:eastAsia="Verdana" w:hAnsi="Verdana" w:cs="Arial"/>
                <w:color w:val="000000" w:themeColor="text1"/>
                <w:sz w:val="18"/>
                <w:szCs w:val="18"/>
              </w:rPr>
              <w:t>5</w:t>
            </w:r>
          </w:p>
        </w:tc>
      </w:tr>
      <w:tr w:rsidR="008D2884" w:rsidRPr="00AB06F3" w14:paraId="6DF6012B" w14:textId="77777777" w:rsidTr="001415E1">
        <w:trPr>
          <w:trHeight w:val="30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56A2F803" w14:textId="7DA75BD6" w:rsidR="008D2884" w:rsidRPr="00AB06F3" w:rsidRDefault="003344BA" w:rsidP="005274ED">
            <w:pPr>
              <w:spacing w:line="276" w:lineRule="auto"/>
              <w:jc w:val="both"/>
              <w:rPr>
                <w:rFonts w:ascii="Verdana" w:hAnsi="Verdana" w:cs="Arial"/>
                <w:b w:val="0"/>
                <w:bCs w:val="0"/>
              </w:rPr>
            </w:pPr>
            <w:r w:rsidRPr="00AB06F3">
              <w:rPr>
                <w:rFonts w:ascii="Verdana" w:hAnsi="Verdana" w:cs="Arial"/>
                <w:b w:val="0"/>
                <w:bCs w:val="0"/>
                <w:sz w:val="18"/>
                <w:szCs w:val="18"/>
              </w:rPr>
              <w:t>C.241 Porcentaje de miembros de las FARC-EP acreditados que no tengan vínculo contractual, que reciben pago por concepto de seguridad social</w:t>
            </w:r>
            <w:r w:rsidR="008D2884" w:rsidRPr="00AB06F3">
              <w:rPr>
                <w:rFonts w:ascii="Verdana" w:hAnsi="Verdana" w:cs="Arial"/>
                <w:b w:val="0"/>
                <w:bCs w:val="0"/>
                <w:sz w:val="18"/>
                <w:szCs w:val="18"/>
              </w:rPr>
              <w:t xml:space="preserve">  </w:t>
            </w:r>
          </w:p>
        </w:tc>
        <w:tc>
          <w:tcPr>
            <w:tcW w:w="1344" w:type="dxa"/>
            <w:tcMar>
              <w:left w:w="108" w:type="dxa"/>
              <w:right w:w="108" w:type="dxa"/>
            </w:tcMar>
            <w:vAlign w:val="center"/>
          </w:tcPr>
          <w:p w14:paraId="451163CE" w14:textId="77777777"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24" w:type="dxa"/>
            <w:shd w:val="clear" w:color="auto" w:fill="FFFFFF" w:themeFill="background1"/>
            <w:tcMar>
              <w:left w:w="108" w:type="dxa"/>
              <w:right w:w="108" w:type="dxa"/>
            </w:tcMar>
            <w:vAlign w:val="center"/>
          </w:tcPr>
          <w:p w14:paraId="472EB213" w14:textId="77777777"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24" w:type="dxa"/>
            <w:shd w:val="clear" w:color="auto" w:fill="FFFFFF" w:themeFill="background1"/>
            <w:tcMar>
              <w:left w:w="108" w:type="dxa"/>
              <w:right w:w="108" w:type="dxa"/>
            </w:tcMar>
            <w:vAlign w:val="center"/>
          </w:tcPr>
          <w:p w14:paraId="65724D61" w14:textId="51AA0855"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sidR="003344BA" w:rsidRPr="00AB06F3">
              <w:rPr>
                <w:rFonts w:ascii="Verdana" w:eastAsia="Verdana" w:hAnsi="Verdana" w:cs="Arial"/>
                <w:sz w:val="18"/>
                <w:szCs w:val="18"/>
              </w:rPr>
              <w:t>2</w:t>
            </w:r>
            <w:r w:rsidR="00AB09EE">
              <w:rPr>
                <w:rFonts w:ascii="Verdana" w:eastAsia="Verdana" w:hAnsi="Verdana" w:cs="Arial"/>
                <w:sz w:val="18"/>
                <w:szCs w:val="18"/>
              </w:rPr>
              <w:t>6</w:t>
            </w:r>
          </w:p>
        </w:tc>
        <w:tc>
          <w:tcPr>
            <w:tcW w:w="1224" w:type="dxa"/>
            <w:tcMar>
              <w:left w:w="108" w:type="dxa"/>
              <w:right w:w="108" w:type="dxa"/>
            </w:tcMar>
          </w:tcPr>
          <w:p w14:paraId="0476D879" w14:textId="5D1335DE"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 </w:t>
            </w:r>
          </w:p>
          <w:p w14:paraId="5E5B41BE" w14:textId="77777777" w:rsidR="008D2884" w:rsidRPr="00AB06F3" w:rsidRDefault="008D2884"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100% </w:t>
            </w:r>
          </w:p>
        </w:tc>
      </w:tr>
    </w:tbl>
    <w:p w14:paraId="493F9EC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AFDFE2E" w14:textId="77777777" w:rsidR="002C384A" w:rsidRPr="00157B16" w:rsidRDefault="002C384A" w:rsidP="00C25586">
      <w:pPr>
        <w:pStyle w:val="Prrafodelista"/>
        <w:spacing w:after="0" w:line="276" w:lineRule="auto"/>
        <w:rPr>
          <w:rFonts w:ascii="Verdana" w:hAnsi="Verdana" w:cs="Arial"/>
        </w:rPr>
      </w:pPr>
    </w:p>
    <w:p w14:paraId="6FF0EE66" w14:textId="43F3C04B" w:rsidR="00B709EF" w:rsidRPr="001B2BA2" w:rsidRDefault="0FADA68C" w:rsidP="00031DF5">
      <w:pPr>
        <w:pStyle w:val="Ttulo5"/>
        <w:numPr>
          <w:ilvl w:val="0"/>
          <w:numId w:val="9"/>
        </w:numPr>
        <w:spacing w:after="0" w:line="276" w:lineRule="auto"/>
        <w:jc w:val="both"/>
        <w:rPr>
          <w:rFonts w:ascii="Verdana" w:hAnsi="Verdana" w:cs="Arial"/>
          <w:color w:val="000000" w:themeColor="text1"/>
          <w:sz w:val="24"/>
          <w:szCs w:val="24"/>
        </w:rPr>
      </w:pPr>
      <w:r w:rsidRPr="001B2BA2">
        <w:rPr>
          <w:rFonts w:ascii="Verdana" w:hAnsi="Verdana" w:cs="Arial"/>
          <w:color w:val="000000" w:themeColor="text1"/>
          <w:sz w:val="24"/>
          <w:szCs w:val="24"/>
        </w:rPr>
        <w:t xml:space="preserve">¿Cómo lo hicimos y con qué recursos?  </w:t>
      </w:r>
    </w:p>
    <w:p w14:paraId="511C2A68" w14:textId="58834784" w:rsidR="00B709EF" w:rsidRPr="001B2BA2" w:rsidRDefault="00B709EF" w:rsidP="00C25586">
      <w:pPr>
        <w:spacing w:after="0" w:line="276" w:lineRule="auto"/>
        <w:jc w:val="both"/>
        <w:rPr>
          <w:rFonts w:ascii="Verdana" w:hAnsi="Verdana" w:cs="Arial"/>
          <w:color w:val="000000" w:themeColor="text1"/>
          <w:sz w:val="24"/>
          <w:szCs w:val="24"/>
        </w:rPr>
      </w:pPr>
    </w:p>
    <w:p w14:paraId="6B0F03A6"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De acuerdo con el artículo 9 del Decreto Ley 899 de 2017, este beneficio se otorga a las personas acreditadas por la Consejería Comisionada de Paz —anteriormente Oficina del Alto Comisionado para la Paz (OACP)— como exintegrantes de las FARC-EP que cumplen con los requisitos establecidos para su acceso.</w:t>
      </w:r>
    </w:p>
    <w:p w14:paraId="4E77E31D" w14:textId="77777777" w:rsidR="00E9412C" w:rsidRPr="006912A9" w:rsidRDefault="00E9412C" w:rsidP="00E9412C">
      <w:pPr>
        <w:spacing w:after="0" w:line="276" w:lineRule="auto"/>
        <w:ind w:right="616"/>
        <w:rPr>
          <w:rFonts w:ascii="Verdana" w:eastAsia="Verdana" w:hAnsi="Verdana" w:cs="Arial"/>
          <w:sz w:val="24"/>
          <w:szCs w:val="24"/>
        </w:rPr>
      </w:pPr>
    </w:p>
    <w:p w14:paraId="3A0BECA5"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En este marco, el Gobierno nacional garantiza, durante un período de veinticuatro (24) meses, el pago de las contribuciones al Sistema de Seguridad Social en Salud y al Sistema de Protección a la Vejez para los beneficiarios que no se encuentren vinculados a actividades generadoras de ingresos, conforme a lo establecido en el artículo 2 del Decreto Ley 899 de 2017.</w:t>
      </w:r>
    </w:p>
    <w:p w14:paraId="79B25737" w14:textId="77777777" w:rsidR="00E9412C" w:rsidRPr="006912A9" w:rsidRDefault="00E9412C" w:rsidP="00E9412C">
      <w:pPr>
        <w:spacing w:after="0" w:line="276" w:lineRule="auto"/>
        <w:ind w:right="616"/>
        <w:rPr>
          <w:rFonts w:ascii="Verdana" w:eastAsia="Verdana" w:hAnsi="Verdana" w:cs="Arial"/>
          <w:sz w:val="24"/>
          <w:szCs w:val="24"/>
        </w:rPr>
      </w:pPr>
    </w:p>
    <w:p w14:paraId="76823ACC" w14:textId="77777777" w:rsidR="006912A9" w:rsidRP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En materia de seguridad social en salud, se realiza el giro de las Unidades de Pago por Capitación (UPC) necesarias para garantizar la afiliación de los beneficiarios y de su núcleo familiar al régimen subsidiado.</w:t>
      </w:r>
    </w:p>
    <w:p w14:paraId="7D16A189"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lastRenderedPageBreak/>
        <w:t>Respecto a la protección a la vejez, el Gobierno nacional habilita en la Planilla Integrada de Liquidación de Aportes (PILA), o en el mecanismo que se disponga, la cotización al sistema pensional en el régimen que el beneficiario elija. No obstante, los beneficiarios pueden optar voluntariamente por vincularse al servicio complementario de Beneficios Económicos Periódicos (BEPS), en cuyo caso los recursos destinados a la cotización se asignan como ahorro individual en cuentas BEPS administradas por Colpensiones, conforme a la normativa vigente.</w:t>
      </w:r>
    </w:p>
    <w:p w14:paraId="39912E33" w14:textId="77777777" w:rsidR="00E9412C" w:rsidRPr="006912A9" w:rsidRDefault="00E9412C" w:rsidP="00187721">
      <w:pPr>
        <w:spacing w:after="0" w:line="276" w:lineRule="auto"/>
        <w:ind w:right="616"/>
        <w:jc w:val="both"/>
        <w:rPr>
          <w:rFonts w:ascii="Verdana" w:eastAsia="Verdana" w:hAnsi="Verdana" w:cs="Arial"/>
          <w:sz w:val="24"/>
          <w:szCs w:val="24"/>
        </w:rPr>
      </w:pPr>
    </w:p>
    <w:p w14:paraId="684007AB"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Para la materialización de estos pagos, los recursos son gestionados a través del Patrimonio Autónomo Fondo Colombia en Paz, que realiza la dispersión mediante el operador Mi Planilla hacia los fondos correspondientes. Estos desembolsos se efectúan sin restricciones geográficas, garantizando cobertura a nivel nacional.</w:t>
      </w:r>
    </w:p>
    <w:p w14:paraId="70114B28" w14:textId="77777777" w:rsidR="00187721" w:rsidRPr="006912A9" w:rsidRDefault="00187721" w:rsidP="00187721">
      <w:pPr>
        <w:spacing w:after="0" w:line="276" w:lineRule="auto"/>
        <w:ind w:right="616"/>
        <w:jc w:val="both"/>
        <w:rPr>
          <w:rFonts w:ascii="Verdana" w:eastAsia="Verdana" w:hAnsi="Verdana" w:cs="Arial"/>
          <w:sz w:val="24"/>
          <w:szCs w:val="24"/>
        </w:rPr>
      </w:pPr>
    </w:p>
    <w:p w14:paraId="7B73118B" w14:textId="77777777" w:rsidR="006912A9"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Al cierre de 2025, el 100% de los exintegrantes de las FARC-EP que cumplieron los requisitos accedieron al pago de aportes a pensión o al mecanismo de Beneficios Económicos Periódicos (BEPS). Durante la vigencia se realizaron 2.620 pagos por un valor total de $593.489.800, beneficiando a 381 exintegrantes (89 mujeres y 292 hombres). De este total, 23 personas se autorreconocieron como pertenecientes a comunidades negras, afrocolombianas, raizales o palenqueras, mientras que 71 se identificaron como parte de la población indígena.</w:t>
      </w:r>
    </w:p>
    <w:p w14:paraId="31226116" w14:textId="77777777" w:rsidR="00E9412C" w:rsidRPr="006912A9" w:rsidRDefault="00E9412C" w:rsidP="00E9412C">
      <w:pPr>
        <w:spacing w:after="0" w:line="276" w:lineRule="auto"/>
        <w:ind w:right="616"/>
        <w:rPr>
          <w:rFonts w:ascii="Verdana" w:eastAsia="Verdana" w:hAnsi="Verdana" w:cs="Arial"/>
          <w:sz w:val="24"/>
          <w:szCs w:val="24"/>
        </w:rPr>
      </w:pPr>
    </w:p>
    <w:p w14:paraId="4149A2F3" w14:textId="7AD42015" w:rsidR="1CF3DFB8" w:rsidRDefault="006912A9" w:rsidP="00187721">
      <w:pPr>
        <w:spacing w:after="0" w:line="276" w:lineRule="auto"/>
        <w:ind w:right="616"/>
        <w:jc w:val="both"/>
        <w:rPr>
          <w:rFonts w:ascii="Verdana" w:eastAsia="Verdana" w:hAnsi="Verdana" w:cs="Arial"/>
          <w:sz w:val="24"/>
          <w:szCs w:val="24"/>
        </w:rPr>
      </w:pPr>
      <w:r w:rsidRPr="006912A9">
        <w:rPr>
          <w:rFonts w:ascii="Verdana" w:eastAsia="Verdana" w:hAnsi="Verdana" w:cs="Arial"/>
          <w:sz w:val="24"/>
          <w:szCs w:val="24"/>
        </w:rPr>
        <w:t>De manera acumulada, desde el inicio de los desembolsos por concepto de seguridad social en agosto de 2017 y hasta el 31 de diciembre de 2025, se han efectuado 272.039 pagos asociados a aportes pensionales y BEPS, por un valor total de $36.494.333.400, beneficiando a 13.176 personas acreditadas, de las cuales 3.176 son mujeres y 10.000 hombres.</w:t>
      </w:r>
    </w:p>
    <w:p w14:paraId="4E0766BE" w14:textId="7755270F" w:rsidR="00B709EF" w:rsidRPr="008B7EF8" w:rsidRDefault="00B709EF" w:rsidP="008B7EF8">
      <w:pPr>
        <w:pStyle w:val="Descripcin"/>
        <w:spacing w:after="0" w:line="276" w:lineRule="auto"/>
        <w:rPr>
          <w:rFonts w:ascii="Verdana" w:hAnsi="Verdana" w:cs="Arial"/>
          <w:i w:val="0"/>
          <w:iCs w:val="0"/>
          <w:color w:val="000000" w:themeColor="text1"/>
        </w:rPr>
      </w:pPr>
    </w:p>
    <w:p w14:paraId="57E2E573" w14:textId="2D390228" w:rsidR="008B7EF8" w:rsidRPr="008B7EF8" w:rsidRDefault="008B7EF8" w:rsidP="008B7EF8">
      <w:pPr>
        <w:pStyle w:val="Descripcin"/>
        <w:keepNext/>
        <w:jc w:val="center"/>
        <w:rPr>
          <w:rFonts w:ascii="Verdana" w:hAnsi="Verdana" w:cs="Arial"/>
          <w:i w:val="0"/>
          <w:iCs w:val="0"/>
          <w:color w:val="000000" w:themeColor="text1"/>
        </w:rPr>
      </w:pPr>
      <w:bookmarkStart w:id="44" w:name="_Toc225283151"/>
      <w:r w:rsidRPr="008B7EF8">
        <w:rPr>
          <w:rFonts w:ascii="Verdana" w:hAnsi="Verdana" w:cs="Arial"/>
          <w:i w:val="0"/>
          <w:iCs w:val="0"/>
          <w:color w:val="000000" w:themeColor="text1"/>
        </w:rPr>
        <w:t xml:space="preserve">Tabla </w:t>
      </w:r>
      <w:r w:rsidRPr="008B7EF8">
        <w:rPr>
          <w:rFonts w:ascii="Verdana" w:hAnsi="Verdana" w:cs="Arial"/>
          <w:i w:val="0"/>
          <w:iCs w:val="0"/>
          <w:color w:val="000000" w:themeColor="text1"/>
        </w:rPr>
        <w:fldChar w:fldCharType="begin"/>
      </w:r>
      <w:r w:rsidRPr="008B7EF8">
        <w:rPr>
          <w:rFonts w:ascii="Verdana" w:hAnsi="Verdana" w:cs="Arial"/>
          <w:i w:val="0"/>
          <w:iCs w:val="0"/>
          <w:color w:val="000000" w:themeColor="text1"/>
        </w:rPr>
        <w:instrText xml:space="preserve"> SEQ Tabla \* ARABIC </w:instrText>
      </w:r>
      <w:r w:rsidRPr="008B7EF8">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39</w:t>
      </w:r>
      <w:r w:rsidRPr="008B7EF8">
        <w:rPr>
          <w:rFonts w:ascii="Verdana" w:hAnsi="Verdana" w:cs="Arial"/>
          <w:i w:val="0"/>
          <w:iCs w:val="0"/>
          <w:color w:val="000000" w:themeColor="text1"/>
        </w:rPr>
        <w:fldChar w:fldCharType="end"/>
      </w:r>
      <w:r w:rsidRPr="008B7EF8">
        <w:rPr>
          <w:rFonts w:ascii="Verdana" w:hAnsi="Verdana" w:cs="Arial"/>
          <w:i w:val="0"/>
          <w:iCs w:val="0"/>
          <w:color w:val="000000" w:themeColor="text1"/>
        </w:rPr>
        <w:t>. Detalle de las principales acciones del indicador C.241</w:t>
      </w:r>
      <w:bookmarkEnd w:id="44"/>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2663"/>
        <w:gridCol w:w="2663"/>
        <w:gridCol w:w="2663"/>
      </w:tblGrid>
      <w:tr w:rsidR="48836A97" w:rsidRPr="00AB06F3" w14:paraId="636280AE" w14:textId="77777777" w:rsidTr="009C241B">
        <w:trPr>
          <w:trHeight w:val="300"/>
        </w:trPr>
        <w:tc>
          <w:tcPr>
            <w:tcW w:w="2663" w:type="dxa"/>
          </w:tcPr>
          <w:p w14:paraId="0ECBBDC5" w14:textId="77777777" w:rsidR="48836A97" w:rsidRPr="00BF46FD" w:rsidRDefault="48836A97" w:rsidP="00BF46FD">
            <w:pPr>
              <w:spacing w:line="276" w:lineRule="auto"/>
              <w:jc w:val="center"/>
              <w:rPr>
                <w:rFonts w:ascii="Verdana" w:hAnsi="Verdana" w:cs="Arial"/>
                <w:b/>
                <w:bCs/>
                <w:color w:val="000000" w:themeColor="text1"/>
                <w:sz w:val="18"/>
                <w:szCs w:val="18"/>
              </w:rPr>
            </w:pPr>
            <w:r w:rsidRPr="00BF46FD">
              <w:rPr>
                <w:rFonts w:ascii="Verdana" w:hAnsi="Verdana" w:cs="Arial"/>
                <w:b/>
                <w:bCs/>
                <w:color w:val="000000" w:themeColor="text1"/>
                <w:sz w:val="18"/>
                <w:szCs w:val="18"/>
              </w:rPr>
              <w:t>Indicador del PMI</w:t>
            </w:r>
          </w:p>
        </w:tc>
        <w:tc>
          <w:tcPr>
            <w:tcW w:w="2663" w:type="dxa"/>
          </w:tcPr>
          <w:p w14:paraId="20B4A159" w14:textId="77777777" w:rsidR="48836A97" w:rsidRPr="00BF46FD" w:rsidRDefault="48836A97" w:rsidP="00BF46FD">
            <w:pPr>
              <w:spacing w:line="276" w:lineRule="auto"/>
              <w:jc w:val="center"/>
              <w:rPr>
                <w:rFonts w:ascii="Verdana" w:hAnsi="Verdana" w:cs="Arial"/>
                <w:b/>
                <w:bCs/>
                <w:color w:val="000000" w:themeColor="text1"/>
                <w:sz w:val="18"/>
                <w:szCs w:val="18"/>
              </w:rPr>
            </w:pPr>
            <w:r w:rsidRPr="00BF46FD">
              <w:rPr>
                <w:rFonts w:ascii="Verdana" w:hAnsi="Verdana" w:cs="Arial"/>
                <w:b/>
                <w:bCs/>
                <w:color w:val="000000" w:themeColor="text1"/>
                <w:sz w:val="18"/>
                <w:szCs w:val="18"/>
              </w:rPr>
              <w:t>Principales Logros</w:t>
            </w:r>
          </w:p>
        </w:tc>
        <w:tc>
          <w:tcPr>
            <w:tcW w:w="2663" w:type="dxa"/>
          </w:tcPr>
          <w:p w14:paraId="3D0B8C75" w14:textId="69F737AA" w:rsidR="48836A97" w:rsidRPr="00BF46FD" w:rsidRDefault="48836A97" w:rsidP="00BF46FD">
            <w:pPr>
              <w:spacing w:line="276" w:lineRule="auto"/>
              <w:jc w:val="center"/>
              <w:rPr>
                <w:rFonts w:ascii="Verdana" w:hAnsi="Verdana" w:cs="Arial"/>
                <w:b/>
                <w:bCs/>
                <w:color w:val="000000" w:themeColor="text1"/>
                <w:sz w:val="18"/>
                <w:szCs w:val="18"/>
              </w:rPr>
            </w:pPr>
            <w:r w:rsidRPr="00BF46FD">
              <w:rPr>
                <w:rFonts w:ascii="Verdana" w:hAnsi="Verdana" w:cs="Arial"/>
                <w:b/>
                <w:bCs/>
                <w:color w:val="000000" w:themeColor="text1"/>
                <w:sz w:val="18"/>
                <w:szCs w:val="18"/>
              </w:rPr>
              <w:t>Recursos 202</w:t>
            </w:r>
            <w:r w:rsidR="006910E7">
              <w:rPr>
                <w:rFonts w:ascii="Verdana" w:hAnsi="Verdana" w:cs="Arial"/>
                <w:b/>
                <w:bCs/>
                <w:color w:val="000000" w:themeColor="text1"/>
                <w:sz w:val="18"/>
                <w:szCs w:val="18"/>
              </w:rPr>
              <w:t>5</w:t>
            </w:r>
          </w:p>
        </w:tc>
      </w:tr>
      <w:tr w:rsidR="48836A97" w:rsidRPr="00AB06F3" w14:paraId="1D77BD63" w14:textId="77777777" w:rsidTr="009C241B">
        <w:trPr>
          <w:trHeight w:val="300"/>
        </w:trPr>
        <w:tc>
          <w:tcPr>
            <w:tcW w:w="2663" w:type="dxa"/>
          </w:tcPr>
          <w:p w14:paraId="69A63CD7" w14:textId="1B5B1859" w:rsidR="48836A97" w:rsidRPr="00AB06F3" w:rsidRDefault="3D1D7444" w:rsidP="005274ED">
            <w:pPr>
              <w:spacing w:line="276" w:lineRule="auto"/>
              <w:jc w:val="both"/>
              <w:rPr>
                <w:rFonts w:ascii="Verdana" w:hAnsi="Verdana" w:cs="Arial"/>
                <w:sz w:val="18"/>
                <w:szCs w:val="18"/>
              </w:rPr>
            </w:pPr>
            <w:r w:rsidRPr="00AB06F3">
              <w:rPr>
                <w:rFonts w:ascii="Verdana" w:hAnsi="Verdana" w:cs="Arial"/>
                <w:sz w:val="18"/>
                <w:szCs w:val="18"/>
              </w:rPr>
              <w:t xml:space="preserve">C.241 Porcentaje de miembros de las FARC-EP acreditados que no tengan vínculo contractual, que </w:t>
            </w:r>
            <w:r w:rsidRPr="00AB06F3">
              <w:rPr>
                <w:rFonts w:ascii="Verdana" w:hAnsi="Verdana" w:cs="Arial"/>
                <w:sz w:val="18"/>
                <w:szCs w:val="18"/>
              </w:rPr>
              <w:lastRenderedPageBreak/>
              <w:t>reciben pago por concepto de seguridad social</w:t>
            </w:r>
          </w:p>
          <w:p w14:paraId="500C2F74" w14:textId="59900C67" w:rsidR="48836A97" w:rsidRPr="00AB06F3" w:rsidRDefault="48836A97" w:rsidP="005274ED">
            <w:pPr>
              <w:spacing w:line="276" w:lineRule="auto"/>
              <w:jc w:val="both"/>
              <w:rPr>
                <w:rFonts w:ascii="Verdana" w:hAnsi="Verdana" w:cs="Arial"/>
                <w:color w:val="000000" w:themeColor="text1"/>
                <w:sz w:val="18"/>
                <w:szCs w:val="18"/>
              </w:rPr>
            </w:pPr>
          </w:p>
        </w:tc>
        <w:tc>
          <w:tcPr>
            <w:tcW w:w="2663" w:type="dxa"/>
          </w:tcPr>
          <w:p w14:paraId="20182213" w14:textId="721978CA" w:rsidR="48836A97" w:rsidRPr="00AB06F3" w:rsidRDefault="48836A97" w:rsidP="005274ED">
            <w:pPr>
              <w:spacing w:line="276" w:lineRule="auto"/>
              <w:jc w:val="both"/>
              <w:rPr>
                <w:rFonts w:ascii="Verdana" w:hAnsi="Verdana" w:cs="Arial"/>
                <w:sz w:val="18"/>
                <w:szCs w:val="18"/>
              </w:rPr>
            </w:pPr>
          </w:p>
          <w:p w14:paraId="3BE593D9" w14:textId="3256DECE" w:rsidR="48836A97" w:rsidRPr="00AB06F3" w:rsidRDefault="48836A97" w:rsidP="005274ED">
            <w:pPr>
              <w:spacing w:line="276" w:lineRule="auto"/>
              <w:jc w:val="both"/>
              <w:rPr>
                <w:rFonts w:ascii="Verdana" w:hAnsi="Verdana" w:cs="Arial"/>
                <w:sz w:val="18"/>
                <w:szCs w:val="18"/>
              </w:rPr>
            </w:pPr>
          </w:p>
          <w:p w14:paraId="0DD6AD00" w14:textId="10CD42B8" w:rsidR="48836A97" w:rsidRPr="00AB06F3" w:rsidRDefault="00440CDE" w:rsidP="005274ED">
            <w:pPr>
              <w:spacing w:line="276" w:lineRule="auto"/>
              <w:jc w:val="both"/>
              <w:rPr>
                <w:rFonts w:ascii="Verdana" w:hAnsi="Verdana" w:cs="Arial"/>
                <w:sz w:val="18"/>
                <w:szCs w:val="18"/>
              </w:rPr>
            </w:pPr>
            <w:r>
              <w:rPr>
                <w:rFonts w:ascii="Verdana" w:hAnsi="Verdana" w:cs="Arial"/>
                <w:sz w:val="18"/>
                <w:szCs w:val="18"/>
              </w:rPr>
              <w:t>2.620</w:t>
            </w:r>
            <w:r w:rsidR="4A3BB981" w:rsidRPr="00AB06F3">
              <w:rPr>
                <w:rFonts w:ascii="Verdana" w:hAnsi="Verdana" w:cs="Arial"/>
                <w:sz w:val="18"/>
                <w:szCs w:val="18"/>
              </w:rPr>
              <w:t xml:space="preserve"> pagos </w:t>
            </w:r>
            <w:r w:rsidR="007E263E" w:rsidRPr="00AB06F3">
              <w:rPr>
                <w:rFonts w:ascii="Verdana" w:hAnsi="Verdana" w:cs="Arial"/>
                <w:sz w:val="18"/>
                <w:szCs w:val="18"/>
              </w:rPr>
              <w:t>por concepto de pensiones y BEPS</w:t>
            </w:r>
          </w:p>
          <w:p w14:paraId="09DCC94C" w14:textId="1E7297CB" w:rsidR="48836A97" w:rsidRPr="00AB06F3" w:rsidRDefault="48836A97" w:rsidP="005274ED">
            <w:pPr>
              <w:spacing w:line="276" w:lineRule="auto"/>
              <w:jc w:val="both"/>
              <w:rPr>
                <w:rFonts w:ascii="Verdana" w:hAnsi="Verdana" w:cs="Arial"/>
                <w:color w:val="000000" w:themeColor="text1"/>
                <w:sz w:val="18"/>
                <w:szCs w:val="18"/>
              </w:rPr>
            </w:pPr>
          </w:p>
        </w:tc>
        <w:tc>
          <w:tcPr>
            <w:tcW w:w="2663" w:type="dxa"/>
          </w:tcPr>
          <w:p w14:paraId="59BC2EDA" w14:textId="4A526606" w:rsidR="48836A97" w:rsidRPr="00AB06F3" w:rsidRDefault="51656A70" w:rsidP="005274ED">
            <w:pPr>
              <w:spacing w:line="276" w:lineRule="auto"/>
              <w:jc w:val="both"/>
              <w:rPr>
                <w:rFonts w:ascii="Verdana" w:hAnsi="Verdana" w:cs="Arial"/>
                <w:sz w:val="18"/>
                <w:szCs w:val="18"/>
              </w:rPr>
            </w:pPr>
            <w:r w:rsidRPr="00AB06F3">
              <w:rPr>
                <w:rFonts w:ascii="Verdana" w:hAnsi="Verdana" w:cs="Arial"/>
                <w:sz w:val="18"/>
                <w:szCs w:val="18"/>
              </w:rPr>
              <w:t>$</w:t>
            </w:r>
            <w:r w:rsidR="007C380C" w:rsidRPr="007C380C">
              <w:rPr>
                <w:rFonts w:ascii="Verdana" w:hAnsi="Verdana" w:cs="Arial"/>
                <w:sz w:val="18"/>
                <w:szCs w:val="18"/>
              </w:rPr>
              <w:t>593.489.800</w:t>
            </w:r>
            <w:r w:rsidR="007C380C">
              <w:rPr>
                <w:rFonts w:ascii="Verdana" w:hAnsi="Verdana" w:cs="Arial"/>
                <w:sz w:val="18"/>
                <w:szCs w:val="18"/>
              </w:rPr>
              <w:t xml:space="preserve"> </w:t>
            </w:r>
            <w:r w:rsidR="166B202F" w:rsidRPr="00AB06F3">
              <w:rPr>
                <w:rFonts w:ascii="Verdana" w:hAnsi="Verdana" w:cs="Arial"/>
                <w:sz w:val="18"/>
                <w:szCs w:val="18"/>
              </w:rPr>
              <w:t>Fuente de recursos de Transferencias y son Recursos de la Nación</w:t>
            </w:r>
          </w:p>
          <w:p w14:paraId="6693BF1C" w14:textId="238A1DB8" w:rsidR="48836A97" w:rsidRPr="00AB06F3" w:rsidRDefault="48836A97" w:rsidP="005274ED">
            <w:pPr>
              <w:spacing w:line="276" w:lineRule="auto"/>
              <w:jc w:val="both"/>
              <w:rPr>
                <w:rFonts w:ascii="Verdana" w:hAnsi="Verdana" w:cs="Arial"/>
                <w:sz w:val="18"/>
                <w:szCs w:val="18"/>
              </w:rPr>
            </w:pPr>
          </w:p>
          <w:p w14:paraId="3D4F2E9B" w14:textId="13E6E894" w:rsidR="48836A97" w:rsidRPr="00AB06F3" w:rsidRDefault="166B202F" w:rsidP="005274ED">
            <w:pPr>
              <w:spacing w:line="276" w:lineRule="auto"/>
              <w:jc w:val="both"/>
              <w:rPr>
                <w:rFonts w:ascii="Verdana" w:hAnsi="Verdana" w:cs="Arial"/>
                <w:sz w:val="18"/>
                <w:szCs w:val="18"/>
              </w:rPr>
            </w:pPr>
            <w:r w:rsidRPr="00AB06F3">
              <w:rPr>
                <w:rFonts w:ascii="Verdana" w:hAnsi="Verdana" w:cs="Arial"/>
                <w:sz w:val="18"/>
                <w:szCs w:val="18"/>
              </w:rPr>
              <w:lastRenderedPageBreak/>
              <w:t xml:space="preserve">Nota: </w:t>
            </w:r>
            <w:r w:rsidR="2C0625CA" w:rsidRPr="00AB06F3">
              <w:rPr>
                <w:rFonts w:ascii="Verdana" w:hAnsi="Verdana" w:cs="Arial"/>
                <w:sz w:val="18"/>
                <w:szCs w:val="18"/>
              </w:rPr>
              <w:t>El Fondo Colombia en Paz realiza el desembolso del beneficio al participante final</w:t>
            </w:r>
          </w:p>
        </w:tc>
      </w:tr>
    </w:tbl>
    <w:p w14:paraId="2E591F8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88AECC7" w14:textId="77777777" w:rsidR="00B709EF" w:rsidRPr="00AB06F3" w:rsidRDefault="00B709EF" w:rsidP="00C25586">
      <w:pPr>
        <w:spacing w:after="0" w:line="276" w:lineRule="auto"/>
        <w:ind w:left="360"/>
        <w:jc w:val="both"/>
        <w:rPr>
          <w:rFonts w:ascii="Verdana" w:hAnsi="Verdana" w:cs="Arial"/>
          <w:color w:val="000000" w:themeColor="text1"/>
          <w:sz w:val="24"/>
          <w:szCs w:val="24"/>
        </w:rPr>
      </w:pPr>
    </w:p>
    <w:p w14:paraId="4AED6716" w14:textId="608354F5" w:rsidR="5D03F8E7" w:rsidRPr="00AB06F3" w:rsidRDefault="00FB23F4" w:rsidP="00031DF5">
      <w:pPr>
        <w:pStyle w:val="Ttulo5"/>
        <w:numPr>
          <w:ilvl w:val="0"/>
          <w:numId w:val="9"/>
        </w:numPr>
        <w:spacing w:after="0" w:line="276" w:lineRule="auto"/>
        <w:jc w:val="both"/>
        <w:rPr>
          <w:rFonts w:ascii="Verdana" w:eastAsia="Verdana" w:hAnsi="Verdana" w:cs="Arial"/>
          <w:sz w:val="24"/>
          <w:szCs w:val="24"/>
        </w:rPr>
      </w:pPr>
      <w:r w:rsidRPr="00AB06F3">
        <w:rPr>
          <w:rFonts w:ascii="Verdana" w:hAnsi="Verdana" w:cs="Arial"/>
          <w:color w:val="000000" w:themeColor="text1"/>
          <w:sz w:val="24"/>
          <w:szCs w:val="24"/>
        </w:rPr>
        <w:t>Regionalización de las acciones y beneficiarios:</w:t>
      </w:r>
    </w:p>
    <w:p w14:paraId="0F195251" w14:textId="77777777" w:rsidR="00FB23F4" w:rsidRDefault="00FB23F4" w:rsidP="00C25586">
      <w:pPr>
        <w:spacing w:after="0" w:line="276" w:lineRule="auto"/>
        <w:rPr>
          <w:rFonts w:ascii="Verdana" w:eastAsia="Verdana" w:hAnsi="Verdana" w:cs="Arial"/>
          <w:sz w:val="24"/>
          <w:szCs w:val="24"/>
        </w:rPr>
      </w:pPr>
    </w:p>
    <w:p w14:paraId="3D15EC9D" w14:textId="19C80B1C" w:rsidR="00B709EF" w:rsidRDefault="00147ABC" w:rsidP="00187721">
      <w:pPr>
        <w:spacing w:after="0" w:line="276" w:lineRule="auto"/>
        <w:jc w:val="both"/>
        <w:rPr>
          <w:rFonts w:ascii="Verdana" w:eastAsia="Verdana" w:hAnsi="Verdana" w:cs="Arial"/>
          <w:sz w:val="24"/>
          <w:szCs w:val="24"/>
        </w:rPr>
      </w:pPr>
      <w:r w:rsidRPr="00147ABC">
        <w:rPr>
          <w:rFonts w:ascii="Verdana" w:eastAsia="Verdana" w:hAnsi="Verdana" w:cs="Arial"/>
          <w:sz w:val="24"/>
          <w:szCs w:val="24"/>
        </w:rPr>
        <w:t>Los desembolsos correspondientes a los beneficios económicos de Seguridad Social, establecidos en el Decreto Ley 899 de 2017, se realizan a través del operador Mi Planilla, mediante el cual se efectúan los pagos a los fondos en los que se encuentran afiliados los beneficiarios. La implementación de estos desembolsos se realiza a nivel nacional, garantizando la cobertura para las personas en proceso de reincorporación en todo el territorio.</w:t>
      </w:r>
    </w:p>
    <w:p w14:paraId="6FE18736" w14:textId="77777777" w:rsidR="00147ABC" w:rsidRPr="00AB06F3" w:rsidRDefault="00147ABC" w:rsidP="007C380C">
      <w:pPr>
        <w:spacing w:after="0" w:line="276" w:lineRule="auto"/>
        <w:rPr>
          <w:rFonts w:ascii="Verdana" w:hAnsi="Verdana" w:cs="Arial"/>
          <w:sz w:val="18"/>
          <w:szCs w:val="18"/>
        </w:rPr>
      </w:pPr>
    </w:p>
    <w:p w14:paraId="0F171DDA" w14:textId="5796BAB4" w:rsidR="007C380C" w:rsidRPr="007C380C" w:rsidRDefault="007C380C" w:rsidP="007C380C">
      <w:pPr>
        <w:pStyle w:val="Descripcin"/>
        <w:keepNext/>
        <w:jc w:val="center"/>
        <w:rPr>
          <w:rFonts w:ascii="Verdana" w:hAnsi="Verdana" w:cs="Arial"/>
          <w:i w:val="0"/>
          <w:iCs w:val="0"/>
          <w:color w:val="auto"/>
        </w:rPr>
      </w:pPr>
      <w:bookmarkStart w:id="45" w:name="_Toc225283152"/>
      <w:r w:rsidRPr="007C380C">
        <w:rPr>
          <w:rFonts w:ascii="Verdana" w:hAnsi="Verdana" w:cs="Arial"/>
          <w:i w:val="0"/>
          <w:iCs w:val="0"/>
          <w:color w:val="auto"/>
        </w:rPr>
        <w:t xml:space="preserve">Tabla </w:t>
      </w:r>
      <w:r w:rsidRPr="007C380C">
        <w:rPr>
          <w:rFonts w:ascii="Verdana" w:hAnsi="Verdana" w:cs="Arial"/>
          <w:i w:val="0"/>
          <w:iCs w:val="0"/>
          <w:color w:val="auto"/>
        </w:rPr>
        <w:fldChar w:fldCharType="begin"/>
      </w:r>
      <w:r w:rsidRPr="007C380C">
        <w:rPr>
          <w:rFonts w:ascii="Verdana" w:hAnsi="Verdana" w:cs="Arial"/>
          <w:i w:val="0"/>
          <w:iCs w:val="0"/>
          <w:color w:val="auto"/>
        </w:rPr>
        <w:instrText xml:space="preserve"> SEQ Tabla \* ARABIC </w:instrText>
      </w:r>
      <w:r w:rsidRPr="007C380C">
        <w:rPr>
          <w:rFonts w:ascii="Verdana" w:hAnsi="Verdana" w:cs="Arial"/>
          <w:i w:val="0"/>
          <w:iCs w:val="0"/>
          <w:color w:val="auto"/>
        </w:rPr>
        <w:fldChar w:fldCharType="separate"/>
      </w:r>
      <w:r w:rsidR="0078027F">
        <w:rPr>
          <w:rFonts w:ascii="Verdana" w:hAnsi="Verdana" w:cs="Arial"/>
          <w:i w:val="0"/>
          <w:iCs w:val="0"/>
          <w:noProof/>
          <w:color w:val="auto"/>
        </w:rPr>
        <w:t>40</w:t>
      </w:r>
      <w:r w:rsidRPr="007C380C">
        <w:rPr>
          <w:rFonts w:ascii="Verdana" w:hAnsi="Verdana" w:cs="Arial"/>
          <w:i w:val="0"/>
          <w:iCs w:val="0"/>
          <w:color w:val="auto"/>
        </w:rPr>
        <w:fldChar w:fldCharType="end"/>
      </w:r>
      <w:r w:rsidRPr="007C380C">
        <w:rPr>
          <w:rFonts w:ascii="Verdana" w:hAnsi="Verdana" w:cs="Arial"/>
          <w:i w:val="0"/>
          <w:iCs w:val="0"/>
          <w:color w:val="auto"/>
        </w:rPr>
        <w:t>. Regionalización de las acciones del indicador C.241</w:t>
      </w:r>
      <w:bookmarkEnd w:id="45"/>
    </w:p>
    <w:tbl>
      <w:tblPr>
        <w:tblStyle w:val="Tablaconcuadrcula1clara-nfasis4"/>
        <w:tblW w:w="7933" w:type="dxa"/>
        <w:jc w:val="center"/>
        <w:tblLook w:val="04A0" w:firstRow="1" w:lastRow="0" w:firstColumn="1" w:lastColumn="0" w:noHBand="0" w:noVBand="1"/>
        <w:tblCaption w:val="Detalle de regionalización del indicador"/>
        <w:tblDescription w:val="Tabla que contiene los siguientes items: indicador del PMI, total población beneficiada y clasificación poblacional.&#10;"/>
      </w:tblPr>
      <w:tblGrid>
        <w:gridCol w:w="2972"/>
        <w:gridCol w:w="1843"/>
        <w:gridCol w:w="3118"/>
      </w:tblGrid>
      <w:tr w:rsidR="48836A97" w:rsidRPr="00C71D0A" w14:paraId="635824DD" w14:textId="77777777" w:rsidTr="00147ABC">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2972" w:type="dxa"/>
          </w:tcPr>
          <w:p w14:paraId="364B571A" w14:textId="77777777" w:rsidR="48836A97" w:rsidRPr="00C71D0A" w:rsidRDefault="48836A97" w:rsidP="00C25586">
            <w:pPr>
              <w:spacing w:line="276" w:lineRule="auto"/>
              <w:jc w:val="center"/>
              <w:rPr>
                <w:rFonts w:ascii="Verdana" w:hAnsi="Verdana" w:cs="Arial"/>
                <w:color w:val="000000" w:themeColor="text1"/>
                <w:sz w:val="18"/>
                <w:szCs w:val="18"/>
              </w:rPr>
            </w:pPr>
          </w:p>
          <w:p w14:paraId="15ED1466" w14:textId="423DC87A" w:rsidR="48836A97" w:rsidRPr="00C71D0A" w:rsidRDefault="48836A97" w:rsidP="00C25586">
            <w:pPr>
              <w:spacing w:line="276" w:lineRule="auto"/>
              <w:jc w:val="center"/>
              <w:rPr>
                <w:rFonts w:ascii="Verdana" w:hAnsi="Verdana" w:cs="Arial"/>
                <w:sz w:val="18"/>
                <w:szCs w:val="18"/>
              </w:rPr>
            </w:pPr>
            <w:r w:rsidRPr="00C71D0A">
              <w:rPr>
                <w:rFonts w:ascii="Verdana" w:hAnsi="Verdana" w:cs="Arial"/>
                <w:color w:val="000000" w:themeColor="text1"/>
                <w:sz w:val="18"/>
                <w:szCs w:val="18"/>
              </w:rPr>
              <w:t>Indicador del PMI</w:t>
            </w:r>
          </w:p>
        </w:tc>
        <w:tc>
          <w:tcPr>
            <w:tcW w:w="1843" w:type="dxa"/>
            <w:vAlign w:val="center"/>
          </w:tcPr>
          <w:p w14:paraId="6B803A06" w14:textId="01C2432E" w:rsidR="48836A97" w:rsidRPr="00C71D0A" w:rsidRDefault="7232B4B5"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C71D0A">
              <w:rPr>
                <w:rFonts w:ascii="Verdana" w:hAnsi="Verdana" w:cs="Arial"/>
                <w:sz w:val="18"/>
                <w:szCs w:val="18"/>
              </w:rPr>
              <w:t>Total Población Beneficiada</w:t>
            </w:r>
          </w:p>
        </w:tc>
        <w:tc>
          <w:tcPr>
            <w:tcW w:w="3118" w:type="dxa"/>
            <w:vAlign w:val="center"/>
          </w:tcPr>
          <w:p w14:paraId="4E7AF3E7" w14:textId="0C7298AF" w:rsidR="48836A97" w:rsidRPr="00C71D0A"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C71D0A">
              <w:rPr>
                <w:rFonts w:ascii="Verdana" w:hAnsi="Verdana" w:cs="Arial"/>
                <w:sz w:val="18"/>
                <w:szCs w:val="18"/>
              </w:rPr>
              <w:t>Clasificación poblacional</w:t>
            </w:r>
          </w:p>
        </w:tc>
      </w:tr>
      <w:tr w:rsidR="48836A97" w:rsidRPr="00AB06F3" w14:paraId="10DB6AE1" w14:textId="77777777" w:rsidTr="00147ABC">
        <w:trPr>
          <w:trHeight w:val="300"/>
          <w:jc w:val="center"/>
        </w:trPr>
        <w:tc>
          <w:tcPr>
            <w:cnfStyle w:val="001000000000" w:firstRow="0" w:lastRow="0" w:firstColumn="1" w:lastColumn="0" w:oddVBand="0" w:evenVBand="0" w:oddHBand="0" w:evenHBand="0" w:firstRowFirstColumn="0" w:firstRowLastColumn="0" w:lastRowFirstColumn="0" w:lastRowLastColumn="0"/>
            <w:tcW w:w="2972" w:type="dxa"/>
          </w:tcPr>
          <w:p w14:paraId="01705067" w14:textId="734E1348" w:rsidR="48836A97" w:rsidRPr="00AB06F3" w:rsidRDefault="24A0E09D" w:rsidP="005274ED">
            <w:pPr>
              <w:spacing w:line="276" w:lineRule="auto"/>
              <w:jc w:val="both"/>
              <w:rPr>
                <w:rFonts w:ascii="Verdana" w:hAnsi="Verdana" w:cs="Arial"/>
                <w:b w:val="0"/>
                <w:bCs w:val="0"/>
                <w:sz w:val="18"/>
                <w:szCs w:val="18"/>
              </w:rPr>
            </w:pPr>
            <w:r w:rsidRPr="00AB06F3">
              <w:rPr>
                <w:rFonts w:ascii="Verdana" w:hAnsi="Verdana" w:cs="Arial"/>
                <w:b w:val="0"/>
                <w:bCs w:val="0"/>
                <w:sz w:val="18"/>
                <w:szCs w:val="18"/>
              </w:rPr>
              <w:t>C.241 Porcentaje de miembros de las FARC-EP acreditados que no tengan vínculo contractual, que reciben pago por concepto de seguridad social</w:t>
            </w:r>
          </w:p>
        </w:tc>
        <w:tc>
          <w:tcPr>
            <w:tcW w:w="1843" w:type="dxa"/>
            <w:vAlign w:val="center"/>
          </w:tcPr>
          <w:p w14:paraId="0FAE758C" w14:textId="08E4E1A2" w:rsidR="007C380C" w:rsidRPr="00AB06F3" w:rsidRDefault="007C380C" w:rsidP="007E263E">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381</w:t>
            </w:r>
            <w:r w:rsidR="122DA25A" w:rsidRPr="00AB06F3">
              <w:rPr>
                <w:rFonts w:ascii="Verdana" w:hAnsi="Verdana" w:cs="Arial"/>
                <w:sz w:val="18"/>
                <w:szCs w:val="18"/>
              </w:rPr>
              <w:t xml:space="preserve"> personas</w:t>
            </w:r>
            <w:r w:rsidR="448F1271" w:rsidRPr="00AB06F3">
              <w:rPr>
                <w:rFonts w:ascii="Verdana" w:hAnsi="Verdana" w:cs="Arial"/>
                <w:sz w:val="18"/>
                <w:szCs w:val="18"/>
              </w:rPr>
              <w:t xml:space="preserve"> con pagos por concepto de pensiones y BEPS</w:t>
            </w:r>
          </w:p>
        </w:tc>
        <w:tc>
          <w:tcPr>
            <w:tcW w:w="3118" w:type="dxa"/>
            <w:vAlign w:val="center"/>
          </w:tcPr>
          <w:p w14:paraId="1FCFCC9E" w14:textId="704EFD31" w:rsidR="48836A97" w:rsidRPr="00AB06F3" w:rsidRDefault="24A0E09D"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 xml:space="preserve"> </w:t>
            </w:r>
            <w:r w:rsidR="007E263E">
              <w:rPr>
                <w:rFonts w:ascii="Verdana" w:hAnsi="Verdana" w:cs="Arial"/>
                <w:sz w:val="18"/>
                <w:szCs w:val="18"/>
              </w:rPr>
              <w:t>89</w:t>
            </w:r>
            <w:r w:rsidRPr="00AB06F3">
              <w:rPr>
                <w:rFonts w:ascii="Verdana" w:hAnsi="Verdana" w:cs="Arial"/>
                <w:sz w:val="18"/>
                <w:szCs w:val="18"/>
              </w:rPr>
              <w:t xml:space="preserve"> mujeres </w:t>
            </w:r>
          </w:p>
          <w:p w14:paraId="71E5B65F" w14:textId="29B5F7AD" w:rsidR="48836A97" w:rsidRPr="00AB06F3" w:rsidRDefault="007E263E"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 xml:space="preserve">292 </w:t>
            </w:r>
            <w:r w:rsidR="24A0E09D" w:rsidRPr="00AB06F3">
              <w:rPr>
                <w:rFonts w:ascii="Verdana" w:hAnsi="Verdana" w:cs="Arial"/>
                <w:sz w:val="18"/>
                <w:szCs w:val="18"/>
              </w:rPr>
              <w:t>hombres</w:t>
            </w:r>
          </w:p>
          <w:p w14:paraId="2457C2C3" w14:textId="459981A7" w:rsidR="48836A97" w:rsidRPr="00AB06F3" w:rsidRDefault="2075C5BA"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 xml:space="preserve">De estas, </w:t>
            </w:r>
            <w:r w:rsidR="007E263E">
              <w:rPr>
                <w:rFonts w:ascii="Verdana" w:hAnsi="Verdana" w:cs="Arial"/>
                <w:sz w:val="18"/>
                <w:szCs w:val="18"/>
              </w:rPr>
              <w:t>23</w:t>
            </w:r>
            <w:r w:rsidRPr="00AB06F3">
              <w:rPr>
                <w:rFonts w:ascii="Verdana" w:hAnsi="Verdana" w:cs="Arial"/>
                <w:sz w:val="18"/>
                <w:szCs w:val="18"/>
              </w:rPr>
              <w:t xml:space="preserve"> personas son de comunidades negras, afrocolombianas, raizales y palenqueras </w:t>
            </w:r>
          </w:p>
          <w:p w14:paraId="627ECBBC" w14:textId="3781E9FA" w:rsidR="48836A97" w:rsidRPr="00AB06F3" w:rsidRDefault="007E263E" w:rsidP="007E263E">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Pr>
                <w:rFonts w:ascii="Verdana" w:hAnsi="Verdana" w:cs="Arial"/>
                <w:sz w:val="18"/>
                <w:szCs w:val="18"/>
              </w:rPr>
              <w:t>71</w:t>
            </w:r>
            <w:r w:rsidR="2075C5BA" w:rsidRPr="00AB06F3">
              <w:rPr>
                <w:rFonts w:ascii="Verdana" w:hAnsi="Verdana" w:cs="Arial"/>
                <w:sz w:val="18"/>
                <w:szCs w:val="18"/>
              </w:rPr>
              <w:t>personas son indígenas.</w:t>
            </w:r>
          </w:p>
        </w:tc>
      </w:tr>
    </w:tbl>
    <w:p w14:paraId="5E1E3052"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AB5E386" w14:textId="77777777" w:rsidR="007E263E" w:rsidRDefault="007E263E" w:rsidP="007E43A8">
      <w:pPr>
        <w:spacing w:after="0" w:line="276" w:lineRule="auto"/>
        <w:jc w:val="center"/>
        <w:rPr>
          <w:rFonts w:ascii="Verdana" w:hAnsi="Verdana" w:cs="Arial"/>
          <w:sz w:val="18"/>
          <w:szCs w:val="18"/>
        </w:rPr>
      </w:pPr>
    </w:p>
    <w:p w14:paraId="728BBCF1" w14:textId="0608658E" w:rsidR="007E43A8" w:rsidRDefault="7632B67D" w:rsidP="007E43A8">
      <w:pPr>
        <w:spacing w:after="0" w:line="276" w:lineRule="auto"/>
        <w:jc w:val="center"/>
        <w:rPr>
          <w:rFonts w:ascii="Verdana" w:hAnsi="Verdana" w:cs="Arial"/>
          <w:sz w:val="18"/>
          <w:szCs w:val="18"/>
        </w:rPr>
      </w:pPr>
      <w:r w:rsidRPr="00AB06F3">
        <w:rPr>
          <w:rFonts w:ascii="Verdana" w:hAnsi="Verdana" w:cs="Arial"/>
          <w:sz w:val="18"/>
          <w:szCs w:val="18"/>
        </w:rPr>
        <w:t xml:space="preserve">Ver </w:t>
      </w:r>
      <w:r w:rsidR="73D04682" w:rsidRPr="00AB06F3">
        <w:rPr>
          <w:rFonts w:ascii="Verdana" w:hAnsi="Verdana" w:cs="Arial"/>
          <w:sz w:val="18"/>
          <w:szCs w:val="18"/>
        </w:rPr>
        <w:t xml:space="preserve">desagregación territorial que se reporta a SIIPO </w:t>
      </w:r>
      <w:r w:rsidR="3165F64D" w:rsidRPr="00AB06F3">
        <w:rPr>
          <w:rFonts w:ascii="Verdana" w:hAnsi="Verdana" w:cs="Arial"/>
          <w:sz w:val="18"/>
          <w:szCs w:val="18"/>
        </w:rPr>
        <w:t xml:space="preserve">en el siguiente link </w:t>
      </w:r>
      <w:hyperlink r:id="rId19">
        <w:r w:rsidR="3165F64D" w:rsidRPr="00AB06F3">
          <w:rPr>
            <w:rStyle w:val="Hipervnculo"/>
            <w:rFonts w:ascii="Verdana" w:hAnsi="Verdana" w:cs="Arial"/>
            <w:sz w:val="18"/>
            <w:szCs w:val="18"/>
          </w:rPr>
          <w:t>https://siipo.dnp.gov.co/detalleindicador/CUAbcYqgcqwsegbdpad8</w:t>
        </w:r>
      </w:hyperlink>
    </w:p>
    <w:p w14:paraId="1F7C54C8" w14:textId="77777777" w:rsidR="007E43A8" w:rsidRDefault="007E43A8" w:rsidP="007E43A8">
      <w:pPr>
        <w:spacing w:after="0" w:line="276" w:lineRule="auto"/>
        <w:jc w:val="center"/>
        <w:rPr>
          <w:rFonts w:ascii="Verdana" w:hAnsi="Verdana" w:cs="Arial"/>
          <w:sz w:val="18"/>
          <w:szCs w:val="18"/>
        </w:rPr>
      </w:pPr>
    </w:p>
    <w:p w14:paraId="2B8149ED" w14:textId="77777777" w:rsidR="007E43A8" w:rsidRDefault="0FADA68C" w:rsidP="007E43A8">
      <w:pPr>
        <w:spacing w:after="0" w:line="276" w:lineRule="auto"/>
        <w:jc w:val="center"/>
        <w:rPr>
          <w:rFonts w:ascii="Verdana" w:hAnsi="Verdana" w:cs="Arial"/>
          <w:color w:val="000000" w:themeColor="text1"/>
          <w:sz w:val="24"/>
          <w:szCs w:val="24"/>
        </w:rPr>
      </w:pPr>
      <w:r w:rsidRPr="00AB06F3">
        <w:rPr>
          <w:rFonts w:ascii="Verdana" w:hAnsi="Verdana" w:cs="Arial"/>
          <w:color w:val="000000" w:themeColor="text1"/>
          <w:sz w:val="24"/>
          <w:szCs w:val="24"/>
        </w:rPr>
        <w:t>¿Qué desafíos y retos tuvimos para el cumplimiento del indicador PMI?</w:t>
      </w:r>
    </w:p>
    <w:p w14:paraId="55B76D27" w14:textId="77777777" w:rsidR="003253C7" w:rsidRDefault="003253C7" w:rsidP="007E263E">
      <w:pPr>
        <w:spacing w:after="0" w:line="276" w:lineRule="auto"/>
        <w:rPr>
          <w:rFonts w:ascii="Verdana" w:hAnsi="Verdana" w:cs="Arial"/>
          <w:color w:val="000000" w:themeColor="text1"/>
          <w:sz w:val="24"/>
          <w:szCs w:val="24"/>
        </w:rPr>
      </w:pPr>
    </w:p>
    <w:p w14:paraId="0BEA0498" w14:textId="77777777" w:rsidR="009E2321" w:rsidRDefault="009E2321" w:rsidP="00C401E4">
      <w:pPr>
        <w:spacing w:after="0" w:line="276" w:lineRule="auto"/>
        <w:jc w:val="both"/>
        <w:rPr>
          <w:rFonts w:ascii="Verdana" w:hAnsi="Verdana" w:cs="Arial"/>
          <w:color w:val="000000" w:themeColor="text1"/>
          <w:sz w:val="24"/>
          <w:szCs w:val="24"/>
        </w:rPr>
      </w:pPr>
      <w:r w:rsidRPr="009E2321">
        <w:rPr>
          <w:rFonts w:ascii="Verdana" w:hAnsi="Verdana" w:cs="Arial"/>
          <w:color w:val="000000" w:themeColor="text1"/>
          <w:sz w:val="24"/>
          <w:szCs w:val="24"/>
        </w:rPr>
        <w:t xml:space="preserve">Para el mes de diciembre de 2025 se identificaron 1.343 exintegrantes de las FARC-EP que no accedieron al beneficio de aportes al Sistema de Seguridad Social en Pensiones o a los Beneficios Económicos Periódicos (BEPS), debido al incumplimiento de los requisitos establecidos. Esta situación se discrimina de la siguiente manera: 601 personas sin información de afiliación a Pensiones o BEPS; 5 personas con registro en el Instituto Nacional Penitenciario y Carcelario (INPEC); 47 personas con vínculo contractual con pago de pensión por parte del empleador; 258 </w:t>
      </w:r>
      <w:r w:rsidRPr="009E2321">
        <w:rPr>
          <w:rFonts w:ascii="Verdana" w:hAnsi="Verdana" w:cs="Arial"/>
          <w:color w:val="000000" w:themeColor="text1"/>
          <w:sz w:val="24"/>
          <w:szCs w:val="24"/>
        </w:rPr>
        <w:lastRenderedPageBreak/>
        <w:t>personas fallecidas desde la firma del Acuerdo Final; 185 personas con limitante temporal y 195 con limitante definitiva o en investigación, de acuerdo con la Resolución 4309 de 2019; 9 personas con suspensión administrativa preventiva; 6 personas con retiro voluntario; 1 persona privada de la libertad en el extranjero; 2 personas con pensión de sobrevivencia vitalicia; 27 personas con inconsistencias en la información registrada en la Registraduría Nacional del Estado Civil (RNEC); y 7 personas pendientes de definir su estado dentro del programa de reincorporación.</w:t>
      </w:r>
    </w:p>
    <w:p w14:paraId="175A1A62" w14:textId="77777777" w:rsidR="009E2321" w:rsidRPr="009E2321" w:rsidRDefault="009E2321" w:rsidP="009E2321">
      <w:pPr>
        <w:spacing w:after="0" w:line="276" w:lineRule="auto"/>
        <w:rPr>
          <w:rFonts w:ascii="Verdana" w:hAnsi="Verdana" w:cs="Arial"/>
          <w:color w:val="000000" w:themeColor="text1"/>
          <w:sz w:val="24"/>
          <w:szCs w:val="24"/>
        </w:rPr>
      </w:pPr>
    </w:p>
    <w:p w14:paraId="2BBEF717" w14:textId="77777777" w:rsidR="009E2321" w:rsidRPr="009E2321" w:rsidRDefault="009E2321" w:rsidP="00C401E4">
      <w:pPr>
        <w:spacing w:after="0" w:line="276" w:lineRule="auto"/>
        <w:jc w:val="both"/>
        <w:rPr>
          <w:rFonts w:ascii="Verdana" w:hAnsi="Verdana" w:cs="Arial"/>
          <w:color w:val="000000" w:themeColor="text1"/>
          <w:sz w:val="24"/>
          <w:szCs w:val="24"/>
        </w:rPr>
      </w:pPr>
      <w:r w:rsidRPr="009E2321">
        <w:rPr>
          <w:rFonts w:ascii="Verdana" w:hAnsi="Verdana" w:cs="Arial"/>
          <w:color w:val="000000" w:themeColor="text1"/>
          <w:sz w:val="24"/>
          <w:szCs w:val="24"/>
        </w:rPr>
        <w:t>Adicionalmente, se resalta que, durante diciembre de 2025, se continuó con la identificación de las personas acreditadas que, en el marco del Acuerdo Final para la Terminación del Conflicto y la Construcción de una Paz Estable y Duradera, cumplieron el período de 24 meses de pago al Sistema de Seguridad Social en Salud y al Sistema de Protección a la Vejez, conforme a lo establecido en el artículo 9 del Decreto Ley 899 de 2017, y que, por tanto, finalizan el acceso a este beneficio.</w:t>
      </w:r>
    </w:p>
    <w:p w14:paraId="38579EA2" w14:textId="77777777" w:rsidR="00875C5A" w:rsidRPr="00AB06F3" w:rsidRDefault="00875C5A" w:rsidP="00C25586">
      <w:pPr>
        <w:spacing w:after="0" w:line="276" w:lineRule="auto"/>
        <w:rPr>
          <w:rFonts w:ascii="Verdana" w:hAnsi="Verdana"/>
        </w:rPr>
      </w:pPr>
    </w:p>
    <w:p w14:paraId="08128914" w14:textId="45A0FE81" w:rsidR="00C240CD" w:rsidRPr="00C240CD" w:rsidRDefault="00C240CD" w:rsidP="00C240CD">
      <w:pPr>
        <w:pStyle w:val="Descripcin"/>
        <w:keepNext/>
        <w:jc w:val="center"/>
        <w:rPr>
          <w:rStyle w:val="Referenciasutil"/>
          <w:rFonts w:ascii="Verdana" w:hAnsi="Verdana" w:cs="Arial"/>
          <w:i w:val="0"/>
          <w:iCs w:val="0"/>
        </w:rPr>
      </w:pPr>
      <w:bookmarkStart w:id="46" w:name="_Toc225283153"/>
      <w:r w:rsidRPr="00C240CD">
        <w:rPr>
          <w:rStyle w:val="Referenciasutil"/>
          <w:rFonts w:ascii="Verdana" w:hAnsi="Verdana" w:cs="Arial"/>
          <w:i w:val="0"/>
          <w:iCs w:val="0"/>
        </w:rPr>
        <w:t xml:space="preserve">Tabla </w:t>
      </w:r>
      <w:r w:rsidRPr="00C240CD">
        <w:rPr>
          <w:rStyle w:val="Referenciasutil"/>
          <w:rFonts w:ascii="Verdana" w:hAnsi="Verdana" w:cs="Arial"/>
          <w:i w:val="0"/>
          <w:iCs w:val="0"/>
        </w:rPr>
        <w:fldChar w:fldCharType="begin"/>
      </w:r>
      <w:r w:rsidRPr="00C240CD">
        <w:rPr>
          <w:rStyle w:val="Referenciasutil"/>
          <w:rFonts w:ascii="Verdana" w:hAnsi="Verdana" w:cs="Arial"/>
          <w:i w:val="0"/>
          <w:iCs w:val="0"/>
        </w:rPr>
        <w:instrText xml:space="preserve"> SEQ Tabla \* ARABIC </w:instrText>
      </w:r>
      <w:r w:rsidRPr="00C240CD">
        <w:rPr>
          <w:rStyle w:val="Referenciasutil"/>
          <w:rFonts w:ascii="Verdana" w:hAnsi="Verdana" w:cs="Arial"/>
          <w:i w:val="0"/>
          <w:iCs w:val="0"/>
        </w:rPr>
        <w:fldChar w:fldCharType="separate"/>
      </w:r>
      <w:r w:rsidR="0078027F">
        <w:rPr>
          <w:rStyle w:val="Referenciasutil"/>
          <w:rFonts w:ascii="Verdana" w:hAnsi="Verdana" w:cs="Arial"/>
          <w:i w:val="0"/>
          <w:iCs w:val="0"/>
          <w:noProof/>
        </w:rPr>
        <w:t>41</w:t>
      </w:r>
      <w:r w:rsidRPr="00C240CD">
        <w:rPr>
          <w:rStyle w:val="Referenciasutil"/>
          <w:rFonts w:ascii="Verdana" w:hAnsi="Verdana" w:cs="Arial"/>
          <w:i w:val="0"/>
          <w:iCs w:val="0"/>
        </w:rPr>
        <w:fldChar w:fldCharType="end"/>
      </w:r>
      <w:r w:rsidRPr="00C240CD">
        <w:rPr>
          <w:rStyle w:val="Referenciasutil"/>
          <w:rFonts w:ascii="Verdana" w:hAnsi="Verdana" w:cs="Arial"/>
          <w:i w:val="0"/>
          <w:iCs w:val="0"/>
        </w:rPr>
        <w:t>. Desafíos y retos del indicador C.241</w:t>
      </w:r>
      <w:bookmarkEnd w:id="46"/>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838"/>
        <w:gridCol w:w="4047"/>
        <w:gridCol w:w="2943"/>
      </w:tblGrid>
      <w:tr w:rsidR="48836A97" w:rsidRPr="00AB06F3" w14:paraId="0A0B38F5" w14:textId="77777777" w:rsidTr="00A922DA">
        <w:trPr>
          <w:trHeight w:val="300"/>
          <w:tblHeader/>
        </w:trPr>
        <w:tc>
          <w:tcPr>
            <w:tcW w:w="1838" w:type="dxa"/>
          </w:tcPr>
          <w:p w14:paraId="25954947" w14:textId="48889C82" w:rsidR="48836A97" w:rsidRPr="00F54279" w:rsidRDefault="48836A97" w:rsidP="00F54279">
            <w:pPr>
              <w:spacing w:line="276" w:lineRule="auto"/>
              <w:jc w:val="center"/>
              <w:rPr>
                <w:rFonts w:ascii="Verdana" w:hAnsi="Verdana" w:cs="Arial"/>
                <w:b/>
                <w:bCs/>
                <w:color w:val="000000" w:themeColor="text1"/>
                <w:sz w:val="18"/>
                <w:szCs w:val="18"/>
              </w:rPr>
            </w:pPr>
            <w:r w:rsidRPr="00F54279">
              <w:rPr>
                <w:rFonts w:ascii="Verdana" w:hAnsi="Verdana" w:cs="Arial"/>
                <w:b/>
                <w:bCs/>
                <w:color w:val="000000" w:themeColor="text1"/>
                <w:sz w:val="18"/>
                <w:szCs w:val="18"/>
              </w:rPr>
              <w:t>Tipo de Reto</w:t>
            </w:r>
          </w:p>
        </w:tc>
        <w:tc>
          <w:tcPr>
            <w:tcW w:w="4047" w:type="dxa"/>
          </w:tcPr>
          <w:p w14:paraId="09CAFF17" w14:textId="77777777" w:rsidR="48836A97" w:rsidRPr="00F54279" w:rsidRDefault="48836A97" w:rsidP="00F54279">
            <w:pPr>
              <w:spacing w:line="276" w:lineRule="auto"/>
              <w:jc w:val="center"/>
              <w:rPr>
                <w:rFonts w:ascii="Verdana" w:hAnsi="Verdana" w:cs="Arial"/>
                <w:b/>
                <w:bCs/>
                <w:color w:val="000000" w:themeColor="text1"/>
                <w:sz w:val="18"/>
                <w:szCs w:val="18"/>
              </w:rPr>
            </w:pPr>
            <w:r w:rsidRPr="00F54279">
              <w:rPr>
                <w:rFonts w:ascii="Verdana" w:hAnsi="Verdana" w:cs="Arial"/>
                <w:b/>
                <w:bCs/>
                <w:color w:val="000000" w:themeColor="text1"/>
                <w:sz w:val="18"/>
                <w:szCs w:val="18"/>
              </w:rPr>
              <w:t>Descripción del Reto</w:t>
            </w:r>
          </w:p>
        </w:tc>
        <w:tc>
          <w:tcPr>
            <w:tcW w:w="2943" w:type="dxa"/>
          </w:tcPr>
          <w:p w14:paraId="3A5CBDD6" w14:textId="77777777" w:rsidR="48836A97" w:rsidRPr="00F54279" w:rsidRDefault="48836A97" w:rsidP="00F54279">
            <w:pPr>
              <w:spacing w:line="276" w:lineRule="auto"/>
              <w:jc w:val="center"/>
              <w:rPr>
                <w:rFonts w:ascii="Verdana" w:hAnsi="Verdana" w:cs="Arial"/>
                <w:b/>
                <w:bCs/>
                <w:color w:val="000000" w:themeColor="text1"/>
                <w:sz w:val="18"/>
                <w:szCs w:val="18"/>
              </w:rPr>
            </w:pPr>
            <w:r w:rsidRPr="00F54279">
              <w:rPr>
                <w:rFonts w:ascii="Verdana" w:hAnsi="Verdana" w:cs="Arial"/>
                <w:b/>
                <w:bCs/>
                <w:color w:val="000000" w:themeColor="text1"/>
                <w:sz w:val="18"/>
                <w:szCs w:val="18"/>
              </w:rPr>
              <w:t>Medidas para mitigar el Reto</w:t>
            </w:r>
          </w:p>
        </w:tc>
      </w:tr>
      <w:tr w:rsidR="00CC1B45" w:rsidRPr="00AB06F3" w14:paraId="2FEF2EEE" w14:textId="77777777" w:rsidTr="00A922DA">
        <w:trPr>
          <w:trHeight w:val="300"/>
        </w:trPr>
        <w:tc>
          <w:tcPr>
            <w:tcW w:w="1838" w:type="dxa"/>
          </w:tcPr>
          <w:p w14:paraId="48489088" w14:textId="20F2ADE3" w:rsidR="00CC1B45" w:rsidRPr="00CC1B45" w:rsidRDefault="00CC1B45" w:rsidP="00C401E4">
            <w:pPr>
              <w:spacing w:line="276" w:lineRule="auto"/>
              <w:jc w:val="both"/>
              <w:rPr>
                <w:rFonts w:ascii="Verdana" w:hAnsi="Verdana" w:cs="Arial"/>
                <w:color w:val="000000" w:themeColor="text1"/>
                <w:sz w:val="18"/>
                <w:szCs w:val="18"/>
              </w:rPr>
            </w:pPr>
            <w:r w:rsidRPr="00CC1B45">
              <w:rPr>
                <w:rStyle w:val="normaltextrun"/>
                <w:rFonts w:ascii="Verdana" w:hAnsi="Verdana" w:cs="Segoe UI"/>
                <w:color w:val="000000" w:themeColor="text1"/>
                <w:sz w:val="18"/>
                <w:szCs w:val="18"/>
              </w:rPr>
              <w:t>Decisiones de alto gobierno – Gobernanza </w:t>
            </w:r>
          </w:p>
        </w:tc>
        <w:tc>
          <w:tcPr>
            <w:tcW w:w="4047" w:type="dxa"/>
          </w:tcPr>
          <w:p w14:paraId="79D0CDBA" w14:textId="37BFAB7B" w:rsidR="00CC1B45" w:rsidRPr="00CC1B45" w:rsidRDefault="00ED7D4B" w:rsidP="00C401E4">
            <w:pPr>
              <w:spacing w:line="276" w:lineRule="auto"/>
              <w:jc w:val="both"/>
              <w:rPr>
                <w:rStyle w:val="normaltextrun"/>
                <w:rFonts w:cs="Segoe UI"/>
              </w:rPr>
            </w:pPr>
            <w:r w:rsidRPr="00ED7D4B">
              <w:rPr>
                <w:rFonts w:ascii="Verdana" w:hAnsi="Verdana" w:cs="Segoe UI"/>
                <w:color w:val="000000" w:themeColor="text1"/>
                <w:sz w:val="18"/>
                <w:szCs w:val="18"/>
              </w:rPr>
              <w:t>Se continúa identificando a las personas acreditadas que, en el marco del Acuerdo Final para la Terminación del Conflicto y la Construcción de una Paz Estable y Duradera, han cumplido el período de veinticuatro (24) meses de pago de aportes al Sistema de Seguridad Social en Salud y al Sistema de Protección a la Vejez, conforme a lo establecido en el artículo 9 del Decreto Ley 899 de 2017. Esta situación implica la finalización del beneficio para dichos exintegrantes de las FARC-EP, lo cual requiere un proceso permanente de verificación y actualización de la información administrativa y de los estados de los beneficiarios, con el fin de garantizar la adecuada gestión del cierre del beneficio y la consistencia en los registros institucionales.</w:t>
            </w:r>
          </w:p>
        </w:tc>
        <w:tc>
          <w:tcPr>
            <w:tcW w:w="2943" w:type="dxa"/>
          </w:tcPr>
          <w:p w14:paraId="284E9579" w14:textId="77777777" w:rsidR="00A922DA" w:rsidRPr="00A922DA" w:rsidRDefault="00A922DA" w:rsidP="00C401E4">
            <w:pPr>
              <w:spacing w:line="276" w:lineRule="auto"/>
              <w:jc w:val="both"/>
              <w:rPr>
                <w:rFonts w:ascii="Verdana" w:hAnsi="Verdana" w:cs="Segoe UI"/>
                <w:color w:val="000000" w:themeColor="text1"/>
                <w:sz w:val="18"/>
                <w:szCs w:val="18"/>
              </w:rPr>
            </w:pPr>
            <w:r w:rsidRPr="00A922DA">
              <w:rPr>
                <w:rFonts w:ascii="Verdana" w:hAnsi="Verdana" w:cs="Segoe UI"/>
                <w:color w:val="000000" w:themeColor="text1"/>
                <w:sz w:val="18"/>
                <w:szCs w:val="18"/>
              </w:rPr>
              <w:t>Se realiza un seguimiento mensual a la población participante con el fin de identificar oportunamente a las personas que cumplen el periodo de veinticuatro (24) meses de pago de aportes al Sistema de Seguridad Social en Salud y al Sistema de Protección a la Vejez, conforme a lo establecido en el Decreto Ley 899 de 2017. Este proceso incluye la verificación y actualización periódica de la información administrativa de los beneficiarios, la depuración de registros y la validación de los estados de afiliación en los sistemas correspondientes.</w:t>
            </w:r>
          </w:p>
          <w:p w14:paraId="5D530FA4" w14:textId="76CEEB6A" w:rsidR="00CC1B45" w:rsidRPr="00A922DA" w:rsidRDefault="00A922DA" w:rsidP="00C401E4">
            <w:pPr>
              <w:spacing w:line="276" w:lineRule="auto"/>
              <w:jc w:val="both"/>
              <w:rPr>
                <w:rStyle w:val="normaltextrun"/>
                <w:rFonts w:ascii="Verdana" w:hAnsi="Verdana" w:cs="Segoe UI"/>
                <w:color w:val="000000" w:themeColor="text1"/>
                <w:sz w:val="18"/>
                <w:szCs w:val="18"/>
              </w:rPr>
            </w:pPr>
            <w:r w:rsidRPr="00A922DA">
              <w:rPr>
                <w:rFonts w:ascii="Verdana" w:hAnsi="Verdana" w:cs="Segoe UI"/>
                <w:color w:val="000000" w:themeColor="text1"/>
                <w:sz w:val="18"/>
                <w:szCs w:val="18"/>
              </w:rPr>
              <w:t xml:space="preserve">Adicionalmente, se fortalecen los mecanismos de articulación con las entidades y operadores responsables del </w:t>
            </w:r>
            <w:r w:rsidRPr="00A922DA">
              <w:rPr>
                <w:rFonts w:ascii="Verdana" w:hAnsi="Verdana" w:cs="Segoe UI"/>
                <w:color w:val="000000" w:themeColor="text1"/>
                <w:sz w:val="18"/>
                <w:szCs w:val="18"/>
              </w:rPr>
              <w:lastRenderedPageBreak/>
              <w:t>proceso de pago, con el propósito de garantizar la adecuada gestión del cierre del beneficio y la consistencia en los reportes institucionales.</w:t>
            </w:r>
          </w:p>
        </w:tc>
      </w:tr>
    </w:tbl>
    <w:p w14:paraId="4496E29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A626A9F" w14:textId="77777777" w:rsidR="009373D1" w:rsidRPr="00F54279" w:rsidRDefault="009373D1" w:rsidP="00C25586">
      <w:pPr>
        <w:shd w:val="clear" w:color="auto" w:fill="FFFFFF" w:themeFill="background1"/>
        <w:spacing w:after="0" w:line="276" w:lineRule="auto"/>
        <w:jc w:val="both"/>
        <w:rPr>
          <w:rFonts w:ascii="Verdana" w:eastAsiaTheme="minorEastAsia" w:hAnsi="Verdana" w:cs="Arial"/>
          <w:sz w:val="18"/>
          <w:szCs w:val="18"/>
        </w:rPr>
      </w:pPr>
    </w:p>
    <w:p w14:paraId="7423C8E4" w14:textId="2F8DFF72" w:rsidR="00B709EF" w:rsidRPr="00F54279" w:rsidRDefault="7F1A258B" w:rsidP="00031DF5">
      <w:pPr>
        <w:pStyle w:val="Prrafodelista"/>
        <w:numPr>
          <w:ilvl w:val="2"/>
          <w:numId w:val="13"/>
        </w:numPr>
        <w:spacing w:before="240" w:after="0" w:line="276" w:lineRule="auto"/>
        <w:rPr>
          <w:rFonts w:ascii="Verdana" w:eastAsia="Verdana" w:hAnsi="Verdana" w:cs="Arial"/>
          <w:b/>
          <w:bCs/>
          <w:sz w:val="24"/>
          <w:szCs w:val="24"/>
        </w:rPr>
      </w:pPr>
      <w:r w:rsidRPr="00F54279">
        <w:rPr>
          <w:rFonts w:ascii="Verdana" w:eastAsia="Verdana" w:hAnsi="Verdana" w:cs="Arial"/>
          <w:b/>
          <w:bCs/>
          <w:color w:val="000000" w:themeColor="text1"/>
          <w:sz w:val="24"/>
          <w:szCs w:val="24"/>
        </w:rPr>
        <w:t>Producto</w:t>
      </w:r>
      <w:r w:rsidRPr="00F54279">
        <w:rPr>
          <w:rFonts w:ascii="Verdana" w:eastAsia="Verdana" w:hAnsi="Verdana" w:cs="Arial"/>
          <w:b/>
          <w:bCs/>
          <w:sz w:val="24"/>
          <w:szCs w:val="24"/>
        </w:rPr>
        <w:t xml:space="preserve">: Consejo Nacional de Reincorporación </w:t>
      </w:r>
    </w:p>
    <w:p w14:paraId="1A633727" w14:textId="27FDDBCD" w:rsidR="00B709EF" w:rsidRPr="00975208" w:rsidRDefault="18C036E8" w:rsidP="00975208">
      <w:pPr>
        <w:spacing w:before="240" w:after="0" w:line="276" w:lineRule="auto"/>
        <w:jc w:val="both"/>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 xml:space="preserve">C.427 </w:t>
      </w:r>
      <w:r w:rsidRPr="00AB06F3">
        <w:rPr>
          <w:rFonts w:ascii="Verdana" w:eastAsia="Verdana" w:hAnsi="Verdana" w:cs="Arial"/>
          <w:color w:val="000000" w:themeColor="text1"/>
          <w:sz w:val="24"/>
          <w:szCs w:val="24"/>
        </w:rPr>
        <w:t>Consejos territoriales de Reincorporación creados y en funcionamiento</w:t>
      </w:r>
      <w:r w:rsidR="2F618300" w:rsidRPr="00AB06F3">
        <w:rPr>
          <w:rFonts w:ascii="Verdana" w:eastAsia="Verdana" w:hAnsi="Verdana" w:cs="Arial"/>
          <w:color w:val="000000" w:themeColor="text1"/>
          <w:sz w:val="18"/>
          <w:szCs w:val="18"/>
        </w:rPr>
        <w:t xml:space="preserve"> </w:t>
      </w:r>
    </w:p>
    <w:p w14:paraId="7B7C0019" w14:textId="0ADE4D03" w:rsidR="00975208" w:rsidRPr="00975208" w:rsidRDefault="00975208" w:rsidP="00975208">
      <w:pPr>
        <w:pStyle w:val="Descripcin"/>
        <w:keepNext/>
        <w:jc w:val="center"/>
        <w:rPr>
          <w:rFonts w:ascii="Verdana" w:eastAsia="Verdana" w:hAnsi="Verdana" w:cs="Arial"/>
          <w:i w:val="0"/>
          <w:iCs w:val="0"/>
          <w:color w:val="000000" w:themeColor="text1"/>
        </w:rPr>
      </w:pPr>
      <w:bookmarkStart w:id="47" w:name="_Toc225283154"/>
      <w:r w:rsidRPr="00975208">
        <w:rPr>
          <w:rFonts w:ascii="Verdana" w:eastAsia="Verdana" w:hAnsi="Verdana" w:cs="Arial"/>
          <w:i w:val="0"/>
          <w:iCs w:val="0"/>
          <w:color w:val="000000" w:themeColor="text1"/>
        </w:rPr>
        <w:t xml:space="preserve">Tabla </w:t>
      </w:r>
      <w:r w:rsidRPr="00975208">
        <w:rPr>
          <w:rFonts w:ascii="Verdana" w:eastAsia="Verdana" w:hAnsi="Verdana" w:cs="Arial"/>
          <w:i w:val="0"/>
          <w:iCs w:val="0"/>
          <w:color w:val="000000" w:themeColor="text1"/>
        </w:rPr>
        <w:fldChar w:fldCharType="begin"/>
      </w:r>
      <w:r w:rsidRPr="00975208">
        <w:rPr>
          <w:rFonts w:ascii="Verdana" w:eastAsia="Verdana" w:hAnsi="Verdana" w:cs="Arial"/>
          <w:i w:val="0"/>
          <w:iCs w:val="0"/>
          <w:color w:val="000000" w:themeColor="text1"/>
        </w:rPr>
        <w:instrText xml:space="preserve"> SEQ Tabla \* ARABIC </w:instrText>
      </w:r>
      <w:r w:rsidRPr="00975208">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42</w:t>
      </w:r>
      <w:r w:rsidRPr="00975208">
        <w:rPr>
          <w:rFonts w:ascii="Verdana" w:eastAsia="Verdana" w:hAnsi="Verdana" w:cs="Arial"/>
          <w:i w:val="0"/>
          <w:iCs w:val="0"/>
          <w:color w:val="000000" w:themeColor="text1"/>
        </w:rPr>
        <w:fldChar w:fldCharType="end"/>
      </w:r>
      <w:r w:rsidRPr="00975208">
        <w:rPr>
          <w:rFonts w:ascii="Verdana" w:eastAsia="Verdana" w:hAnsi="Verdana" w:cs="Arial"/>
          <w:i w:val="0"/>
          <w:iCs w:val="0"/>
          <w:color w:val="000000" w:themeColor="text1"/>
        </w:rPr>
        <w:t>. Detalle de avance en el indicador C.427</w:t>
      </w:r>
      <w:bookmarkEnd w:id="47"/>
    </w:p>
    <w:tbl>
      <w:tblPr>
        <w:tblStyle w:val="Tablaconcuadrcula1clara-nfasis4"/>
        <w:tblW w:w="8834"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18"/>
        <w:gridCol w:w="1344"/>
        <w:gridCol w:w="1224"/>
        <w:gridCol w:w="1224"/>
        <w:gridCol w:w="1224"/>
      </w:tblGrid>
      <w:tr w:rsidR="33167E86" w:rsidRPr="00AB06F3" w14:paraId="44A08B10" w14:textId="77777777" w:rsidTr="00A922D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18" w:type="dxa"/>
            <w:tcBorders>
              <w:bottom w:val="none" w:sz="0" w:space="0" w:color="auto"/>
            </w:tcBorders>
            <w:tcMar>
              <w:left w:w="108" w:type="dxa"/>
              <w:right w:w="108" w:type="dxa"/>
            </w:tcMar>
            <w:vAlign w:val="center"/>
          </w:tcPr>
          <w:p w14:paraId="26C95DE9" w14:textId="2101D8ED" w:rsidR="33167E86" w:rsidRPr="00AB06F3" w:rsidRDefault="33167E86" w:rsidP="00C25586">
            <w:pPr>
              <w:spacing w:line="276" w:lineRule="auto"/>
              <w:jc w:val="center"/>
              <w:rPr>
                <w:rFonts w:ascii="Verdana" w:hAnsi="Verdana" w:cs="Arial"/>
              </w:rPr>
            </w:pPr>
            <w:r w:rsidRPr="00AB06F3">
              <w:rPr>
                <w:rFonts w:ascii="Verdana" w:eastAsia="Verdana" w:hAnsi="Verdana" w:cs="Arial"/>
                <w:sz w:val="18"/>
                <w:szCs w:val="18"/>
              </w:rPr>
              <w:t>Indicador</w:t>
            </w:r>
          </w:p>
        </w:tc>
        <w:tc>
          <w:tcPr>
            <w:tcW w:w="1344" w:type="dxa"/>
            <w:tcBorders>
              <w:bottom w:val="none" w:sz="0" w:space="0" w:color="auto"/>
            </w:tcBorders>
            <w:tcMar>
              <w:left w:w="108" w:type="dxa"/>
              <w:right w:w="108" w:type="dxa"/>
            </w:tcMar>
            <w:vAlign w:val="center"/>
          </w:tcPr>
          <w:p w14:paraId="334F149C" w14:textId="4CF8E161"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24" w:type="dxa"/>
            <w:tcBorders>
              <w:bottom w:val="none" w:sz="0" w:space="0" w:color="auto"/>
            </w:tcBorders>
            <w:tcMar>
              <w:left w:w="108" w:type="dxa"/>
              <w:right w:w="108" w:type="dxa"/>
            </w:tcMar>
            <w:vAlign w:val="center"/>
          </w:tcPr>
          <w:p w14:paraId="6DCA7FF1" w14:textId="3DED69C2"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24" w:type="dxa"/>
            <w:tcBorders>
              <w:bottom w:val="none" w:sz="0" w:space="0" w:color="auto"/>
            </w:tcBorders>
            <w:tcMar>
              <w:left w:w="108" w:type="dxa"/>
              <w:right w:w="108" w:type="dxa"/>
            </w:tcMar>
            <w:vAlign w:val="center"/>
          </w:tcPr>
          <w:p w14:paraId="54366F4C" w14:textId="64194F48"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24" w:type="dxa"/>
            <w:tcBorders>
              <w:bottom w:val="none" w:sz="0" w:space="0" w:color="auto"/>
            </w:tcBorders>
            <w:tcMar>
              <w:left w:w="108" w:type="dxa"/>
              <w:right w:w="108" w:type="dxa"/>
            </w:tcMar>
          </w:tcPr>
          <w:p w14:paraId="42819C5E" w14:textId="2958BEE0" w:rsidR="33167E86" w:rsidRPr="00AB06F3" w:rsidRDefault="33167E8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sidR="006910E7">
              <w:rPr>
                <w:rFonts w:ascii="Verdana" w:eastAsia="Verdana" w:hAnsi="Verdana" w:cs="Arial"/>
                <w:color w:val="000000" w:themeColor="text1"/>
                <w:sz w:val="18"/>
                <w:szCs w:val="18"/>
              </w:rPr>
              <w:t>5</w:t>
            </w:r>
          </w:p>
        </w:tc>
      </w:tr>
      <w:tr w:rsidR="33167E86" w:rsidRPr="00AB06F3" w14:paraId="19109410" w14:textId="77777777" w:rsidTr="00A922DA">
        <w:trPr>
          <w:trHeight w:val="300"/>
        </w:trPr>
        <w:tc>
          <w:tcPr>
            <w:cnfStyle w:val="001000000000" w:firstRow="0" w:lastRow="0" w:firstColumn="1" w:lastColumn="0" w:oddVBand="0" w:evenVBand="0" w:oddHBand="0" w:evenHBand="0" w:firstRowFirstColumn="0" w:firstRowLastColumn="0" w:lastRowFirstColumn="0" w:lastRowLastColumn="0"/>
            <w:tcW w:w="3818" w:type="dxa"/>
            <w:tcMar>
              <w:left w:w="108" w:type="dxa"/>
              <w:right w:w="108" w:type="dxa"/>
            </w:tcMar>
            <w:vAlign w:val="center"/>
          </w:tcPr>
          <w:p w14:paraId="15F48508" w14:textId="3FC50ED8" w:rsidR="33167E86" w:rsidRPr="00AB06F3" w:rsidRDefault="33167E86" w:rsidP="00C25586">
            <w:pPr>
              <w:spacing w:line="276" w:lineRule="auto"/>
              <w:jc w:val="center"/>
              <w:rPr>
                <w:rFonts w:ascii="Verdana" w:hAnsi="Verdana" w:cs="Arial"/>
              </w:rPr>
            </w:pPr>
            <w:r w:rsidRPr="00AB06F3">
              <w:rPr>
                <w:rFonts w:ascii="Verdana" w:eastAsia="Verdana" w:hAnsi="Verdana" w:cs="Arial"/>
                <w:b w:val="0"/>
                <w:bCs w:val="0"/>
                <w:sz w:val="18"/>
                <w:szCs w:val="18"/>
              </w:rPr>
              <w:t>C.427 Consejos territoriales de Reincorporación creados y en funcionamiento</w:t>
            </w:r>
          </w:p>
        </w:tc>
        <w:tc>
          <w:tcPr>
            <w:tcW w:w="1344" w:type="dxa"/>
            <w:tcMar>
              <w:left w:w="108" w:type="dxa"/>
              <w:right w:w="108" w:type="dxa"/>
            </w:tcMar>
            <w:vAlign w:val="center"/>
          </w:tcPr>
          <w:p w14:paraId="4F489792" w14:textId="75087B1A"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24" w:type="dxa"/>
            <w:shd w:val="clear" w:color="auto" w:fill="FFFFFF" w:themeFill="background1"/>
            <w:tcMar>
              <w:left w:w="108" w:type="dxa"/>
              <w:right w:w="108" w:type="dxa"/>
            </w:tcMar>
            <w:vAlign w:val="center"/>
          </w:tcPr>
          <w:p w14:paraId="2EEFFCE6" w14:textId="1CB0856F"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24" w:type="dxa"/>
            <w:shd w:val="clear" w:color="auto" w:fill="FFFFFF" w:themeFill="background1"/>
            <w:tcMar>
              <w:left w:w="108" w:type="dxa"/>
              <w:right w:w="108" w:type="dxa"/>
            </w:tcMar>
            <w:vAlign w:val="center"/>
          </w:tcPr>
          <w:p w14:paraId="4B948A8D" w14:textId="6A352269" w:rsidR="33167E86" w:rsidRPr="00AB06F3" w:rsidRDefault="6041069D"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2017</w:t>
            </w:r>
          </w:p>
        </w:tc>
        <w:tc>
          <w:tcPr>
            <w:tcW w:w="1224" w:type="dxa"/>
            <w:tcMar>
              <w:left w:w="108" w:type="dxa"/>
              <w:right w:w="108" w:type="dxa"/>
            </w:tcMar>
          </w:tcPr>
          <w:p w14:paraId="1AFFEB23" w14:textId="67C683C3" w:rsidR="33167E86" w:rsidRPr="00AB06F3" w:rsidRDefault="33167E8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 xml:space="preserve"> </w:t>
            </w:r>
          </w:p>
          <w:p w14:paraId="7FCEB1F4" w14:textId="3710F98D" w:rsidR="33167E86" w:rsidRPr="00AB06F3" w:rsidRDefault="002F158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67</w:t>
            </w:r>
            <w:r w:rsidR="33167E86" w:rsidRPr="00AB06F3">
              <w:rPr>
                <w:rFonts w:ascii="Verdana" w:eastAsia="Verdana" w:hAnsi="Verdana" w:cs="Arial"/>
                <w:color w:val="000000" w:themeColor="text1"/>
                <w:sz w:val="18"/>
                <w:szCs w:val="18"/>
              </w:rPr>
              <w:t xml:space="preserve">% </w:t>
            </w:r>
          </w:p>
        </w:tc>
      </w:tr>
    </w:tbl>
    <w:p w14:paraId="3E5F5D4A"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295BC9D" w14:textId="77777777" w:rsidR="00F54279" w:rsidRPr="00AB06F3" w:rsidRDefault="00F54279" w:rsidP="00C25586">
      <w:pPr>
        <w:spacing w:after="0" w:line="276" w:lineRule="auto"/>
        <w:jc w:val="center"/>
        <w:rPr>
          <w:rFonts w:ascii="Verdana" w:hAnsi="Verdana" w:cs="Arial"/>
        </w:rPr>
      </w:pPr>
    </w:p>
    <w:p w14:paraId="37744D6C" w14:textId="44BFC83B" w:rsidR="00B709EF" w:rsidRPr="00AB06F3" w:rsidRDefault="5EF871B5"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a)</w:t>
      </w:r>
      <w:r w:rsidR="000C63D0" w:rsidRPr="00AB06F3">
        <w:rPr>
          <w:rFonts w:ascii="Verdana" w:eastAsia="Verdana" w:hAnsi="Verdana" w:cs="Arial"/>
          <w:color w:val="000000" w:themeColor="text1"/>
          <w:sz w:val="24"/>
          <w:szCs w:val="24"/>
        </w:rPr>
        <w:t xml:space="preserve"> ¿</w:t>
      </w:r>
      <w:r w:rsidRPr="00AB06F3">
        <w:rPr>
          <w:rFonts w:ascii="Verdana" w:eastAsia="Verdana" w:hAnsi="Verdana" w:cs="Arial"/>
          <w:color w:val="000000" w:themeColor="text1"/>
          <w:sz w:val="24"/>
          <w:szCs w:val="24"/>
        </w:rPr>
        <w:t xml:space="preserve">Cómo lo hicimos y con qué recursos?  </w:t>
      </w:r>
      <w:r w:rsidRPr="00AB06F3">
        <w:rPr>
          <w:rFonts w:ascii="Verdana" w:eastAsia="Calibri" w:hAnsi="Verdana" w:cs="Arial"/>
        </w:rPr>
        <w:t xml:space="preserve">   </w:t>
      </w:r>
    </w:p>
    <w:p w14:paraId="2493B679" w14:textId="77777777" w:rsidR="00F54279" w:rsidRDefault="00F54279" w:rsidP="00C25586">
      <w:pPr>
        <w:spacing w:after="0" w:line="276" w:lineRule="auto"/>
        <w:jc w:val="both"/>
        <w:rPr>
          <w:rFonts w:ascii="Verdana" w:eastAsia="Verdana" w:hAnsi="Verdana" w:cs="Arial"/>
          <w:color w:val="000000" w:themeColor="text1"/>
          <w:sz w:val="24"/>
          <w:szCs w:val="24"/>
        </w:rPr>
      </w:pPr>
    </w:p>
    <w:p w14:paraId="5ECF5722" w14:textId="0D2AC6F3" w:rsidR="0009263C" w:rsidRDefault="0009263C" w:rsidP="00C401E4">
      <w:pPr>
        <w:spacing w:after="0" w:line="276" w:lineRule="auto"/>
        <w:jc w:val="both"/>
        <w:rPr>
          <w:rFonts w:ascii="Verdana" w:eastAsia="Verdana" w:hAnsi="Verdana" w:cs="Arial"/>
          <w:color w:val="000000" w:themeColor="text1"/>
          <w:sz w:val="24"/>
          <w:szCs w:val="24"/>
        </w:rPr>
      </w:pPr>
      <w:r w:rsidRPr="0009263C">
        <w:rPr>
          <w:rFonts w:ascii="Verdana" w:eastAsia="Verdana" w:hAnsi="Verdana" w:cs="Arial"/>
          <w:color w:val="000000" w:themeColor="text1"/>
          <w:sz w:val="24"/>
          <w:szCs w:val="24"/>
        </w:rPr>
        <w:t xml:space="preserve">Desde el 18 de septiembre de 2017 hasta el 31 de diciembre de 2025 se instalaron 25 </w:t>
      </w:r>
      <w:r w:rsidR="00DA7345" w:rsidRPr="00DA7345">
        <w:rPr>
          <w:rFonts w:ascii="Verdana" w:eastAsia="Verdana" w:hAnsi="Verdana" w:cs="Arial"/>
          <w:color w:val="000000" w:themeColor="text1"/>
          <w:sz w:val="24"/>
          <w:szCs w:val="24"/>
        </w:rPr>
        <w:t>Consejos Territoriales de Reincorporación (CTR). De estos, 15 se encuentran en funcionamiento, 8 se han transformado en mesas municipales y 2 se encuentran cerrados.</w:t>
      </w:r>
    </w:p>
    <w:p w14:paraId="0868B885" w14:textId="77777777" w:rsidR="0009263C" w:rsidRDefault="0009263C" w:rsidP="00C401E4">
      <w:pPr>
        <w:spacing w:after="0" w:line="276" w:lineRule="auto"/>
        <w:jc w:val="both"/>
        <w:rPr>
          <w:rFonts w:ascii="Verdana" w:eastAsia="Verdana" w:hAnsi="Verdana" w:cs="Arial"/>
          <w:color w:val="000000" w:themeColor="text1"/>
          <w:sz w:val="24"/>
          <w:szCs w:val="24"/>
        </w:rPr>
      </w:pPr>
    </w:p>
    <w:p w14:paraId="7807DFAD" w14:textId="2EDABD36" w:rsidR="00F54279" w:rsidRPr="00F54279" w:rsidRDefault="00410B93" w:rsidP="00C401E4">
      <w:pPr>
        <w:spacing w:after="0" w:line="276" w:lineRule="auto"/>
        <w:jc w:val="both"/>
        <w:rPr>
          <w:rFonts w:ascii="Verdana" w:eastAsia="Verdana" w:hAnsi="Verdana" w:cs="Arial"/>
          <w:color w:val="000000" w:themeColor="text1"/>
          <w:sz w:val="24"/>
          <w:szCs w:val="24"/>
        </w:rPr>
      </w:pPr>
      <w:r w:rsidRPr="00152442">
        <w:rPr>
          <w:rFonts w:ascii="Verdana" w:eastAsia="Calibri" w:hAnsi="Verdana" w:cs="Arial"/>
          <w:sz w:val="24"/>
          <w:szCs w:val="24"/>
        </w:rPr>
        <w:t>Al cierre de 2025,</w:t>
      </w:r>
      <w:r w:rsidRPr="00152442">
        <w:rPr>
          <w:rFonts w:ascii="Verdana" w:eastAsia="Times New Roman" w:hAnsi="Verdana" w:cs="Times New Roman"/>
          <w:kern w:val="0"/>
          <w:sz w:val="24"/>
          <w:szCs w:val="24"/>
          <w:lang w:eastAsia="es-CO"/>
          <w14:ligatures w14:val="none"/>
        </w:rPr>
        <w:t xml:space="preserve"> </w:t>
      </w:r>
      <w:r>
        <w:rPr>
          <w:rFonts w:ascii="Verdana" w:eastAsia="Times New Roman" w:hAnsi="Verdana" w:cs="Times New Roman"/>
          <w:kern w:val="0"/>
          <w:sz w:val="24"/>
          <w:szCs w:val="24"/>
          <w:lang w:eastAsia="es-CO"/>
          <w14:ligatures w14:val="none"/>
        </w:rPr>
        <w:t>d</w:t>
      </w:r>
      <w:r w:rsidR="00F54279" w:rsidRPr="00F54279">
        <w:rPr>
          <w:rFonts w:ascii="Verdana" w:eastAsia="Verdana" w:hAnsi="Verdana" w:cs="Arial"/>
          <w:color w:val="000000" w:themeColor="text1"/>
          <w:sz w:val="24"/>
          <w:szCs w:val="24"/>
        </w:rPr>
        <w:t xml:space="preserve">e los </w:t>
      </w:r>
      <w:r w:rsidR="00B1072B">
        <w:rPr>
          <w:rFonts w:ascii="Verdana" w:eastAsia="Verdana" w:hAnsi="Verdana" w:cs="Arial"/>
          <w:color w:val="000000" w:themeColor="text1"/>
          <w:sz w:val="24"/>
          <w:szCs w:val="24"/>
        </w:rPr>
        <w:t>1</w:t>
      </w:r>
      <w:r w:rsidR="00F54279" w:rsidRPr="00F54279">
        <w:rPr>
          <w:rFonts w:ascii="Verdana" w:eastAsia="Verdana" w:hAnsi="Verdana" w:cs="Arial"/>
          <w:color w:val="000000" w:themeColor="text1"/>
          <w:sz w:val="24"/>
          <w:szCs w:val="24"/>
        </w:rPr>
        <w:t>5 C</w:t>
      </w:r>
      <w:r w:rsidR="009775AE">
        <w:rPr>
          <w:rFonts w:ascii="Verdana" w:eastAsia="Verdana" w:hAnsi="Verdana" w:cs="Arial"/>
          <w:color w:val="000000" w:themeColor="text1"/>
          <w:sz w:val="24"/>
          <w:szCs w:val="24"/>
        </w:rPr>
        <w:t xml:space="preserve">TR </w:t>
      </w:r>
      <w:r w:rsidR="00F54279" w:rsidRPr="00F54279">
        <w:rPr>
          <w:rFonts w:ascii="Verdana" w:eastAsia="Verdana" w:hAnsi="Verdana" w:cs="Arial"/>
          <w:color w:val="000000" w:themeColor="text1"/>
          <w:sz w:val="24"/>
          <w:szCs w:val="24"/>
        </w:rPr>
        <w:t xml:space="preserve">instalados, </w:t>
      </w:r>
      <w:r w:rsidR="00137B33">
        <w:rPr>
          <w:rFonts w:ascii="Verdana" w:eastAsia="Verdana" w:hAnsi="Verdana" w:cs="Arial"/>
          <w:color w:val="000000" w:themeColor="text1"/>
          <w:sz w:val="24"/>
          <w:szCs w:val="24"/>
        </w:rPr>
        <w:t>1</w:t>
      </w:r>
      <w:r w:rsidR="00F54279" w:rsidRPr="00F54279">
        <w:rPr>
          <w:rFonts w:ascii="Verdana" w:eastAsia="Verdana" w:hAnsi="Verdana" w:cs="Arial"/>
          <w:color w:val="000000" w:themeColor="text1"/>
          <w:sz w:val="24"/>
          <w:szCs w:val="24"/>
        </w:rPr>
        <w:t xml:space="preserve">0 </w:t>
      </w:r>
      <w:r w:rsidR="00204E1B" w:rsidRPr="00204E1B">
        <w:rPr>
          <w:rFonts w:ascii="Verdana" w:eastAsia="Verdana" w:hAnsi="Verdana" w:cs="Arial"/>
          <w:color w:val="000000" w:themeColor="text1"/>
          <w:sz w:val="24"/>
          <w:szCs w:val="24"/>
        </w:rPr>
        <w:t xml:space="preserve">sesionaron en </w:t>
      </w:r>
      <w:r w:rsidR="003C4C02">
        <w:rPr>
          <w:rFonts w:ascii="Verdana" w:eastAsia="Verdana" w:hAnsi="Verdana" w:cs="Arial"/>
          <w:color w:val="000000" w:themeColor="text1"/>
          <w:sz w:val="24"/>
          <w:szCs w:val="24"/>
        </w:rPr>
        <w:t>36</w:t>
      </w:r>
      <w:r w:rsidR="00204E1B" w:rsidRPr="00204E1B">
        <w:rPr>
          <w:rFonts w:ascii="Verdana" w:eastAsia="Verdana" w:hAnsi="Verdana" w:cs="Arial"/>
          <w:color w:val="000000" w:themeColor="text1"/>
          <w:sz w:val="24"/>
          <w:szCs w:val="24"/>
        </w:rPr>
        <w:t xml:space="preserve"> oportunidades </w:t>
      </w:r>
      <w:r w:rsidR="00373DBA">
        <w:rPr>
          <w:rFonts w:ascii="Verdana" w:eastAsia="Verdana" w:hAnsi="Verdana" w:cs="Arial"/>
          <w:color w:val="000000" w:themeColor="text1"/>
          <w:sz w:val="24"/>
          <w:szCs w:val="24"/>
        </w:rPr>
        <w:t>y se mantuvieron activos</w:t>
      </w:r>
      <w:r w:rsidR="00F54279" w:rsidRPr="00F54279">
        <w:rPr>
          <w:rFonts w:ascii="Verdana" w:eastAsia="Verdana" w:hAnsi="Verdana" w:cs="Arial"/>
          <w:color w:val="000000" w:themeColor="text1"/>
          <w:sz w:val="24"/>
          <w:szCs w:val="24"/>
        </w:rPr>
        <w:t xml:space="preserve">. </w:t>
      </w:r>
      <w:r w:rsidR="00373DBA">
        <w:rPr>
          <w:rFonts w:ascii="Verdana" w:eastAsia="Verdana" w:hAnsi="Verdana" w:cs="Arial"/>
          <w:color w:val="000000" w:themeColor="text1"/>
          <w:sz w:val="24"/>
          <w:szCs w:val="24"/>
        </w:rPr>
        <w:t>Durante la vigencia</w:t>
      </w:r>
      <w:r w:rsidR="001A434B">
        <w:rPr>
          <w:rFonts w:ascii="Verdana" w:eastAsia="Verdana" w:hAnsi="Verdana" w:cs="Arial"/>
          <w:color w:val="000000" w:themeColor="text1"/>
          <w:sz w:val="24"/>
          <w:szCs w:val="24"/>
        </w:rPr>
        <w:t xml:space="preserve">, dos </w:t>
      </w:r>
      <w:r w:rsidR="00114EEA" w:rsidRPr="00114EEA">
        <w:rPr>
          <w:rFonts w:ascii="Verdana" w:eastAsia="Verdana" w:hAnsi="Verdana" w:cs="Arial"/>
          <w:color w:val="000000" w:themeColor="text1"/>
          <w:sz w:val="24"/>
          <w:szCs w:val="24"/>
        </w:rPr>
        <w:t xml:space="preserve">CTR (Charras y Colinas) </w:t>
      </w:r>
      <w:r w:rsidR="00114EEA">
        <w:rPr>
          <w:rFonts w:ascii="Verdana" w:eastAsia="Verdana" w:hAnsi="Verdana" w:cs="Arial"/>
          <w:color w:val="000000" w:themeColor="text1"/>
          <w:sz w:val="24"/>
          <w:szCs w:val="24"/>
        </w:rPr>
        <w:t xml:space="preserve">se transformaron </w:t>
      </w:r>
      <w:r w:rsidR="00114EEA" w:rsidRPr="00114EEA">
        <w:rPr>
          <w:rFonts w:ascii="Verdana" w:eastAsia="Verdana" w:hAnsi="Verdana" w:cs="Arial"/>
          <w:color w:val="000000" w:themeColor="text1"/>
          <w:sz w:val="24"/>
          <w:szCs w:val="24"/>
        </w:rPr>
        <w:t>en una mesa municipal en San José del Guaviare</w:t>
      </w:r>
      <w:r w:rsidR="00F54279" w:rsidRPr="00F54279">
        <w:rPr>
          <w:rFonts w:ascii="Verdana" w:eastAsia="Verdana" w:hAnsi="Verdana" w:cs="Arial"/>
          <w:color w:val="000000" w:themeColor="text1"/>
          <w:sz w:val="24"/>
          <w:szCs w:val="24"/>
        </w:rPr>
        <w:t>.</w:t>
      </w:r>
      <w:r w:rsidR="00F54279">
        <w:rPr>
          <w:rFonts w:ascii="Verdana" w:eastAsia="Verdana" w:hAnsi="Verdana" w:cs="Arial"/>
          <w:color w:val="000000" w:themeColor="text1"/>
          <w:sz w:val="24"/>
          <w:szCs w:val="24"/>
        </w:rPr>
        <w:t xml:space="preserve"> </w:t>
      </w:r>
    </w:p>
    <w:p w14:paraId="54289985" w14:textId="77777777" w:rsidR="00F54279" w:rsidRDefault="00F54279" w:rsidP="00C401E4">
      <w:pPr>
        <w:spacing w:after="0" w:line="276" w:lineRule="auto"/>
        <w:jc w:val="both"/>
        <w:rPr>
          <w:rFonts w:ascii="Verdana" w:eastAsia="Verdana" w:hAnsi="Verdana" w:cs="Arial"/>
          <w:color w:val="000000" w:themeColor="text1"/>
          <w:sz w:val="24"/>
          <w:szCs w:val="24"/>
        </w:rPr>
      </w:pPr>
    </w:p>
    <w:p w14:paraId="3D0B1649" w14:textId="605E6BAF" w:rsidR="005106AA" w:rsidRPr="005106AA" w:rsidRDefault="000D3998" w:rsidP="00C401E4">
      <w:pPr>
        <w:spacing w:after="0" w:line="276" w:lineRule="auto"/>
        <w:jc w:val="both"/>
        <w:rPr>
          <w:rFonts w:ascii="Verdana" w:eastAsia="Verdana" w:hAnsi="Verdana" w:cs="Arial"/>
          <w:color w:val="000000" w:themeColor="text1"/>
          <w:sz w:val="24"/>
          <w:szCs w:val="24"/>
        </w:rPr>
      </w:pPr>
      <w:r>
        <w:rPr>
          <w:rFonts w:ascii="Verdana" w:eastAsia="Verdana" w:hAnsi="Verdana" w:cs="Arial"/>
          <w:color w:val="000000" w:themeColor="text1"/>
          <w:sz w:val="24"/>
          <w:szCs w:val="24"/>
        </w:rPr>
        <w:t>L</w:t>
      </w:r>
      <w:r w:rsidR="001A434B">
        <w:rPr>
          <w:rFonts w:ascii="Verdana" w:eastAsia="Verdana" w:hAnsi="Verdana" w:cs="Arial"/>
          <w:color w:val="000000" w:themeColor="text1"/>
          <w:sz w:val="24"/>
          <w:szCs w:val="24"/>
        </w:rPr>
        <w:t xml:space="preserve">as sesiones de los </w:t>
      </w:r>
      <w:r>
        <w:rPr>
          <w:rFonts w:ascii="Verdana" w:eastAsia="Verdana" w:hAnsi="Verdana" w:cs="Arial"/>
          <w:color w:val="000000" w:themeColor="text1"/>
          <w:sz w:val="24"/>
          <w:szCs w:val="24"/>
        </w:rPr>
        <w:t>1</w:t>
      </w:r>
      <w:r w:rsidRPr="00F54279">
        <w:rPr>
          <w:rFonts w:ascii="Verdana" w:eastAsia="Verdana" w:hAnsi="Verdana" w:cs="Arial"/>
          <w:color w:val="000000" w:themeColor="text1"/>
          <w:sz w:val="24"/>
          <w:szCs w:val="24"/>
        </w:rPr>
        <w:t xml:space="preserve">0 </w:t>
      </w:r>
      <w:r>
        <w:rPr>
          <w:rFonts w:ascii="Verdana" w:eastAsia="Verdana" w:hAnsi="Verdana" w:cs="Arial"/>
          <w:color w:val="000000" w:themeColor="text1"/>
          <w:sz w:val="24"/>
          <w:szCs w:val="24"/>
        </w:rPr>
        <w:t xml:space="preserve">CTR </w:t>
      </w:r>
      <w:r w:rsidR="001A434B">
        <w:rPr>
          <w:rFonts w:ascii="Verdana" w:eastAsia="Verdana" w:hAnsi="Verdana" w:cs="Arial"/>
          <w:color w:val="000000" w:themeColor="text1"/>
          <w:sz w:val="24"/>
          <w:szCs w:val="24"/>
        </w:rPr>
        <w:t xml:space="preserve">permitieron </w:t>
      </w:r>
      <w:r w:rsidR="005106AA" w:rsidRPr="005106AA">
        <w:rPr>
          <w:rFonts w:ascii="Verdana" w:eastAsia="Verdana" w:hAnsi="Verdana" w:cs="Arial"/>
          <w:color w:val="000000" w:themeColor="text1"/>
          <w:sz w:val="24"/>
          <w:szCs w:val="24"/>
        </w:rPr>
        <w:t>avan</w:t>
      </w:r>
      <w:r w:rsidR="008B4ACE">
        <w:rPr>
          <w:rFonts w:ascii="Verdana" w:eastAsia="Verdana" w:hAnsi="Verdana" w:cs="Arial"/>
          <w:color w:val="000000" w:themeColor="text1"/>
          <w:sz w:val="24"/>
          <w:szCs w:val="24"/>
        </w:rPr>
        <w:t>z</w:t>
      </w:r>
      <w:r w:rsidR="001A434B">
        <w:rPr>
          <w:rFonts w:ascii="Verdana" w:eastAsia="Verdana" w:hAnsi="Verdana" w:cs="Arial"/>
          <w:color w:val="000000" w:themeColor="text1"/>
          <w:sz w:val="24"/>
          <w:szCs w:val="24"/>
        </w:rPr>
        <w:t xml:space="preserve">ar </w:t>
      </w:r>
      <w:r w:rsidR="005106AA" w:rsidRPr="005106AA">
        <w:rPr>
          <w:rFonts w:ascii="Verdana" w:eastAsia="Verdana" w:hAnsi="Verdana" w:cs="Arial"/>
          <w:color w:val="000000" w:themeColor="text1"/>
          <w:sz w:val="24"/>
          <w:szCs w:val="24"/>
        </w:rPr>
        <w:t>en la formulación de planes de acción</w:t>
      </w:r>
      <w:r w:rsidR="001A434B">
        <w:rPr>
          <w:rFonts w:ascii="Verdana" w:eastAsia="Verdana" w:hAnsi="Verdana" w:cs="Arial"/>
          <w:color w:val="000000" w:themeColor="text1"/>
          <w:sz w:val="24"/>
          <w:szCs w:val="24"/>
        </w:rPr>
        <w:t>,</w:t>
      </w:r>
      <w:r w:rsidR="005106AA" w:rsidRPr="005106AA">
        <w:rPr>
          <w:rFonts w:ascii="Verdana" w:eastAsia="Verdana" w:hAnsi="Verdana" w:cs="Arial"/>
          <w:color w:val="000000" w:themeColor="text1"/>
          <w:sz w:val="24"/>
          <w:szCs w:val="24"/>
        </w:rPr>
        <w:t xml:space="preserve"> fortalecimiento </w:t>
      </w:r>
      <w:r w:rsidR="001A434B">
        <w:rPr>
          <w:rFonts w:ascii="Verdana" w:eastAsia="Verdana" w:hAnsi="Verdana" w:cs="Arial"/>
          <w:color w:val="000000" w:themeColor="text1"/>
          <w:sz w:val="24"/>
          <w:szCs w:val="24"/>
        </w:rPr>
        <w:t xml:space="preserve">de </w:t>
      </w:r>
      <w:r w:rsidR="005106AA" w:rsidRPr="005106AA">
        <w:rPr>
          <w:rFonts w:ascii="Verdana" w:eastAsia="Verdana" w:hAnsi="Verdana" w:cs="Arial"/>
          <w:color w:val="000000" w:themeColor="text1"/>
          <w:sz w:val="24"/>
          <w:szCs w:val="24"/>
        </w:rPr>
        <w:t>proyectos colectivos</w:t>
      </w:r>
      <w:r w:rsidR="001A434B">
        <w:rPr>
          <w:rFonts w:ascii="Verdana" w:eastAsia="Verdana" w:hAnsi="Verdana" w:cs="Arial"/>
          <w:color w:val="000000" w:themeColor="text1"/>
          <w:sz w:val="24"/>
          <w:szCs w:val="24"/>
        </w:rPr>
        <w:t xml:space="preserve">, la </w:t>
      </w:r>
      <w:r w:rsidR="005106AA" w:rsidRPr="005106AA">
        <w:rPr>
          <w:rFonts w:ascii="Verdana" w:eastAsia="Verdana" w:hAnsi="Verdana" w:cs="Arial"/>
          <w:color w:val="000000" w:themeColor="text1"/>
          <w:sz w:val="24"/>
          <w:szCs w:val="24"/>
        </w:rPr>
        <w:t xml:space="preserve">socialización de los avances en la priorización de acciones en los planes individuales de reincorporación y </w:t>
      </w:r>
      <w:r w:rsidR="001A434B">
        <w:rPr>
          <w:rFonts w:ascii="Verdana" w:eastAsia="Verdana" w:hAnsi="Verdana" w:cs="Arial"/>
          <w:color w:val="000000" w:themeColor="text1"/>
          <w:sz w:val="24"/>
          <w:szCs w:val="24"/>
        </w:rPr>
        <w:t xml:space="preserve">el desarrollo de </w:t>
      </w:r>
      <w:r w:rsidR="005106AA" w:rsidRPr="005106AA">
        <w:rPr>
          <w:rFonts w:ascii="Verdana" w:eastAsia="Verdana" w:hAnsi="Verdana" w:cs="Arial"/>
          <w:color w:val="000000" w:themeColor="text1"/>
          <w:sz w:val="24"/>
          <w:szCs w:val="24"/>
        </w:rPr>
        <w:t xml:space="preserve">procesos de formación en participación política y electoral. </w:t>
      </w:r>
    </w:p>
    <w:p w14:paraId="6D62C12A" w14:textId="77777777" w:rsidR="005106AA" w:rsidRDefault="005106AA" w:rsidP="00C401E4">
      <w:pPr>
        <w:spacing w:after="0" w:line="276" w:lineRule="auto"/>
        <w:jc w:val="both"/>
        <w:rPr>
          <w:rFonts w:ascii="Verdana" w:eastAsia="Verdana" w:hAnsi="Verdana" w:cs="Arial"/>
          <w:color w:val="000000" w:themeColor="text1"/>
          <w:sz w:val="24"/>
          <w:szCs w:val="24"/>
        </w:rPr>
      </w:pPr>
    </w:p>
    <w:p w14:paraId="571C2F1E" w14:textId="125E8FD1" w:rsidR="00C678B9" w:rsidRDefault="001A434B" w:rsidP="005106AA">
      <w:pPr>
        <w:spacing w:after="0" w:line="276" w:lineRule="auto"/>
        <w:jc w:val="both"/>
        <w:rPr>
          <w:rFonts w:ascii="Verdana" w:eastAsia="Verdana" w:hAnsi="Verdana" w:cs="Arial"/>
          <w:color w:val="000000" w:themeColor="text1"/>
          <w:sz w:val="24"/>
          <w:szCs w:val="24"/>
        </w:rPr>
      </w:pPr>
      <w:r>
        <w:rPr>
          <w:rFonts w:ascii="Verdana" w:eastAsia="Verdana" w:hAnsi="Verdana" w:cs="Arial"/>
          <w:color w:val="000000" w:themeColor="text1"/>
          <w:sz w:val="24"/>
          <w:szCs w:val="24"/>
        </w:rPr>
        <w:t>Entre los principales avances se destacan</w:t>
      </w:r>
      <w:r w:rsidR="00D26D8F">
        <w:rPr>
          <w:rFonts w:ascii="Verdana" w:eastAsia="Verdana" w:hAnsi="Verdana" w:cs="Arial"/>
          <w:color w:val="000000" w:themeColor="text1"/>
          <w:sz w:val="24"/>
          <w:szCs w:val="24"/>
        </w:rPr>
        <w:t xml:space="preserve">: </w:t>
      </w:r>
    </w:p>
    <w:p w14:paraId="2B475AA3" w14:textId="77777777" w:rsidR="00D26D8F" w:rsidRPr="005106AA" w:rsidRDefault="00D26D8F" w:rsidP="005106AA">
      <w:pPr>
        <w:spacing w:after="0" w:line="276" w:lineRule="auto"/>
        <w:jc w:val="both"/>
        <w:rPr>
          <w:rFonts w:ascii="Verdana" w:eastAsia="Verdana" w:hAnsi="Verdana" w:cs="Arial"/>
          <w:color w:val="000000" w:themeColor="text1"/>
          <w:sz w:val="24"/>
          <w:szCs w:val="24"/>
        </w:rPr>
      </w:pPr>
    </w:p>
    <w:p w14:paraId="5DF6AF2C" w14:textId="77777777" w:rsidR="004A2384" w:rsidRDefault="005106AA" w:rsidP="00C401E4">
      <w:pPr>
        <w:pStyle w:val="Prrafodelista"/>
        <w:numPr>
          <w:ilvl w:val="0"/>
          <w:numId w:val="14"/>
        </w:numPr>
        <w:spacing w:after="0" w:line="276" w:lineRule="auto"/>
        <w:jc w:val="both"/>
        <w:rPr>
          <w:rFonts w:ascii="Verdana" w:eastAsia="Verdana" w:hAnsi="Verdana" w:cs="Arial"/>
          <w:color w:val="000000" w:themeColor="text1"/>
          <w:sz w:val="24"/>
          <w:szCs w:val="24"/>
        </w:rPr>
      </w:pPr>
      <w:r w:rsidRPr="004A2384">
        <w:rPr>
          <w:rFonts w:ascii="Verdana" w:eastAsia="Verdana" w:hAnsi="Verdana" w:cs="Arial"/>
          <w:b/>
          <w:bCs/>
          <w:color w:val="000000" w:themeColor="text1"/>
          <w:sz w:val="24"/>
          <w:szCs w:val="24"/>
        </w:rPr>
        <w:t>CTR Remedios:</w:t>
      </w:r>
      <w:r w:rsidRPr="004A2384">
        <w:rPr>
          <w:rFonts w:ascii="Verdana" w:eastAsia="Verdana" w:hAnsi="Verdana" w:cs="Arial"/>
          <w:color w:val="000000" w:themeColor="text1"/>
          <w:sz w:val="24"/>
          <w:szCs w:val="24"/>
        </w:rPr>
        <w:t xml:space="preserve"> </w:t>
      </w:r>
      <w:r w:rsidR="004A2384" w:rsidRPr="004A2384">
        <w:rPr>
          <w:rFonts w:ascii="Verdana" w:eastAsia="Verdana" w:hAnsi="Verdana" w:cs="Arial"/>
          <w:color w:val="000000" w:themeColor="text1"/>
          <w:sz w:val="24"/>
          <w:szCs w:val="24"/>
        </w:rPr>
        <w:t xml:space="preserve">Priorización de acciones para el mejoramiento de condiciones en el predio El Viento, particularmente en temas de vivienda (adecuaciones), salud (traslados y atención), educación para hijos de firmantes, seguridad y fortalecimiento del relacionamiento con la comunidad de Yalí y la Junta de Acción Comunal de San Pedrito. Asimismo, se destacó la articulación institucional para la realización del Festival </w:t>
      </w:r>
      <w:r w:rsidR="004A2384" w:rsidRPr="004A2384">
        <w:rPr>
          <w:rFonts w:ascii="Verdana" w:eastAsia="Verdana" w:hAnsi="Verdana" w:cs="Arial"/>
          <w:i/>
          <w:iCs/>
          <w:color w:val="000000" w:themeColor="text1"/>
          <w:sz w:val="24"/>
          <w:szCs w:val="24"/>
        </w:rPr>
        <w:t>Al Compaz de lo Público</w:t>
      </w:r>
      <w:r w:rsidR="004A2384" w:rsidRPr="004A2384">
        <w:rPr>
          <w:rFonts w:ascii="Verdana" w:eastAsia="Verdana" w:hAnsi="Verdana" w:cs="Arial"/>
          <w:color w:val="000000" w:themeColor="text1"/>
          <w:sz w:val="24"/>
          <w:szCs w:val="24"/>
        </w:rPr>
        <w:t>, llevado a cabo los días 3 y 4 de octubre.</w:t>
      </w:r>
    </w:p>
    <w:p w14:paraId="1623D34A" w14:textId="77777777" w:rsidR="004A2384" w:rsidRDefault="005106AA" w:rsidP="00C401E4">
      <w:pPr>
        <w:pStyle w:val="Prrafodelista"/>
        <w:numPr>
          <w:ilvl w:val="0"/>
          <w:numId w:val="14"/>
        </w:numPr>
        <w:spacing w:after="0" w:line="276" w:lineRule="auto"/>
        <w:jc w:val="both"/>
        <w:rPr>
          <w:rFonts w:ascii="Verdana" w:eastAsia="Verdana" w:hAnsi="Verdana" w:cs="Arial"/>
          <w:color w:val="000000" w:themeColor="text1"/>
          <w:sz w:val="24"/>
          <w:szCs w:val="24"/>
        </w:rPr>
      </w:pPr>
      <w:r w:rsidRPr="004A2384">
        <w:rPr>
          <w:rFonts w:ascii="Verdana" w:eastAsia="Verdana" w:hAnsi="Verdana" w:cs="Arial"/>
          <w:b/>
          <w:bCs/>
          <w:color w:val="000000" w:themeColor="text1"/>
          <w:sz w:val="24"/>
          <w:szCs w:val="24"/>
        </w:rPr>
        <w:t>CTR Anorí:</w:t>
      </w:r>
      <w:r w:rsidRPr="004A2384">
        <w:rPr>
          <w:rFonts w:ascii="Verdana" w:eastAsia="Verdana" w:hAnsi="Verdana" w:cs="Arial"/>
          <w:color w:val="000000" w:themeColor="text1"/>
          <w:sz w:val="24"/>
          <w:szCs w:val="24"/>
        </w:rPr>
        <w:t xml:space="preserve"> </w:t>
      </w:r>
      <w:r w:rsidR="004A2384" w:rsidRPr="004A2384">
        <w:rPr>
          <w:rFonts w:ascii="Verdana" w:eastAsia="Verdana" w:hAnsi="Verdana" w:cs="Arial"/>
          <w:color w:val="000000" w:themeColor="text1"/>
          <w:sz w:val="24"/>
          <w:szCs w:val="24"/>
        </w:rPr>
        <w:t>Implementación de estrategias para el fortalecimiento de proyectos colectivos e iniciativas autogestionadas por firmantes, tales como producción apícola, elaboración de esencias y jabones (grupo de mujeres), confecciones y marroquinería La Montaña y el proyecto Eco Ladrillera.</w:t>
      </w:r>
    </w:p>
    <w:p w14:paraId="15959425" w14:textId="09BC6016" w:rsidR="00D03CE7" w:rsidRPr="004A2384" w:rsidRDefault="005106AA" w:rsidP="00C401E4">
      <w:pPr>
        <w:pStyle w:val="Prrafodelista"/>
        <w:numPr>
          <w:ilvl w:val="0"/>
          <w:numId w:val="14"/>
        </w:numPr>
        <w:spacing w:after="0" w:line="276" w:lineRule="auto"/>
        <w:jc w:val="both"/>
        <w:rPr>
          <w:rFonts w:ascii="Verdana" w:eastAsia="Verdana" w:hAnsi="Verdana" w:cs="Arial"/>
          <w:color w:val="000000" w:themeColor="text1"/>
          <w:sz w:val="24"/>
          <w:szCs w:val="24"/>
        </w:rPr>
      </w:pPr>
      <w:r w:rsidRPr="004A2384">
        <w:rPr>
          <w:rFonts w:ascii="Verdana" w:eastAsia="Verdana" w:hAnsi="Verdana" w:cs="Arial"/>
          <w:b/>
          <w:bCs/>
          <w:color w:val="000000" w:themeColor="text1"/>
          <w:sz w:val="24"/>
          <w:szCs w:val="24"/>
        </w:rPr>
        <w:t>CTR Arauquita:</w:t>
      </w:r>
      <w:r w:rsidRPr="004A2384">
        <w:rPr>
          <w:rFonts w:ascii="Verdana" w:eastAsia="Verdana" w:hAnsi="Verdana" w:cs="Arial"/>
          <w:color w:val="000000" w:themeColor="text1"/>
          <w:sz w:val="24"/>
          <w:szCs w:val="24"/>
        </w:rPr>
        <w:t xml:space="preserve"> </w:t>
      </w:r>
      <w:r w:rsidR="00DA55C8" w:rsidRPr="00DA55C8">
        <w:rPr>
          <w:rFonts w:ascii="Verdana" w:eastAsia="Verdana" w:hAnsi="Verdana" w:cs="Arial"/>
          <w:color w:val="000000" w:themeColor="text1"/>
          <w:sz w:val="24"/>
          <w:szCs w:val="24"/>
        </w:rPr>
        <w:t>Desarrollo de estrategias de formación y acompañamiento para fortalecer capacidades de participación electoral, incluyendo capacitaciones lideradas por la Registraduría Nacional. Asimismo, se adelantaron procesos de formación en control social y veedurías ciudadanas en articulación con la Escuela Superior de Administración Pública (ESAP). En materia de infraestructura y desarrollo territorial, se avanzó en el proyecto de construcción de 187 viviendas para firmantes, en la formulación de un proyecto para la construcción de tres aulas y el mejoramiento de una batería sanitaria en la institución educativa local, así como en la articulación con la empresa de servicios públicos CUMARE S.A.E.S.P. y la alcaldía municipal de Tame para el mantenimiento de la planta de agua. Igualmente, se facilitó la postulación de 27 predios (1.526 hectáreas) en la ruta ARN–ANT y un predio de 298 hectáreas en la ruta ARN–SAE. Finalmente, se socializó el Convenio No. 2364-2025 entre el Fondo Colombia en Paz y el municipio de Arauquita para el fortalecimiento de la capacidad productiva mediante el acceso a activos productivos para pequeños productores de maíz en el AETCR Filipinas, beneficiando a 126 personas en proceso de reincorporación.</w:t>
      </w:r>
    </w:p>
    <w:p w14:paraId="49552D00" w14:textId="0811A3FB" w:rsidR="00C72367" w:rsidRDefault="005106AA" w:rsidP="00C401E4">
      <w:pPr>
        <w:pStyle w:val="Prrafodelista"/>
        <w:numPr>
          <w:ilvl w:val="0"/>
          <w:numId w:val="14"/>
        </w:numPr>
        <w:spacing w:after="0" w:line="276" w:lineRule="auto"/>
        <w:jc w:val="both"/>
        <w:rPr>
          <w:rFonts w:ascii="Verdana" w:eastAsia="Verdana" w:hAnsi="Verdana" w:cs="Arial"/>
          <w:color w:val="000000" w:themeColor="text1"/>
          <w:sz w:val="24"/>
          <w:szCs w:val="24"/>
        </w:rPr>
      </w:pPr>
      <w:r w:rsidRPr="00D03CE7">
        <w:rPr>
          <w:rFonts w:ascii="Verdana" w:eastAsia="Verdana" w:hAnsi="Verdana" w:cs="Arial"/>
          <w:b/>
          <w:bCs/>
          <w:color w:val="000000" w:themeColor="text1"/>
          <w:sz w:val="24"/>
          <w:szCs w:val="24"/>
        </w:rPr>
        <w:t>CTR Carmen del Darién:</w:t>
      </w:r>
      <w:r w:rsidRPr="00D03CE7">
        <w:rPr>
          <w:rFonts w:ascii="Verdana" w:eastAsia="Verdana" w:hAnsi="Verdana" w:cs="Arial"/>
          <w:color w:val="000000" w:themeColor="text1"/>
          <w:sz w:val="24"/>
          <w:szCs w:val="24"/>
        </w:rPr>
        <w:t xml:space="preserve"> </w:t>
      </w:r>
      <w:r w:rsidR="00DA55C8" w:rsidRPr="00DA55C8">
        <w:rPr>
          <w:rFonts w:ascii="Verdana" w:eastAsia="Verdana" w:hAnsi="Verdana" w:cs="Arial"/>
          <w:color w:val="000000" w:themeColor="text1"/>
          <w:sz w:val="24"/>
          <w:szCs w:val="24"/>
        </w:rPr>
        <w:t xml:space="preserve">Desarrollo de procesos de formación política mediante el diplomado en participación política, realizado en el marco del convenio entre la ARN y la Universidad de Antioquia. </w:t>
      </w:r>
      <w:r w:rsidR="00DA55C8" w:rsidRPr="00DA55C8">
        <w:rPr>
          <w:rFonts w:ascii="Verdana" w:eastAsia="Verdana" w:hAnsi="Verdana" w:cs="Arial"/>
          <w:color w:val="000000" w:themeColor="text1"/>
          <w:sz w:val="24"/>
          <w:szCs w:val="24"/>
        </w:rPr>
        <w:lastRenderedPageBreak/>
        <w:t>Este proceso incorporó enfoques diferenciales de género, discapacidad, curso de vida y territorialidad.</w:t>
      </w:r>
      <w:r w:rsidRPr="00D03CE7">
        <w:rPr>
          <w:rFonts w:ascii="Verdana" w:eastAsia="Verdana" w:hAnsi="Verdana" w:cs="Arial"/>
          <w:color w:val="000000" w:themeColor="text1"/>
          <w:sz w:val="24"/>
          <w:szCs w:val="24"/>
        </w:rPr>
        <w:t xml:space="preserve"> </w:t>
      </w:r>
    </w:p>
    <w:p w14:paraId="7F27EA16" w14:textId="77777777" w:rsidR="00476983" w:rsidRDefault="005106AA" w:rsidP="00164ED5">
      <w:pPr>
        <w:pStyle w:val="Prrafodelista"/>
        <w:numPr>
          <w:ilvl w:val="0"/>
          <w:numId w:val="14"/>
        </w:numPr>
        <w:spacing w:after="0" w:line="276" w:lineRule="auto"/>
        <w:jc w:val="both"/>
        <w:rPr>
          <w:rFonts w:ascii="Verdana" w:eastAsia="Verdana" w:hAnsi="Verdana" w:cs="Arial"/>
          <w:color w:val="000000" w:themeColor="text1"/>
          <w:sz w:val="24"/>
          <w:szCs w:val="24"/>
        </w:rPr>
      </w:pPr>
      <w:r w:rsidRPr="00476983">
        <w:rPr>
          <w:rFonts w:ascii="Verdana" w:eastAsia="Verdana" w:hAnsi="Verdana" w:cs="Arial"/>
          <w:b/>
          <w:bCs/>
          <w:color w:val="000000" w:themeColor="text1"/>
          <w:sz w:val="24"/>
          <w:szCs w:val="24"/>
        </w:rPr>
        <w:t>CTR Icononzo:</w:t>
      </w:r>
      <w:r w:rsidRPr="00476983">
        <w:rPr>
          <w:rFonts w:ascii="Verdana" w:eastAsia="Verdana" w:hAnsi="Verdana" w:cs="Arial"/>
          <w:color w:val="000000" w:themeColor="text1"/>
          <w:sz w:val="24"/>
          <w:szCs w:val="24"/>
        </w:rPr>
        <w:t xml:space="preserve"> </w:t>
      </w:r>
      <w:r w:rsidR="00476983" w:rsidRPr="00476983">
        <w:rPr>
          <w:rFonts w:ascii="Verdana" w:eastAsia="Verdana" w:hAnsi="Verdana" w:cs="Arial"/>
          <w:color w:val="000000" w:themeColor="text1"/>
          <w:sz w:val="24"/>
          <w:szCs w:val="24"/>
        </w:rPr>
        <w:t>Realización de jornadas de memoria y cultura en el marco del Museo del ETCR La Fila. Asimismo, se adelantaron espacios de articulación entre el Comité Étnico y ANFECP y se inauguró la Casa Étnica.</w:t>
      </w:r>
    </w:p>
    <w:p w14:paraId="024EAEB6" w14:textId="1BCE5C4D" w:rsidR="00553238" w:rsidRPr="00476983" w:rsidRDefault="005106AA" w:rsidP="00164ED5">
      <w:pPr>
        <w:pStyle w:val="Prrafodelista"/>
        <w:numPr>
          <w:ilvl w:val="0"/>
          <w:numId w:val="14"/>
        </w:numPr>
        <w:spacing w:after="0" w:line="276" w:lineRule="auto"/>
        <w:jc w:val="both"/>
        <w:rPr>
          <w:rFonts w:ascii="Verdana" w:eastAsia="Verdana" w:hAnsi="Verdana" w:cs="Arial"/>
          <w:color w:val="000000" w:themeColor="text1"/>
          <w:sz w:val="24"/>
          <w:szCs w:val="24"/>
        </w:rPr>
      </w:pPr>
      <w:r w:rsidRPr="00476983">
        <w:rPr>
          <w:rFonts w:ascii="Verdana" w:eastAsia="Verdana" w:hAnsi="Verdana" w:cs="Arial"/>
          <w:b/>
          <w:bCs/>
          <w:color w:val="000000" w:themeColor="text1"/>
          <w:sz w:val="24"/>
          <w:szCs w:val="24"/>
        </w:rPr>
        <w:t>CTR Dabeiba:</w:t>
      </w:r>
      <w:r w:rsidRPr="00476983">
        <w:rPr>
          <w:rFonts w:ascii="Verdana" w:eastAsia="Verdana" w:hAnsi="Verdana" w:cs="Arial"/>
          <w:color w:val="000000" w:themeColor="text1"/>
          <w:sz w:val="24"/>
          <w:szCs w:val="24"/>
        </w:rPr>
        <w:t xml:space="preserve"> </w:t>
      </w:r>
      <w:r w:rsidR="00476983" w:rsidRPr="00476983">
        <w:rPr>
          <w:rFonts w:ascii="Verdana" w:eastAsia="Verdana" w:hAnsi="Verdana" w:cs="Arial"/>
          <w:color w:val="000000" w:themeColor="text1"/>
          <w:sz w:val="24"/>
          <w:szCs w:val="24"/>
        </w:rPr>
        <w:t>Avances en indicadores de sostenibilidad, asociatividad y beneficios económicos, impulsados por el fortalecimiento de asociaciones vinculadas a la estrategia de sostenibilidad económica liderada por la ARN y la alianza público-privada entre la ARN y ProAntioquia.</w:t>
      </w:r>
    </w:p>
    <w:p w14:paraId="5DAAE2D4" w14:textId="77777777" w:rsidR="0067059F" w:rsidRDefault="0067059F" w:rsidP="00C25586">
      <w:pPr>
        <w:spacing w:after="0" w:line="276" w:lineRule="auto"/>
        <w:jc w:val="both"/>
        <w:rPr>
          <w:rFonts w:ascii="Verdana" w:eastAsia="Verdana" w:hAnsi="Verdana" w:cs="Arial"/>
          <w:sz w:val="24"/>
          <w:szCs w:val="24"/>
        </w:rPr>
      </w:pPr>
    </w:p>
    <w:p w14:paraId="11C05E83" w14:textId="2484B135" w:rsidR="00476983" w:rsidRPr="00476983" w:rsidRDefault="00476983" w:rsidP="00C401E4">
      <w:pPr>
        <w:spacing w:after="0" w:line="276" w:lineRule="auto"/>
        <w:jc w:val="both"/>
        <w:rPr>
          <w:rFonts w:ascii="Verdana" w:eastAsia="Verdana" w:hAnsi="Verdana" w:cs="Arial"/>
          <w:sz w:val="24"/>
          <w:szCs w:val="24"/>
        </w:rPr>
      </w:pPr>
      <w:r w:rsidRPr="00476983">
        <w:rPr>
          <w:rFonts w:ascii="Verdana" w:eastAsia="Verdana" w:hAnsi="Verdana" w:cs="Arial"/>
          <w:sz w:val="24"/>
          <w:szCs w:val="24"/>
        </w:rPr>
        <w:t>Las acciones desarrolladas en los CTR se orientaron a los cuatro ejes del Programa de Reincorporación Integral:</w:t>
      </w:r>
    </w:p>
    <w:p w14:paraId="0894663A" w14:textId="4C5BFAE0" w:rsidR="00B709EF" w:rsidRPr="005F335B" w:rsidRDefault="2F618300" w:rsidP="00C401E4">
      <w:pPr>
        <w:spacing w:after="0" w:line="276" w:lineRule="auto"/>
        <w:jc w:val="both"/>
        <w:rPr>
          <w:rFonts w:ascii="Verdana" w:hAnsi="Verdana" w:cs="Arial"/>
          <w:sz w:val="24"/>
          <w:szCs w:val="24"/>
        </w:rPr>
      </w:pPr>
      <w:r w:rsidRPr="005F335B">
        <w:rPr>
          <w:rFonts w:ascii="Verdana" w:eastAsia="Verdana" w:hAnsi="Verdana" w:cs="Arial"/>
          <w:sz w:val="24"/>
          <w:szCs w:val="24"/>
        </w:rPr>
        <w:t xml:space="preserve"> </w:t>
      </w:r>
    </w:p>
    <w:p w14:paraId="451DA913" w14:textId="7FBDF075" w:rsidR="000B66D5" w:rsidRPr="005F335B" w:rsidRDefault="2F618300" w:rsidP="00C401E4">
      <w:pPr>
        <w:spacing w:after="0" w:line="276" w:lineRule="auto"/>
        <w:jc w:val="both"/>
        <w:rPr>
          <w:rFonts w:ascii="Verdana" w:hAnsi="Verdana" w:cs="Arial"/>
          <w:sz w:val="24"/>
          <w:szCs w:val="24"/>
        </w:rPr>
      </w:pPr>
      <w:r w:rsidRPr="005F335B">
        <w:rPr>
          <w:rFonts w:ascii="Verdana" w:eastAsia="Verdana" w:hAnsi="Verdana" w:cs="Arial"/>
          <w:b/>
          <w:bCs/>
          <w:sz w:val="24"/>
          <w:szCs w:val="24"/>
        </w:rPr>
        <w:t>Reincorporación Comunitaria</w:t>
      </w:r>
      <w:r w:rsidRPr="005F335B">
        <w:rPr>
          <w:rFonts w:ascii="Verdana" w:eastAsia="Verdana" w:hAnsi="Verdana" w:cs="Arial"/>
          <w:sz w:val="24"/>
          <w:szCs w:val="24"/>
        </w:rPr>
        <w:t>:</w:t>
      </w:r>
      <w:r w:rsidR="00F54279" w:rsidRPr="005F335B">
        <w:rPr>
          <w:rFonts w:ascii="Verdana" w:hAnsi="Verdana" w:cs="Arial"/>
          <w:sz w:val="24"/>
          <w:szCs w:val="24"/>
        </w:rPr>
        <w:t xml:space="preserve"> </w:t>
      </w:r>
      <w:r w:rsidR="006348A5" w:rsidRPr="006348A5">
        <w:rPr>
          <w:rFonts w:ascii="Verdana" w:hAnsi="Verdana" w:cs="Arial"/>
          <w:sz w:val="24"/>
          <w:szCs w:val="24"/>
        </w:rPr>
        <w:t>prevención y superación de la estigmatización, fortalecimiento de entornos protectores para niñas, niños y adolescentes, diálogo para la reconciliación y construcción de paz territorial.</w:t>
      </w:r>
    </w:p>
    <w:p w14:paraId="554CB73E" w14:textId="0461F3A4" w:rsidR="00F54279" w:rsidRPr="005F335B" w:rsidRDefault="2F618300" w:rsidP="00C401E4">
      <w:pPr>
        <w:spacing w:after="0" w:line="276" w:lineRule="auto"/>
        <w:jc w:val="both"/>
        <w:rPr>
          <w:rFonts w:ascii="Verdana" w:eastAsia="Verdana" w:hAnsi="Verdana" w:cs="Arial"/>
          <w:b/>
          <w:bCs/>
          <w:sz w:val="24"/>
          <w:szCs w:val="24"/>
        </w:rPr>
      </w:pPr>
      <w:r w:rsidRPr="005F335B">
        <w:rPr>
          <w:rFonts w:ascii="Verdana" w:eastAsia="Verdana" w:hAnsi="Verdana" w:cs="Arial"/>
          <w:b/>
          <w:bCs/>
          <w:sz w:val="24"/>
          <w:szCs w:val="24"/>
        </w:rPr>
        <w:t>Reincorporación Económica</w:t>
      </w:r>
      <w:r w:rsidRPr="005F335B">
        <w:rPr>
          <w:rFonts w:ascii="Verdana" w:eastAsia="Verdana" w:hAnsi="Verdana" w:cs="Arial"/>
          <w:sz w:val="24"/>
          <w:szCs w:val="24"/>
        </w:rPr>
        <w:t>:</w:t>
      </w:r>
      <w:r w:rsidR="005F335B" w:rsidRPr="005F335B">
        <w:rPr>
          <w:rFonts w:ascii="Verdana" w:eastAsia="Verdana" w:hAnsi="Verdana" w:cs="Arial"/>
          <w:sz w:val="24"/>
          <w:szCs w:val="24"/>
        </w:rPr>
        <w:t xml:space="preserve"> </w:t>
      </w:r>
      <w:r w:rsidR="006348A5" w:rsidRPr="006348A5">
        <w:rPr>
          <w:rFonts w:ascii="Verdana" w:eastAsia="Verdana" w:hAnsi="Verdana" w:cs="Arial"/>
          <w:sz w:val="24"/>
          <w:szCs w:val="24"/>
        </w:rPr>
        <w:t>fortalecimiento organizativo y asociativo, sostenibilidad de proyectos productivos, empleabilidad e inclusión laboral digna y sostenible, y acceso a beneficios económicos.</w:t>
      </w:r>
    </w:p>
    <w:p w14:paraId="32DCBB51" w14:textId="4218CA81" w:rsidR="00C36BCD" w:rsidRPr="005F335B" w:rsidRDefault="2F618300" w:rsidP="00C401E4">
      <w:pPr>
        <w:spacing w:after="0" w:line="276" w:lineRule="auto"/>
        <w:jc w:val="both"/>
        <w:rPr>
          <w:rFonts w:ascii="Verdana" w:eastAsia="Verdana" w:hAnsi="Verdana" w:cs="Arial"/>
          <w:b/>
          <w:bCs/>
          <w:sz w:val="24"/>
          <w:szCs w:val="24"/>
        </w:rPr>
      </w:pPr>
      <w:r w:rsidRPr="005F335B">
        <w:rPr>
          <w:rFonts w:ascii="Verdana" w:eastAsia="Verdana" w:hAnsi="Verdana" w:cs="Arial"/>
          <w:b/>
          <w:bCs/>
          <w:sz w:val="24"/>
          <w:szCs w:val="24"/>
        </w:rPr>
        <w:t>Reincorporación Social</w:t>
      </w:r>
      <w:r w:rsidRPr="005F335B">
        <w:rPr>
          <w:rFonts w:ascii="Verdana" w:eastAsia="Verdana" w:hAnsi="Verdana" w:cs="Arial"/>
          <w:sz w:val="24"/>
          <w:szCs w:val="24"/>
        </w:rPr>
        <w:t>:</w:t>
      </w:r>
      <w:r w:rsidR="00F54279" w:rsidRPr="005F335B">
        <w:rPr>
          <w:rFonts w:ascii="Verdana" w:hAnsi="Verdana" w:cs="Arial"/>
          <w:sz w:val="24"/>
          <w:szCs w:val="24"/>
        </w:rPr>
        <w:t xml:space="preserve"> </w:t>
      </w:r>
      <w:r w:rsidR="006348A5" w:rsidRPr="006348A5">
        <w:rPr>
          <w:rFonts w:ascii="Verdana" w:hAnsi="Verdana" w:cs="Arial"/>
          <w:sz w:val="24"/>
          <w:szCs w:val="24"/>
        </w:rPr>
        <w:t>hábitat, acompañamiento psicosocial, salud y protección social, educación y programas especiales como la reunificación familiar y el acompañamiento a familiares de personas en proceso de reincorporación fallecidas o desaparecidas.</w:t>
      </w:r>
    </w:p>
    <w:p w14:paraId="297E0117" w14:textId="714CD803" w:rsidR="00C36BCD" w:rsidRPr="00FE39F8" w:rsidRDefault="2F618300" w:rsidP="00C401E4">
      <w:pPr>
        <w:spacing w:after="0" w:line="276" w:lineRule="auto"/>
        <w:jc w:val="both"/>
        <w:rPr>
          <w:rFonts w:ascii="Verdana" w:hAnsi="Verdana" w:cs="Arial"/>
          <w:sz w:val="24"/>
          <w:szCs w:val="24"/>
        </w:rPr>
      </w:pPr>
      <w:r w:rsidRPr="005F335B">
        <w:rPr>
          <w:rFonts w:ascii="Verdana" w:eastAsia="Verdana" w:hAnsi="Verdana" w:cs="Arial"/>
          <w:b/>
          <w:bCs/>
          <w:sz w:val="24"/>
          <w:szCs w:val="24"/>
        </w:rPr>
        <w:t>Reincorporación Política</w:t>
      </w:r>
      <w:r w:rsidR="006348A5">
        <w:rPr>
          <w:rFonts w:ascii="Verdana" w:eastAsia="Verdana" w:hAnsi="Verdana" w:cs="Arial"/>
          <w:b/>
          <w:bCs/>
          <w:sz w:val="24"/>
          <w:szCs w:val="24"/>
        </w:rPr>
        <w:t xml:space="preserve">: </w:t>
      </w:r>
      <w:r w:rsidR="006348A5" w:rsidRPr="006348A5">
        <w:rPr>
          <w:rFonts w:ascii="Verdana" w:eastAsia="Verdana" w:hAnsi="Verdana" w:cs="Arial"/>
          <w:sz w:val="24"/>
          <w:szCs w:val="24"/>
        </w:rPr>
        <w:t>promoción de la participación ciudadana, desarrollo de veedurías ciudadanas, formulación de planes de acción y formación en participación electoral y liderazgo.</w:t>
      </w:r>
    </w:p>
    <w:p w14:paraId="45F45AAE" w14:textId="77777777" w:rsidR="006403BC" w:rsidRDefault="006403BC" w:rsidP="00C401E4">
      <w:pPr>
        <w:spacing w:after="0" w:line="276" w:lineRule="auto"/>
        <w:jc w:val="both"/>
        <w:rPr>
          <w:rFonts w:ascii="Verdana" w:hAnsi="Verdana" w:cs="Arial"/>
          <w:sz w:val="24"/>
          <w:szCs w:val="24"/>
        </w:rPr>
      </w:pPr>
    </w:p>
    <w:p w14:paraId="78A1506F" w14:textId="50CF7E99" w:rsidR="0005587A" w:rsidRPr="006403BC" w:rsidRDefault="006403BC" w:rsidP="00C401E4">
      <w:pPr>
        <w:spacing w:after="0" w:line="276" w:lineRule="auto"/>
        <w:jc w:val="both"/>
        <w:rPr>
          <w:rFonts w:ascii="Verdana" w:hAnsi="Verdana" w:cs="Arial"/>
          <w:sz w:val="24"/>
          <w:szCs w:val="24"/>
        </w:rPr>
      </w:pPr>
      <w:r w:rsidRPr="006403BC">
        <w:rPr>
          <w:rFonts w:ascii="Verdana" w:hAnsi="Verdana" w:cs="Arial"/>
          <w:sz w:val="24"/>
          <w:szCs w:val="24"/>
        </w:rPr>
        <w:t xml:space="preserve">Finalmente, de conformidad con lo establecido en el Oficio No. 20253610783871 del 13 de noviembre de 2025 del Departamento Nacional de Planeación (DNP), mediante el cual se aprobaron las fichas de los nuevos indicadores del PMI a cargo de la ARN, se hace necesario el cierre del indicador C.427 para la vigencia 2025. En consecuencia, y con el fin de dar continuidad al seguimiento de la gestión bajo los lineamientos metodológicos aprobados, se creó el nuevo indicador C.206.N “Fortalecimiento de las instancias territoriales de reincorporación en </w:t>
      </w:r>
      <w:r w:rsidRPr="006403BC">
        <w:rPr>
          <w:rFonts w:ascii="Verdana" w:hAnsi="Verdana" w:cs="Arial"/>
          <w:sz w:val="24"/>
          <w:szCs w:val="24"/>
        </w:rPr>
        <w:lastRenderedPageBreak/>
        <w:t>funcionamiento”, el cual permite una medición actualizada, pertinente y alineada con la estructura vigente del PMI.</w:t>
      </w:r>
    </w:p>
    <w:p w14:paraId="5119871C" w14:textId="77777777" w:rsidR="006403BC" w:rsidRPr="00525CD2" w:rsidRDefault="006403BC" w:rsidP="00C36BCD">
      <w:pPr>
        <w:spacing w:after="0" w:line="276" w:lineRule="auto"/>
        <w:jc w:val="both"/>
        <w:rPr>
          <w:rFonts w:ascii="Verdana" w:eastAsia="Verdana" w:hAnsi="Verdana" w:cs="Arial"/>
          <w:color w:val="000000" w:themeColor="text1"/>
          <w:sz w:val="18"/>
          <w:szCs w:val="18"/>
        </w:rPr>
      </w:pPr>
    </w:p>
    <w:p w14:paraId="08A58F85" w14:textId="1631FED2" w:rsidR="00525CD2" w:rsidRPr="00525CD2" w:rsidRDefault="00525CD2" w:rsidP="00525CD2">
      <w:pPr>
        <w:pStyle w:val="Descripcin"/>
        <w:keepNext/>
        <w:jc w:val="center"/>
        <w:rPr>
          <w:rFonts w:ascii="Verdana" w:eastAsia="Verdana" w:hAnsi="Verdana" w:cs="Arial"/>
          <w:i w:val="0"/>
          <w:iCs w:val="0"/>
          <w:color w:val="000000" w:themeColor="text1"/>
        </w:rPr>
      </w:pPr>
      <w:bookmarkStart w:id="48" w:name="_Toc225283155"/>
      <w:r w:rsidRPr="00525CD2">
        <w:rPr>
          <w:rFonts w:ascii="Verdana" w:eastAsia="Verdana" w:hAnsi="Verdana" w:cs="Arial"/>
          <w:i w:val="0"/>
          <w:iCs w:val="0"/>
          <w:color w:val="000000" w:themeColor="text1"/>
        </w:rPr>
        <w:t xml:space="preserve">Tabla </w:t>
      </w:r>
      <w:r w:rsidRPr="00525CD2">
        <w:rPr>
          <w:rFonts w:ascii="Verdana" w:eastAsia="Verdana" w:hAnsi="Verdana" w:cs="Arial"/>
          <w:i w:val="0"/>
          <w:iCs w:val="0"/>
          <w:color w:val="000000" w:themeColor="text1"/>
        </w:rPr>
        <w:fldChar w:fldCharType="begin"/>
      </w:r>
      <w:r w:rsidRPr="00525CD2">
        <w:rPr>
          <w:rFonts w:ascii="Verdana" w:eastAsia="Verdana" w:hAnsi="Verdana" w:cs="Arial"/>
          <w:i w:val="0"/>
          <w:iCs w:val="0"/>
          <w:color w:val="000000" w:themeColor="text1"/>
        </w:rPr>
        <w:instrText xml:space="preserve"> SEQ Tabla \* ARABIC </w:instrText>
      </w:r>
      <w:r w:rsidRPr="00525CD2">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43</w:t>
      </w:r>
      <w:r w:rsidRPr="00525CD2">
        <w:rPr>
          <w:rFonts w:ascii="Verdana" w:eastAsia="Verdana" w:hAnsi="Verdana" w:cs="Arial"/>
          <w:i w:val="0"/>
          <w:iCs w:val="0"/>
          <w:color w:val="000000" w:themeColor="text1"/>
        </w:rPr>
        <w:fldChar w:fldCharType="end"/>
      </w:r>
      <w:r w:rsidRPr="00525CD2">
        <w:rPr>
          <w:rFonts w:ascii="Verdana" w:eastAsia="Verdana" w:hAnsi="Verdana" w:cs="Arial"/>
          <w:i w:val="0"/>
          <w:iCs w:val="0"/>
          <w:color w:val="000000" w:themeColor="text1"/>
        </w:rPr>
        <w:t>. Detalle de las principales acciones del indicador C.427</w:t>
      </w:r>
      <w:bookmarkEnd w:id="48"/>
    </w:p>
    <w:tbl>
      <w:tblPr>
        <w:tblStyle w:val="Tablaconcuadrcula"/>
        <w:tblW w:w="8707" w:type="dxa"/>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12" w:space="0" w:color="FFE599" w:themeColor="accent4" w:themeTint="66"/>
          <w:insideV w:val="single" w:sz="8"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2045"/>
        <w:gridCol w:w="4820"/>
        <w:gridCol w:w="1842"/>
      </w:tblGrid>
      <w:tr w:rsidR="33167E86" w:rsidRPr="00AB06F3" w14:paraId="417531A3" w14:textId="77777777" w:rsidTr="696F6128">
        <w:trPr>
          <w:trHeight w:val="300"/>
        </w:trPr>
        <w:tc>
          <w:tcPr>
            <w:tcW w:w="2045" w:type="dxa"/>
            <w:tcMar>
              <w:left w:w="108" w:type="dxa"/>
              <w:right w:w="108" w:type="dxa"/>
            </w:tcMar>
          </w:tcPr>
          <w:p w14:paraId="25646C60" w14:textId="64174152" w:rsidR="33167E86" w:rsidRPr="00FA6A19" w:rsidRDefault="33167E86" w:rsidP="00FA6A19">
            <w:pPr>
              <w:spacing w:line="276" w:lineRule="auto"/>
              <w:jc w:val="center"/>
              <w:rPr>
                <w:rFonts w:ascii="Verdana" w:hAnsi="Verdana" w:cs="Arial"/>
                <w:b/>
                <w:bCs/>
              </w:rPr>
            </w:pPr>
            <w:r w:rsidRPr="00FA6A19">
              <w:rPr>
                <w:rFonts w:ascii="Verdana" w:eastAsia="Verdana" w:hAnsi="Verdana" w:cs="Arial"/>
                <w:b/>
                <w:bCs/>
                <w:color w:val="000000" w:themeColor="text1"/>
                <w:sz w:val="18"/>
                <w:szCs w:val="18"/>
              </w:rPr>
              <w:t>Indicador del PMI</w:t>
            </w:r>
          </w:p>
        </w:tc>
        <w:tc>
          <w:tcPr>
            <w:tcW w:w="4820" w:type="dxa"/>
            <w:tcMar>
              <w:left w:w="108" w:type="dxa"/>
              <w:right w:w="108" w:type="dxa"/>
            </w:tcMar>
          </w:tcPr>
          <w:p w14:paraId="04800FBD" w14:textId="2048F061" w:rsidR="33167E86" w:rsidRPr="00FA6A19" w:rsidRDefault="33167E86" w:rsidP="00FA6A19">
            <w:pPr>
              <w:spacing w:line="276" w:lineRule="auto"/>
              <w:jc w:val="center"/>
              <w:rPr>
                <w:rFonts w:ascii="Verdana" w:hAnsi="Verdana" w:cs="Arial"/>
                <w:b/>
                <w:bCs/>
              </w:rPr>
            </w:pPr>
            <w:r w:rsidRPr="00FA6A19">
              <w:rPr>
                <w:rFonts w:ascii="Verdana" w:eastAsia="Verdana" w:hAnsi="Verdana" w:cs="Arial"/>
                <w:b/>
                <w:bCs/>
                <w:color w:val="000000" w:themeColor="text1"/>
                <w:sz w:val="18"/>
                <w:szCs w:val="18"/>
              </w:rPr>
              <w:t>Principales Logros</w:t>
            </w:r>
          </w:p>
        </w:tc>
        <w:tc>
          <w:tcPr>
            <w:tcW w:w="1842" w:type="dxa"/>
            <w:tcMar>
              <w:left w:w="108" w:type="dxa"/>
              <w:right w:w="108" w:type="dxa"/>
            </w:tcMar>
          </w:tcPr>
          <w:p w14:paraId="5C2E37AD" w14:textId="56A37294" w:rsidR="33167E86" w:rsidRPr="00FA6A19" w:rsidRDefault="33167E86" w:rsidP="00FA6A19">
            <w:pPr>
              <w:spacing w:line="276" w:lineRule="auto"/>
              <w:jc w:val="center"/>
              <w:rPr>
                <w:rFonts w:ascii="Verdana" w:hAnsi="Verdana" w:cs="Arial"/>
                <w:b/>
                <w:bCs/>
              </w:rPr>
            </w:pPr>
            <w:r w:rsidRPr="00FA6A19">
              <w:rPr>
                <w:rFonts w:ascii="Verdana" w:eastAsia="Verdana" w:hAnsi="Verdana" w:cs="Arial"/>
                <w:b/>
                <w:bCs/>
                <w:color w:val="000000" w:themeColor="text1"/>
                <w:sz w:val="18"/>
                <w:szCs w:val="18"/>
              </w:rPr>
              <w:t>Recursos 202</w:t>
            </w:r>
            <w:r w:rsidR="006910E7">
              <w:rPr>
                <w:rFonts w:ascii="Verdana" w:eastAsia="Verdana" w:hAnsi="Verdana" w:cs="Arial"/>
                <w:b/>
                <w:bCs/>
                <w:color w:val="000000" w:themeColor="text1"/>
                <w:sz w:val="18"/>
                <w:szCs w:val="18"/>
              </w:rPr>
              <w:t>5</w:t>
            </w:r>
          </w:p>
        </w:tc>
      </w:tr>
      <w:tr w:rsidR="00C10C3A" w:rsidRPr="00AB06F3" w14:paraId="3E0ACB15" w14:textId="77777777" w:rsidTr="696F6128">
        <w:trPr>
          <w:trHeight w:val="300"/>
        </w:trPr>
        <w:tc>
          <w:tcPr>
            <w:tcW w:w="2045" w:type="dxa"/>
            <w:tcMar>
              <w:left w:w="108" w:type="dxa"/>
              <w:right w:w="108" w:type="dxa"/>
            </w:tcMar>
          </w:tcPr>
          <w:p w14:paraId="05579879" w14:textId="3BF269AF" w:rsidR="00C10C3A" w:rsidRPr="00AB06F3" w:rsidRDefault="00C10C3A" w:rsidP="002E4278">
            <w:pPr>
              <w:spacing w:line="276" w:lineRule="auto"/>
              <w:jc w:val="center"/>
              <w:rPr>
                <w:rFonts w:ascii="Verdana" w:hAnsi="Verdana" w:cs="Arial"/>
              </w:rPr>
            </w:pPr>
            <w:r w:rsidRPr="00AB06F3">
              <w:rPr>
                <w:rFonts w:ascii="Verdana" w:eastAsia="Verdana" w:hAnsi="Verdana" w:cs="Arial"/>
                <w:sz w:val="18"/>
                <w:szCs w:val="18"/>
              </w:rPr>
              <w:t>C.427 Consejos territoriales de Reincorporación creados y en funcionamiento</w:t>
            </w:r>
            <w:r w:rsidRPr="00AB06F3">
              <w:rPr>
                <w:rFonts w:ascii="Verdana" w:eastAsia="Verdana" w:hAnsi="Verdana" w:cs="Arial"/>
                <w:color w:val="000000" w:themeColor="text1"/>
                <w:sz w:val="18"/>
                <w:szCs w:val="18"/>
              </w:rPr>
              <w:t xml:space="preserve"> </w:t>
            </w:r>
          </w:p>
        </w:tc>
        <w:tc>
          <w:tcPr>
            <w:tcW w:w="4820" w:type="dxa"/>
            <w:tcMar>
              <w:left w:w="108" w:type="dxa"/>
              <w:right w:w="108" w:type="dxa"/>
            </w:tcMar>
          </w:tcPr>
          <w:p w14:paraId="74862351" w14:textId="083FCFC4" w:rsidR="00C10C3A" w:rsidRPr="00AB06F3" w:rsidRDefault="3C1B0256" w:rsidP="00FA6A19">
            <w:pPr>
              <w:spacing w:line="276" w:lineRule="auto"/>
              <w:jc w:val="both"/>
              <w:rPr>
                <w:rFonts w:ascii="Verdana" w:hAnsi="Verdana" w:cs="Arial"/>
              </w:rPr>
            </w:pPr>
            <w:r w:rsidRPr="696F6128">
              <w:rPr>
                <w:rFonts w:ascii="Verdana" w:eastAsia="Verdana" w:hAnsi="Verdana" w:cs="Arial"/>
                <w:color w:val="000000" w:themeColor="text1"/>
                <w:sz w:val="18"/>
                <w:szCs w:val="18"/>
              </w:rPr>
              <w:t>1</w:t>
            </w:r>
            <w:r w:rsidR="1EFA4984" w:rsidRPr="696F6128">
              <w:rPr>
                <w:rFonts w:ascii="Verdana" w:eastAsia="Verdana" w:hAnsi="Verdana" w:cs="Arial"/>
                <w:color w:val="000000" w:themeColor="text1"/>
                <w:sz w:val="18"/>
                <w:szCs w:val="18"/>
              </w:rPr>
              <w:t>0</w:t>
            </w:r>
            <w:r w:rsidRPr="696F6128">
              <w:rPr>
                <w:rFonts w:ascii="Verdana" w:eastAsia="Verdana" w:hAnsi="Verdana" w:cs="Arial"/>
                <w:color w:val="000000" w:themeColor="text1"/>
                <w:sz w:val="18"/>
                <w:szCs w:val="18"/>
              </w:rPr>
              <w:t xml:space="preserve"> Consejos Territoriales de Reincorporación, creados y en funcionamiento, sesionaron </w:t>
            </w:r>
            <w:r w:rsidR="7703FD7C" w:rsidRPr="696F6128">
              <w:rPr>
                <w:rFonts w:ascii="Verdana" w:eastAsia="Verdana" w:hAnsi="Verdana" w:cs="Arial"/>
                <w:color w:val="000000" w:themeColor="text1"/>
                <w:sz w:val="18"/>
                <w:szCs w:val="18"/>
              </w:rPr>
              <w:t>3</w:t>
            </w:r>
            <w:r w:rsidRPr="696F6128">
              <w:rPr>
                <w:rFonts w:ascii="Verdana" w:eastAsia="Verdana" w:hAnsi="Verdana" w:cs="Arial"/>
                <w:color w:val="000000" w:themeColor="text1"/>
                <w:sz w:val="18"/>
                <w:szCs w:val="18"/>
              </w:rPr>
              <w:t>6 veces con avances en la inclusión de acciones en planes de desarrollo y la preparación local para el Programa de Reincorporación Integral</w:t>
            </w:r>
          </w:p>
        </w:tc>
        <w:tc>
          <w:tcPr>
            <w:tcW w:w="1842" w:type="dxa"/>
            <w:tcMar>
              <w:left w:w="108" w:type="dxa"/>
              <w:right w:w="108" w:type="dxa"/>
            </w:tcMar>
          </w:tcPr>
          <w:p w14:paraId="0A82EA60" w14:textId="701107A8" w:rsidR="00C10C3A" w:rsidRPr="00AB06F3" w:rsidRDefault="00C10C3A" w:rsidP="00FA6A19">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w:t>
            </w:r>
            <w:r w:rsidR="009D39EA" w:rsidRPr="009D39EA">
              <w:rPr>
                <w:rFonts w:ascii="Verdana" w:eastAsia="Verdana" w:hAnsi="Verdana" w:cs="Arial"/>
                <w:color w:val="000000" w:themeColor="text1"/>
                <w:sz w:val="18"/>
                <w:szCs w:val="18"/>
              </w:rPr>
              <w:t xml:space="preserve"> 3.763.468.594</w:t>
            </w:r>
          </w:p>
          <w:p w14:paraId="3576CFA6" w14:textId="648DDEF3" w:rsidR="00C10C3A" w:rsidRPr="00AB06F3" w:rsidRDefault="00C10C3A" w:rsidP="00FA6A19">
            <w:pPr>
              <w:spacing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(Recursos de Funcionamiento)</w:t>
            </w:r>
          </w:p>
        </w:tc>
      </w:tr>
    </w:tbl>
    <w:p w14:paraId="0026EBBD"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39FA371B" w14:textId="68383C2F" w:rsidR="00B709EF" w:rsidRPr="00AB06F3" w:rsidRDefault="00B709EF" w:rsidP="00C25586">
      <w:pPr>
        <w:spacing w:after="0" w:line="276" w:lineRule="auto"/>
        <w:jc w:val="both"/>
        <w:rPr>
          <w:rFonts w:ascii="Verdana" w:hAnsi="Verdana" w:cs="Arial"/>
        </w:rPr>
      </w:pPr>
    </w:p>
    <w:p w14:paraId="31DBE4EA" w14:textId="411E71A8" w:rsidR="00B709EF" w:rsidRDefault="2F618300" w:rsidP="00031DF5">
      <w:pPr>
        <w:pStyle w:val="Ttulo5"/>
        <w:numPr>
          <w:ilvl w:val="0"/>
          <w:numId w:val="3"/>
        </w:numPr>
        <w:spacing w:after="0" w:line="276" w:lineRule="auto"/>
        <w:jc w:val="both"/>
        <w:rPr>
          <w:rFonts w:ascii="Verdana" w:eastAsia="Calibri" w:hAnsi="Verdana" w:cs="Arial"/>
        </w:rPr>
      </w:pPr>
      <w:r w:rsidRPr="00AB06F3">
        <w:rPr>
          <w:rFonts w:ascii="Verdana" w:eastAsia="Verdana" w:hAnsi="Verdana" w:cs="Arial"/>
          <w:color w:val="000000" w:themeColor="text1"/>
          <w:sz w:val="24"/>
          <w:szCs w:val="24"/>
        </w:rPr>
        <w:t>Regionalización de las acciones y beneficiarios</w:t>
      </w:r>
      <w:r w:rsidRPr="00AB06F3">
        <w:rPr>
          <w:rFonts w:ascii="Verdana" w:eastAsia="Calibri" w:hAnsi="Verdana" w:cs="Arial"/>
        </w:rPr>
        <w:t xml:space="preserve"> </w:t>
      </w:r>
    </w:p>
    <w:p w14:paraId="3DF3E8DB" w14:textId="3BF08AB4" w:rsidR="00B709EF" w:rsidRPr="00E7753A" w:rsidRDefault="00B709EF" w:rsidP="00E7753A">
      <w:pPr>
        <w:spacing w:after="0" w:line="276" w:lineRule="auto"/>
        <w:rPr>
          <w:rFonts w:ascii="Verdana" w:eastAsia="Verdana" w:hAnsi="Verdana" w:cs="Arial"/>
          <w:color w:val="000000" w:themeColor="text1"/>
          <w:sz w:val="18"/>
          <w:szCs w:val="18"/>
        </w:rPr>
      </w:pPr>
    </w:p>
    <w:p w14:paraId="7049EF39" w14:textId="02C206DD" w:rsidR="00E7753A" w:rsidRPr="00E7753A" w:rsidRDefault="00E7753A" w:rsidP="00E7753A">
      <w:pPr>
        <w:pStyle w:val="Descripcin"/>
        <w:keepNext/>
        <w:jc w:val="center"/>
        <w:rPr>
          <w:rFonts w:ascii="Verdana" w:eastAsia="Verdana" w:hAnsi="Verdana" w:cs="Arial"/>
          <w:i w:val="0"/>
          <w:iCs w:val="0"/>
          <w:color w:val="000000" w:themeColor="text1"/>
        </w:rPr>
      </w:pPr>
      <w:bookmarkStart w:id="49" w:name="_Toc225283156"/>
      <w:r w:rsidRPr="00E7753A">
        <w:rPr>
          <w:rFonts w:ascii="Verdana" w:eastAsia="Verdana" w:hAnsi="Verdana" w:cs="Arial"/>
          <w:i w:val="0"/>
          <w:iCs w:val="0"/>
          <w:color w:val="000000" w:themeColor="text1"/>
        </w:rPr>
        <w:t xml:space="preserve">Tabla </w:t>
      </w:r>
      <w:r w:rsidRPr="00E7753A">
        <w:rPr>
          <w:rFonts w:ascii="Verdana" w:eastAsia="Verdana" w:hAnsi="Verdana" w:cs="Arial"/>
          <w:i w:val="0"/>
          <w:iCs w:val="0"/>
          <w:color w:val="000000" w:themeColor="text1"/>
        </w:rPr>
        <w:fldChar w:fldCharType="begin"/>
      </w:r>
      <w:r w:rsidRPr="00E7753A">
        <w:rPr>
          <w:rFonts w:ascii="Verdana" w:eastAsia="Verdana" w:hAnsi="Verdana" w:cs="Arial"/>
          <w:i w:val="0"/>
          <w:iCs w:val="0"/>
          <w:color w:val="000000" w:themeColor="text1"/>
        </w:rPr>
        <w:instrText xml:space="preserve"> SEQ Tabla \* ARABIC </w:instrText>
      </w:r>
      <w:r w:rsidRPr="00E7753A">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44</w:t>
      </w:r>
      <w:r w:rsidRPr="00E7753A">
        <w:rPr>
          <w:rFonts w:ascii="Verdana" w:eastAsia="Verdana" w:hAnsi="Verdana" w:cs="Arial"/>
          <w:i w:val="0"/>
          <w:iCs w:val="0"/>
          <w:color w:val="000000" w:themeColor="text1"/>
        </w:rPr>
        <w:fldChar w:fldCharType="end"/>
      </w:r>
      <w:r w:rsidRPr="00E7753A">
        <w:rPr>
          <w:rFonts w:ascii="Verdana" w:eastAsia="Verdana" w:hAnsi="Verdana" w:cs="Arial"/>
          <w:i w:val="0"/>
          <w:iCs w:val="0"/>
          <w:color w:val="000000" w:themeColor="text1"/>
        </w:rPr>
        <w:t>. Sesiones de los CTR del indicador C.427</w:t>
      </w:r>
      <w:bookmarkEnd w:id="49"/>
    </w:p>
    <w:tbl>
      <w:tblPr>
        <w:tblW w:w="5000" w:type="pct"/>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regionalización del indicador"/>
        <w:tblDescription w:val="Tabla que contiene los siguientes items: departamento, funcionamiento por departamento, CTR con sesiones reportadas por Departamento, % CTR activo por departamento  sesiones realizadas.&#10;"/>
      </w:tblPr>
      <w:tblGrid>
        <w:gridCol w:w="1807"/>
        <w:gridCol w:w="1884"/>
        <w:gridCol w:w="1877"/>
        <w:gridCol w:w="1863"/>
        <w:gridCol w:w="1397"/>
      </w:tblGrid>
      <w:tr w:rsidR="00CD36DA" w:rsidRPr="00CC7B26" w14:paraId="3A7A3C73" w14:textId="77777777" w:rsidTr="0077302C">
        <w:trPr>
          <w:trHeight w:val="300"/>
          <w:tblHeader/>
        </w:trPr>
        <w:tc>
          <w:tcPr>
            <w:tcW w:w="1024" w:type="pct"/>
            <w:tcMar>
              <w:top w:w="15" w:type="dxa"/>
              <w:left w:w="15" w:type="dxa"/>
              <w:right w:w="15" w:type="dxa"/>
            </w:tcMar>
            <w:vAlign w:val="center"/>
          </w:tcPr>
          <w:p w14:paraId="73D977C7" w14:textId="5F0F7D50" w:rsidR="00CD36DA" w:rsidRPr="00CC7B26" w:rsidRDefault="00CD36DA" w:rsidP="00CD36DA">
            <w:pPr>
              <w:spacing w:after="0" w:line="276" w:lineRule="auto"/>
              <w:jc w:val="center"/>
              <w:rPr>
                <w:rFonts w:ascii="Verdana" w:hAnsi="Verdana" w:cs="Arial"/>
                <w:sz w:val="18"/>
                <w:szCs w:val="18"/>
              </w:rPr>
            </w:pPr>
            <w:r w:rsidRPr="00CC7B26">
              <w:rPr>
                <w:rFonts w:ascii="Verdana" w:eastAsia="Verdana" w:hAnsi="Verdana" w:cs="Arial"/>
                <w:b/>
                <w:bCs/>
                <w:sz w:val="18"/>
                <w:szCs w:val="18"/>
              </w:rPr>
              <w:t>Departamento</w:t>
            </w:r>
          </w:p>
        </w:tc>
        <w:tc>
          <w:tcPr>
            <w:tcW w:w="1067" w:type="pct"/>
            <w:tcMar>
              <w:top w:w="15" w:type="dxa"/>
              <w:left w:w="15" w:type="dxa"/>
              <w:right w:w="15" w:type="dxa"/>
            </w:tcMar>
          </w:tcPr>
          <w:p w14:paraId="3C4C0EDB" w14:textId="58DA6AB2" w:rsidR="00CD36DA" w:rsidRPr="00CC7B26" w:rsidRDefault="00AF068F" w:rsidP="00CD36DA">
            <w:pPr>
              <w:spacing w:after="0" w:line="276" w:lineRule="auto"/>
              <w:jc w:val="center"/>
              <w:rPr>
                <w:rFonts w:ascii="Verdana" w:hAnsi="Verdana" w:cs="Arial"/>
                <w:sz w:val="18"/>
                <w:szCs w:val="18"/>
              </w:rPr>
            </w:pPr>
            <w:r>
              <w:rPr>
                <w:rFonts w:ascii="Verdana" w:hAnsi="Verdana"/>
                <w:b/>
                <w:bCs/>
                <w:sz w:val="18"/>
                <w:szCs w:val="18"/>
              </w:rPr>
              <w:t xml:space="preserve">CTR en </w:t>
            </w:r>
            <w:r w:rsidR="00CD36DA" w:rsidRPr="00CC7B26">
              <w:rPr>
                <w:rFonts w:ascii="Verdana" w:hAnsi="Verdana"/>
                <w:b/>
                <w:bCs/>
                <w:sz w:val="18"/>
                <w:szCs w:val="18"/>
              </w:rPr>
              <w:t xml:space="preserve">funcionamiento (Departamento) </w:t>
            </w:r>
          </w:p>
        </w:tc>
        <w:tc>
          <w:tcPr>
            <w:tcW w:w="1063" w:type="pct"/>
            <w:tcMar>
              <w:top w:w="15" w:type="dxa"/>
              <w:left w:w="15" w:type="dxa"/>
              <w:right w:w="15" w:type="dxa"/>
            </w:tcMar>
          </w:tcPr>
          <w:p w14:paraId="4DDBFD31" w14:textId="783E2D17" w:rsidR="00CD36DA" w:rsidRPr="00CC7B26" w:rsidRDefault="00CD36DA" w:rsidP="00CD36DA">
            <w:pPr>
              <w:spacing w:after="0" w:line="276" w:lineRule="auto"/>
              <w:jc w:val="center"/>
              <w:rPr>
                <w:rFonts w:ascii="Verdana" w:hAnsi="Verdana" w:cs="Arial"/>
                <w:sz w:val="18"/>
                <w:szCs w:val="18"/>
              </w:rPr>
            </w:pPr>
            <w:r w:rsidRPr="00CC7B26">
              <w:rPr>
                <w:rFonts w:ascii="Verdana" w:hAnsi="Verdana"/>
                <w:b/>
                <w:bCs/>
                <w:sz w:val="18"/>
                <w:szCs w:val="18"/>
              </w:rPr>
              <w:t xml:space="preserve">CTR con sesiones reportadas (Departamento) </w:t>
            </w:r>
          </w:p>
        </w:tc>
        <w:tc>
          <w:tcPr>
            <w:tcW w:w="1055" w:type="pct"/>
          </w:tcPr>
          <w:p w14:paraId="70EB3E87" w14:textId="4E3C0CB3" w:rsidR="00CD36DA" w:rsidRPr="00CC7B26" w:rsidRDefault="00CD36DA" w:rsidP="00CD36DA">
            <w:pPr>
              <w:spacing w:after="0" w:line="276" w:lineRule="auto"/>
              <w:jc w:val="center"/>
              <w:rPr>
                <w:rFonts w:ascii="Verdana" w:eastAsia="Verdana" w:hAnsi="Verdana" w:cs="Arial"/>
                <w:b/>
                <w:bCs/>
                <w:sz w:val="18"/>
                <w:szCs w:val="18"/>
              </w:rPr>
            </w:pPr>
            <w:r w:rsidRPr="00CC7B26">
              <w:rPr>
                <w:rFonts w:ascii="Verdana" w:hAnsi="Verdana"/>
                <w:b/>
                <w:bCs/>
                <w:sz w:val="18"/>
                <w:szCs w:val="18"/>
              </w:rPr>
              <w:t>% CTR activo (Departamento</w:t>
            </w:r>
            <w:r w:rsidR="00AF068F">
              <w:rPr>
                <w:rFonts w:ascii="Verdana" w:hAnsi="Verdana"/>
                <w:b/>
                <w:bCs/>
                <w:sz w:val="18"/>
                <w:szCs w:val="18"/>
              </w:rPr>
              <w:t>)</w:t>
            </w:r>
            <w:r w:rsidRPr="00CC7B26">
              <w:rPr>
                <w:rFonts w:ascii="Verdana" w:hAnsi="Verdana"/>
                <w:b/>
                <w:bCs/>
                <w:sz w:val="18"/>
                <w:szCs w:val="18"/>
              </w:rPr>
              <w:t xml:space="preserve"> </w:t>
            </w:r>
          </w:p>
        </w:tc>
        <w:tc>
          <w:tcPr>
            <w:tcW w:w="791" w:type="pct"/>
            <w:tcMar>
              <w:top w:w="15" w:type="dxa"/>
              <w:left w:w="15" w:type="dxa"/>
              <w:right w:w="15" w:type="dxa"/>
            </w:tcMar>
            <w:vAlign w:val="center"/>
          </w:tcPr>
          <w:p w14:paraId="0728132A" w14:textId="65EA8488" w:rsidR="00CD36DA" w:rsidRPr="00CC7B26" w:rsidRDefault="00CD36DA" w:rsidP="00CD36DA">
            <w:pPr>
              <w:spacing w:after="0" w:line="276" w:lineRule="auto"/>
              <w:jc w:val="center"/>
              <w:rPr>
                <w:rFonts w:ascii="Verdana" w:hAnsi="Verdana" w:cs="Arial"/>
                <w:sz w:val="18"/>
                <w:szCs w:val="18"/>
              </w:rPr>
            </w:pPr>
            <w:r w:rsidRPr="00CC7B26">
              <w:rPr>
                <w:rFonts w:ascii="Verdana" w:eastAsia="Verdana" w:hAnsi="Verdana" w:cs="Arial"/>
                <w:b/>
                <w:bCs/>
                <w:sz w:val="18"/>
                <w:szCs w:val="18"/>
              </w:rPr>
              <w:t>Sesiones realizadas</w:t>
            </w:r>
          </w:p>
        </w:tc>
      </w:tr>
      <w:tr w:rsidR="00F6561E" w:rsidRPr="00CC7B26" w14:paraId="188B9004" w14:textId="77777777" w:rsidTr="0077302C">
        <w:trPr>
          <w:trHeight w:val="300"/>
        </w:trPr>
        <w:tc>
          <w:tcPr>
            <w:tcW w:w="1024" w:type="pct"/>
            <w:tcMar>
              <w:top w:w="15" w:type="dxa"/>
              <w:left w:w="15" w:type="dxa"/>
              <w:right w:w="15" w:type="dxa"/>
            </w:tcMar>
          </w:tcPr>
          <w:p w14:paraId="057C3D0A" w14:textId="21F74E0C"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Antioquia </w:t>
            </w:r>
          </w:p>
        </w:tc>
        <w:tc>
          <w:tcPr>
            <w:tcW w:w="1067" w:type="pct"/>
            <w:tcMar>
              <w:top w:w="15" w:type="dxa"/>
              <w:left w:w="15" w:type="dxa"/>
              <w:right w:w="15" w:type="dxa"/>
            </w:tcMar>
          </w:tcPr>
          <w:p w14:paraId="1EDDC3C3" w14:textId="60624BEE"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4</w:t>
            </w:r>
          </w:p>
        </w:tc>
        <w:tc>
          <w:tcPr>
            <w:tcW w:w="1063" w:type="pct"/>
            <w:tcMar>
              <w:top w:w="15" w:type="dxa"/>
              <w:left w:w="15" w:type="dxa"/>
              <w:right w:w="15" w:type="dxa"/>
            </w:tcMar>
          </w:tcPr>
          <w:p w14:paraId="35CA5895" w14:textId="6341959A"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4 </w:t>
            </w:r>
          </w:p>
        </w:tc>
        <w:tc>
          <w:tcPr>
            <w:tcW w:w="1055" w:type="pct"/>
          </w:tcPr>
          <w:p w14:paraId="0470AD57" w14:textId="0E368342"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61E50BF0" w14:textId="5600D99E"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15 </w:t>
            </w:r>
          </w:p>
        </w:tc>
      </w:tr>
      <w:tr w:rsidR="00F6561E" w:rsidRPr="00CC7B26" w14:paraId="2A91943D" w14:textId="77777777" w:rsidTr="0077302C">
        <w:trPr>
          <w:trHeight w:val="300"/>
        </w:trPr>
        <w:tc>
          <w:tcPr>
            <w:tcW w:w="1024" w:type="pct"/>
            <w:tcMar>
              <w:top w:w="15" w:type="dxa"/>
              <w:left w:w="15" w:type="dxa"/>
              <w:right w:w="15" w:type="dxa"/>
            </w:tcMar>
          </w:tcPr>
          <w:p w14:paraId="4B568482" w14:textId="15292932"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b/>
                <w:bCs/>
                <w:sz w:val="18"/>
                <w:szCs w:val="18"/>
              </w:rPr>
              <w:t xml:space="preserve">Cauca </w:t>
            </w:r>
          </w:p>
        </w:tc>
        <w:tc>
          <w:tcPr>
            <w:tcW w:w="1067" w:type="pct"/>
            <w:tcMar>
              <w:top w:w="15" w:type="dxa"/>
              <w:left w:w="15" w:type="dxa"/>
              <w:right w:w="15" w:type="dxa"/>
            </w:tcMar>
          </w:tcPr>
          <w:p w14:paraId="5126538E" w14:textId="3451831E"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3 </w:t>
            </w:r>
          </w:p>
        </w:tc>
        <w:tc>
          <w:tcPr>
            <w:tcW w:w="1063" w:type="pct"/>
            <w:tcMar>
              <w:top w:w="15" w:type="dxa"/>
              <w:left w:w="15" w:type="dxa"/>
              <w:right w:w="15" w:type="dxa"/>
            </w:tcMar>
          </w:tcPr>
          <w:p w14:paraId="466050BE" w14:textId="772C8A2D"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1055" w:type="pct"/>
          </w:tcPr>
          <w:p w14:paraId="5D2CD0B8" w14:textId="7133F034"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791" w:type="pct"/>
            <w:tcMar>
              <w:top w:w="15" w:type="dxa"/>
              <w:left w:w="15" w:type="dxa"/>
              <w:right w:w="15" w:type="dxa"/>
            </w:tcMar>
          </w:tcPr>
          <w:p w14:paraId="27C0CD52" w14:textId="45FCD6CC"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r>
      <w:tr w:rsidR="00F6561E" w:rsidRPr="00CC7B26" w14:paraId="03796638" w14:textId="77777777" w:rsidTr="0077302C">
        <w:trPr>
          <w:trHeight w:val="300"/>
        </w:trPr>
        <w:tc>
          <w:tcPr>
            <w:tcW w:w="1024" w:type="pct"/>
            <w:tcMar>
              <w:top w:w="15" w:type="dxa"/>
              <w:left w:w="15" w:type="dxa"/>
              <w:right w:w="15" w:type="dxa"/>
            </w:tcMar>
          </w:tcPr>
          <w:p w14:paraId="42C1F63D" w14:textId="3E0C9AFD"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b/>
                <w:bCs/>
                <w:sz w:val="18"/>
                <w:szCs w:val="18"/>
              </w:rPr>
              <w:t xml:space="preserve">Cesar </w:t>
            </w:r>
          </w:p>
        </w:tc>
        <w:tc>
          <w:tcPr>
            <w:tcW w:w="1067" w:type="pct"/>
            <w:tcMar>
              <w:top w:w="15" w:type="dxa"/>
              <w:left w:w="15" w:type="dxa"/>
              <w:right w:w="15" w:type="dxa"/>
            </w:tcMar>
          </w:tcPr>
          <w:p w14:paraId="261053FC" w14:textId="1119B9DE" w:rsidR="00F6561E" w:rsidRPr="00CC7B26" w:rsidRDefault="00CC7B26" w:rsidP="00CC7B26">
            <w:pPr>
              <w:spacing w:after="0" w:line="276" w:lineRule="auto"/>
              <w:jc w:val="center"/>
              <w:rPr>
                <w:rFonts w:ascii="Verdana" w:eastAsia="Verdana" w:hAnsi="Verdana" w:cs="Arial"/>
                <w:sz w:val="18"/>
                <w:szCs w:val="18"/>
                <w:lang w:val="en-US"/>
              </w:rPr>
            </w:pPr>
            <w:r>
              <w:rPr>
                <w:rFonts w:ascii="Verdana" w:hAnsi="Verdana"/>
                <w:sz w:val="18"/>
                <w:szCs w:val="18"/>
              </w:rPr>
              <w:t>1</w:t>
            </w:r>
          </w:p>
        </w:tc>
        <w:tc>
          <w:tcPr>
            <w:tcW w:w="1063" w:type="pct"/>
            <w:tcMar>
              <w:top w:w="15" w:type="dxa"/>
              <w:left w:w="15" w:type="dxa"/>
              <w:right w:w="15" w:type="dxa"/>
            </w:tcMar>
          </w:tcPr>
          <w:p w14:paraId="5B72AB82" w14:textId="0617DDD3"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1 </w:t>
            </w:r>
          </w:p>
        </w:tc>
        <w:tc>
          <w:tcPr>
            <w:tcW w:w="1055" w:type="pct"/>
          </w:tcPr>
          <w:p w14:paraId="71464445" w14:textId="4B92C047"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4F7981E7" w14:textId="602B6EC2" w:rsidR="00F6561E" w:rsidRPr="00CC7B26" w:rsidRDefault="00CC7B26" w:rsidP="00F6561E">
            <w:pPr>
              <w:spacing w:after="0" w:line="276" w:lineRule="auto"/>
              <w:jc w:val="center"/>
              <w:rPr>
                <w:rFonts w:ascii="Verdana" w:hAnsi="Verdana" w:cs="Arial"/>
                <w:sz w:val="18"/>
                <w:szCs w:val="18"/>
              </w:rPr>
            </w:pPr>
            <w:r>
              <w:rPr>
                <w:rFonts w:ascii="Verdana" w:hAnsi="Verdana"/>
                <w:sz w:val="18"/>
                <w:szCs w:val="18"/>
              </w:rPr>
              <w:t>3</w:t>
            </w:r>
            <w:r w:rsidR="00F6561E" w:rsidRPr="00CC7B26">
              <w:rPr>
                <w:rFonts w:ascii="Verdana" w:hAnsi="Verdana"/>
                <w:sz w:val="18"/>
                <w:szCs w:val="18"/>
              </w:rPr>
              <w:t xml:space="preserve"> </w:t>
            </w:r>
          </w:p>
        </w:tc>
      </w:tr>
      <w:tr w:rsidR="00F6561E" w:rsidRPr="00CC7B26" w14:paraId="4C5FB9DD" w14:textId="77777777" w:rsidTr="0077302C">
        <w:trPr>
          <w:trHeight w:val="300"/>
        </w:trPr>
        <w:tc>
          <w:tcPr>
            <w:tcW w:w="1024" w:type="pct"/>
            <w:tcMar>
              <w:top w:w="15" w:type="dxa"/>
              <w:left w:w="15" w:type="dxa"/>
              <w:right w:w="15" w:type="dxa"/>
            </w:tcMar>
          </w:tcPr>
          <w:p w14:paraId="2F1FD939" w14:textId="1162799E"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Chocó </w:t>
            </w:r>
          </w:p>
        </w:tc>
        <w:tc>
          <w:tcPr>
            <w:tcW w:w="1067" w:type="pct"/>
            <w:tcMar>
              <w:top w:w="15" w:type="dxa"/>
              <w:left w:w="15" w:type="dxa"/>
              <w:right w:w="15" w:type="dxa"/>
            </w:tcMar>
          </w:tcPr>
          <w:p w14:paraId="0CFC21FA" w14:textId="7AD40601"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37ABA216" w14:textId="6D47950C"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55" w:type="pct"/>
          </w:tcPr>
          <w:p w14:paraId="294B1A31" w14:textId="379EF015"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2A7FE513" w14:textId="25E2367D"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5 </w:t>
            </w:r>
          </w:p>
        </w:tc>
      </w:tr>
      <w:tr w:rsidR="00F6561E" w:rsidRPr="00CC7B26" w14:paraId="5EE4A514" w14:textId="77777777" w:rsidTr="0077302C">
        <w:trPr>
          <w:trHeight w:val="300"/>
        </w:trPr>
        <w:tc>
          <w:tcPr>
            <w:tcW w:w="1024" w:type="pct"/>
            <w:tcMar>
              <w:top w:w="15" w:type="dxa"/>
              <w:left w:w="15" w:type="dxa"/>
              <w:right w:w="15" w:type="dxa"/>
            </w:tcMar>
          </w:tcPr>
          <w:p w14:paraId="7FD9DFFD" w14:textId="72D21175"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La Guajira </w:t>
            </w:r>
          </w:p>
        </w:tc>
        <w:tc>
          <w:tcPr>
            <w:tcW w:w="1067" w:type="pct"/>
            <w:tcMar>
              <w:top w:w="15" w:type="dxa"/>
              <w:left w:w="15" w:type="dxa"/>
              <w:right w:w="15" w:type="dxa"/>
            </w:tcMar>
          </w:tcPr>
          <w:p w14:paraId="5A43C056" w14:textId="0A6769AB"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51A3AA73" w14:textId="0A757D27"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55" w:type="pct"/>
          </w:tcPr>
          <w:p w14:paraId="53F5EC91" w14:textId="0F338BE0"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4407EBA1" w14:textId="663B5394"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2 </w:t>
            </w:r>
          </w:p>
        </w:tc>
      </w:tr>
      <w:tr w:rsidR="00F6561E" w:rsidRPr="00CC7B26" w14:paraId="532C6383" w14:textId="77777777" w:rsidTr="0077302C">
        <w:trPr>
          <w:trHeight w:val="300"/>
        </w:trPr>
        <w:tc>
          <w:tcPr>
            <w:tcW w:w="1024" w:type="pct"/>
            <w:tcMar>
              <w:top w:w="15" w:type="dxa"/>
              <w:left w:w="15" w:type="dxa"/>
              <w:right w:w="15" w:type="dxa"/>
            </w:tcMar>
          </w:tcPr>
          <w:p w14:paraId="4D9D906C" w14:textId="18A49048"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Norte de Santander </w:t>
            </w:r>
          </w:p>
        </w:tc>
        <w:tc>
          <w:tcPr>
            <w:tcW w:w="1067" w:type="pct"/>
            <w:tcMar>
              <w:top w:w="15" w:type="dxa"/>
              <w:left w:w="15" w:type="dxa"/>
              <w:right w:w="15" w:type="dxa"/>
            </w:tcMar>
          </w:tcPr>
          <w:p w14:paraId="2AE56323" w14:textId="0A827EBC"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3C7482F9" w14:textId="1C9ABB87"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1055" w:type="pct"/>
          </w:tcPr>
          <w:p w14:paraId="57E0CB65" w14:textId="3E899300"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791" w:type="pct"/>
            <w:tcMar>
              <w:top w:w="15" w:type="dxa"/>
              <w:left w:w="15" w:type="dxa"/>
              <w:right w:w="15" w:type="dxa"/>
            </w:tcMar>
          </w:tcPr>
          <w:p w14:paraId="1FD0280F" w14:textId="4252B54F"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r>
      <w:tr w:rsidR="00F6561E" w:rsidRPr="00CC7B26" w14:paraId="5DF11611" w14:textId="77777777" w:rsidTr="0077302C">
        <w:trPr>
          <w:trHeight w:val="300"/>
        </w:trPr>
        <w:tc>
          <w:tcPr>
            <w:tcW w:w="1024" w:type="pct"/>
            <w:tcMar>
              <w:top w:w="15" w:type="dxa"/>
              <w:left w:w="15" w:type="dxa"/>
              <w:right w:w="15" w:type="dxa"/>
            </w:tcMar>
          </w:tcPr>
          <w:p w14:paraId="531D9D29" w14:textId="04420A7A"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b/>
                <w:bCs/>
                <w:sz w:val="18"/>
                <w:szCs w:val="18"/>
              </w:rPr>
              <w:t xml:space="preserve">Tolima </w:t>
            </w:r>
          </w:p>
        </w:tc>
        <w:tc>
          <w:tcPr>
            <w:tcW w:w="1067" w:type="pct"/>
            <w:tcMar>
              <w:top w:w="15" w:type="dxa"/>
              <w:left w:w="15" w:type="dxa"/>
              <w:right w:w="15" w:type="dxa"/>
            </w:tcMar>
          </w:tcPr>
          <w:p w14:paraId="3222FFCB" w14:textId="48E1B5E4"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2 </w:t>
            </w:r>
          </w:p>
        </w:tc>
        <w:tc>
          <w:tcPr>
            <w:tcW w:w="1063" w:type="pct"/>
            <w:tcMar>
              <w:top w:w="15" w:type="dxa"/>
              <w:left w:w="15" w:type="dxa"/>
              <w:right w:w="15" w:type="dxa"/>
            </w:tcMar>
          </w:tcPr>
          <w:p w14:paraId="03BBD6AE" w14:textId="3FF72ECE"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2 </w:t>
            </w:r>
          </w:p>
        </w:tc>
        <w:tc>
          <w:tcPr>
            <w:tcW w:w="1055" w:type="pct"/>
          </w:tcPr>
          <w:p w14:paraId="610C2616" w14:textId="0B74DCF6"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01420CC8" w14:textId="12892001"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6 </w:t>
            </w:r>
          </w:p>
        </w:tc>
      </w:tr>
      <w:tr w:rsidR="00F6561E" w:rsidRPr="00CC7B26" w14:paraId="2324C55E" w14:textId="77777777" w:rsidTr="0077302C">
        <w:trPr>
          <w:trHeight w:val="300"/>
        </w:trPr>
        <w:tc>
          <w:tcPr>
            <w:tcW w:w="1024" w:type="pct"/>
            <w:tcMar>
              <w:top w:w="15" w:type="dxa"/>
              <w:left w:w="15" w:type="dxa"/>
              <w:right w:w="15" w:type="dxa"/>
            </w:tcMar>
          </w:tcPr>
          <w:p w14:paraId="059E807A" w14:textId="6E31428B"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Arauca </w:t>
            </w:r>
          </w:p>
        </w:tc>
        <w:tc>
          <w:tcPr>
            <w:tcW w:w="1067" w:type="pct"/>
            <w:tcMar>
              <w:top w:w="15" w:type="dxa"/>
              <w:left w:w="15" w:type="dxa"/>
              <w:right w:w="15" w:type="dxa"/>
            </w:tcMar>
          </w:tcPr>
          <w:p w14:paraId="49240CE7" w14:textId="647E6ED3"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3EF423E0" w14:textId="73D28799"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55" w:type="pct"/>
          </w:tcPr>
          <w:p w14:paraId="1AE6982F" w14:textId="6E6305F2" w:rsidR="00F6561E" w:rsidRPr="00CC7B26" w:rsidRDefault="00F6561E" w:rsidP="00F6561E">
            <w:pPr>
              <w:spacing w:after="0" w:line="276" w:lineRule="auto"/>
              <w:jc w:val="center"/>
              <w:rPr>
                <w:rFonts w:ascii="Verdana" w:eastAsia="Verdana" w:hAnsi="Verdana" w:cs="Arial"/>
                <w:sz w:val="18"/>
                <w:szCs w:val="18"/>
              </w:rPr>
            </w:pPr>
            <w:r w:rsidRPr="00CC7B26">
              <w:rPr>
                <w:rFonts w:ascii="Verdana" w:hAnsi="Verdana"/>
                <w:sz w:val="18"/>
                <w:szCs w:val="18"/>
              </w:rPr>
              <w:t xml:space="preserve">100% </w:t>
            </w:r>
          </w:p>
        </w:tc>
        <w:tc>
          <w:tcPr>
            <w:tcW w:w="791" w:type="pct"/>
            <w:tcMar>
              <w:top w:w="15" w:type="dxa"/>
              <w:left w:w="15" w:type="dxa"/>
              <w:right w:w="15" w:type="dxa"/>
            </w:tcMar>
          </w:tcPr>
          <w:p w14:paraId="30DD4389" w14:textId="295F7E6D"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5 </w:t>
            </w:r>
          </w:p>
        </w:tc>
      </w:tr>
      <w:tr w:rsidR="00F6561E" w:rsidRPr="00CC7B26" w14:paraId="1FF4E1E0" w14:textId="77777777" w:rsidTr="0077302C">
        <w:trPr>
          <w:trHeight w:val="300"/>
        </w:trPr>
        <w:tc>
          <w:tcPr>
            <w:tcW w:w="1024" w:type="pct"/>
            <w:tcMar>
              <w:top w:w="15" w:type="dxa"/>
              <w:left w:w="15" w:type="dxa"/>
              <w:right w:w="15" w:type="dxa"/>
            </w:tcMar>
          </w:tcPr>
          <w:p w14:paraId="00A27A92" w14:textId="77F6ACAF" w:rsidR="00F6561E" w:rsidRPr="00CC7B26" w:rsidRDefault="00F6561E" w:rsidP="00F6561E">
            <w:pPr>
              <w:spacing w:after="0" w:line="276" w:lineRule="auto"/>
              <w:jc w:val="center"/>
              <w:rPr>
                <w:rFonts w:ascii="Verdana" w:hAnsi="Verdana" w:cs="Arial"/>
                <w:sz w:val="18"/>
                <w:szCs w:val="18"/>
              </w:rPr>
            </w:pPr>
            <w:r w:rsidRPr="00CC7B26">
              <w:rPr>
                <w:rFonts w:ascii="Verdana" w:hAnsi="Verdana"/>
                <w:b/>
                <w:bCs/>
                <w:sz w:val="18"/>
                <w:szCs w:val="18"/>
              </w:rPr>
              <w:t xml:space="preserve">Putumayo </w:t>
            </w:r>
          </w:p>
        </w:tc>
        <w:tc>
          <w:tcPr>
            <w:tcW w:w="1067" w:type="pct"/>
            <w:tcMar>
              <w:top w:w="15" w:type="dxa"/>
              <w:left w:w="15" w:type="dxa"/>
              <w:right w:w="15" w:type="dxa"/>
            </w:tcMar>
          </w:tcPr>
          <w:p w14:paraId="61758198" w14:textId="2F016534"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1 </w:t>
            </w:r>
          </w:p>
        </w:tc>
        <w:tc>
          <w:tcPr>
            <w:tcW w:w="1063" w:type="pct"/>
            <w:tcMar>
              <w:top w:w="15" w:type="dxa"/>
              <w:left w:w="15" w:type="dxa"/>
              <w:right w:w="15" w:type="dxa"/>
            </w:tcMar>
          </w:tcPr>
          <w:p w14:paraId="40EE26FF" w14:textId="0AD3BA21"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1055" w:type="pct"/>
          </w:tcPr>
          <w:p w14:paraId="2191A358" w14:textId="17B2528E"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c>
          <w:tcPr>
            <w:tcW w:w="791" w:type="pct"/>
            <w:tcMar>
              <w:top w:w="15" w:type="dxa"/>
              <w:left w:w="15" w:type="dxa"/>
              <w:right w:w="15" w:type="dxa"/>
            </w:tcMar>
          </w:tcPr>
          <w:p w14:paraId="119D1772" w14:textId="2D080470" w:rsidR="00F6561E" w:rsidRPr="00CC7B26" w:rsidRDefault="00F6561E" w:rsidP="00F6561E">
            <w:pPr>
              <w:spacing w:after="0" w:line="276" w:lineRule="auto"/>
              <w:jc w:val="center"/>
              <w:rPr>
                <w:rFonts w:ascii="Verdana" w:hAnsi="Verdana" w:cs="Arial"/>
                <w:sz w:val="18"/>
                <w:szCs w:val="18"/>
              </w:rPr>
            </w:pPr>
            <w:r w:rsidRPr="00CC7B26">
              <w:rPr>
                <w:rFonts w:ascii="Verdana" w:hAnsi="Verdana"/>
                <w:sz w:val="18"/>
                <w:szCs w:val="18"/>
              </w:rPr>
              <w:t xml:space="preserve">0 </w:t>
            </w:r>
          </w:p>
        </w:tc>
      </w:tr>
      <w:tr w:rsidR="003F22F7" w:rsidRPr="00CC7B26" w14:paraId="6D23ECA2" w14:textId="77777777" w:rsidTr="0077302C">
        <w:trPr>
          <w:trHeight w:val="300"/>
        </w:trPr>
        <w:tc>
          <w:tcPr>
            <w:tcW w:w="1024" w:type="pct"/>
            <w:tcMar>
              <w:top w:w="15" w:type="dxa"/>
              <w:left w:w="15" w:type="dxa"/>
              <w:right w:w="15" w:type="dxa"/>
            </w:tcMar>
            <w:vAlign w:val="center"/>
          </w:tcPr>
          <w:p w14:paraId="0E71036A" w14:textId="30CEFB6D" w:rsidR="003F22F7" w:rsidRPr="00CC7B26" w:rsidRDefault="003F22F7" w:rsidP="001A3866">
            <w:pPr>
              <w:spacing w:after="0" w:line="276" w:lineRule="auto"/>
              <w:jc w:val="center"/>
              <w:rPr>
                <w:rFonts w:ascii="Verdana" w:hAnsi="Verdana" w:cs="Arial"/>
                <w:sz w:val="18"/>
                <w:szCs w:val="18"/>
              </w:rPr>
            </w:pPr>
            <w:r w:rsidRPr="00CC7B26">
              <w:rPr>
                <w:rFonts w:ascii="Verdana" w:eastAsia="Verdana" w:hAnsi="Verdana" w:cs="Arial"/>
                <w:b/>
                <w:bCs/>
                <w:sz w:val="18"/>
                <w:szCs w:val="18"/>
              </w:rPr>
              <w:t>Total</w:t>
            </w:r>
          </w:p>
        </w:tc>
        <w:tc>
          <w:tcPr>
            <w:tcW w:w="1067" w:type="pct"/>
            <w:tcMar>
              <w:top w:w="15" w:type="dxa"/>
              <w:left w:w="15" w:type="dxa"/>
              <w:right w:w="15" w:type="dxa"/>
            </w:tcMar>
            <w:vAlign w:val="center"/>
          </w:tcPr>
          <w:p w14:paraId="4C7842FD" w14:textId="196DEF5E" w:rsidR="003F22F7" w:rsidRPr="00CC7B26" w:rsidRDefault="00F6561E" w:rsidP="001A3866">
            <w:pPr>
              <w:spacing w:after="0" w:line="276" w:lineRule="auto"/>
              <w:jc w:val="center"/>
              <w:rPr>
                <w:rFonts w:ascii="Verdana" w:hAnsi="Verdana" w:cs="Arial"/>
                <w:sz w:val="18"/>
                <w:szCs w:val="18"/>
              </w:rPr>
            </w:pPr>
            <w:r w:rsidRPr="00CC7B26">
              <w:rPr>
                <w:rFonts w:ascii="Verdana" w:eastAsia="Verdana" w:hAnsi="Verdana" w:cs="Arial"/>
                <w:b/>
                <w:bCs/>
                <w:sz w:val="18"/>
                <w:szCs w:val="18"/>
                <w:lang w:val="en-US"/>
              </w:rPr>
              <w:t>15</w:t>
            </w:r>
          </w:p>
        </w:tc>
        <w:tc>
          <w:tcPr>
            <w:tcW w:w="1063" w:type="pct"/>
            <w:tcMar>
              <w:top w:w="15" w:type="dxa"/>
              <w:left w:w="15" w:type="dxa"/>
              <w:right w:w="15" w:type="dxa"/>
            </w:tcMar>
            <w:vAlign w:val="center"/>
          </w:tcPr>
          <w:p w14:paraId="2C932937" w14:textId="3E8C8613" w:rsidR="003F22F7" w:rsidRPr="00CC7B26" w:rsidRDefault="003F22F7" w:rsidP="001A3866">
            <w:pPr>
              <w:spacing w:after="0" w:line="276" w:lineRule="auto"/>
              <w:jc w:val="center"/>
              <w:rPr>
                <w:rFonts w:ascii="Verdana" w:hAnsi="Verdana" w:cs="Arial"/>
                <w:sz w:val="18"/>
                <w:szCs w:val="18"/>
              </w:rPr>
            </w:pPr>
            <w:r w:rsidRPr="00CC7B26">
              <w:rPr>
                <w:rFonts w:ascii="Verdana" w:eastAsia="Verdana" w:hAnsi="Verdana" w:cs="Arial"/>
                <w:b/>
                <w:bCs/>
                <w:sz w:val="18"/>
                <w:szCs w:val="18"/>
              </w:rPr>
              <w:t>10</w:t>
            </w:r>
          </w:p>
        </w:tc>
        <w:tc>
          <w:tcPr>
            <w:tcW w:w="1055" w:type="pct"/>
          </w:tcPr>
          <w:p w14:paraId="5D3F14D0" w14:textId="03E54409" w:rsidR="003F22F7" w:rsidRPr="00CC7B26" w:rsidRDefault="00CC7B26" w:rsidP="001A3866">
            <w:pPr>
              <w:spacing w:after="0" w:line="276" w:lineRule="auto"/>
              <w:jc w:val="center"/>
              <w:rPr>
                <w:rFonts w:ascii="Verdana" w:hAnsi="Verdana" w:cs="Arial"/>
                <w:b/>
                <w:bCs/>
                <w:sz w:val="18"/>
                <w:szCs w:val="18"/>
              </w:rPr>
            </w:pPr>
            <w:r w:rsidRPr="00CC7B26">
              <w:rPr>
                <w:rFonts w:ascii="Verdana" w:hAnsi="Verdana" w:cs="Arial"/>
                <w:b/>
                <w:bCs/>
                <w:sz w:val="18"/>
                <w:szCs w:val="18"/>
              </w:rPr>
              <w:t>67%</w:t>
            </w:r>
          </w:p>
        </w:tc>
        <w:tc>
          <w:tcPr>
            <w:tcW w:w="791" w:type="pct"/>
            <w:tcMar>
              <w:top w:w="15" w:type="dxa"/>
              <w:left w:w="15" w:type="dxa"/>
              <w:right w:w="15" w:type="dxa"/>
            </w:tcMar>
            <w:vAlign w:val="center"/>
          </w:tcPr>
          <w:p w14:paraId="454A32D5" w14:textId="773CBA9C" w:rsidR="003F22F7" w:rsidRPr="00CC7B26" w:rsidRDefault="00CC7B26" w:rsidP="001A3866">
            <w:pPr>
              <w:spacing w:after="0" w:line="276" w:lineRule="auto"/>
              <w:jc w:val="center"/>
              <w:rPr>
                <w:rFonts w:ascii="Verdana" w:hAnsi="Verdana" w:cs="Arial"/>
                <w:b/>
                <w:bCs/>
                <w:sz w:val="18"/>
                <w:szCs w:val="18"/>
              </w:rPr>
            </w:pPr>
            <w:r w:rsidRPr="00CC7B26">
              <w:rPr>
                <w:rFonts w:ascii="Verdana" w:hAnsi="Verdana" w:cs="Arial"/>
                <w:b/>
                <w:bCs/>
                <w:sz w:val="18"/>
                <w:szCs w:val="18"/>
              </w:rPr>
              <w:t>36</w:t>
            </w:r>
          </w:p>
        </w:tc>
      </w:tr>
    </w:tbl>
    <w:p w14:paraId="6A803EF5"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95FCCD8" w14:textId="75CF8ACA" w:rsidR="00B709EF" w:rsidRPr="004E7B47" w:rsidRDefault="00B709EF" w:rsidP="004E7B47">
      <w:pPr>
        <w:spacing w:after="0" w:line="276" w:lineRule="auto"/>
        <w:rPr>
          <w:rFonts w:ascii="Verdana" w:eastAsia="Verdana" w:hAnsi="Verdana" w:cs="Arial"/>
          <w:color w:val="000000" w:themeColor="text1"/>
          <w:sz w:val="18"/>
          <w:szCs w:val="18"/>
        </w:rPr>
      </w:pPr>
    </w:p>
    <w:p w14:paraId="465BAD55" w14:textId="07131082" w:rsidR="004E7B47" w:rsidRPr="004E7B47" w:rsidRDefault="004E7B47" w:rsidP="004E7B47">
      <w:pPr>
        <w:pStyle w:val="Descripcin"/>
        <w:keepNext/>
        <w:jc w:val="center"/>
        <w:rPr>
          <w:rFonts w:ascii="Verdana" w:eastAsia="Verdana" w:hAnsi="Verdana" w:cs="Arial"/>
          <w:i w:val="0"/>
          <w:iCs w:val="0"/>
          <w:color w:val="000000" w:themeColor="text1"/>
        </w:rPr>
      </w:pPr>
      <w:bookmarkStart w:id="50" w:name="_Toc225283157"/>
      <w:r w:rsidRPr="004E7B47">
        <w:rPr>
          <w:rFonts w:ascii="Verdana" w:eastAsia="Verdana" w:hAnsi="Verdana" w:cs="Arial"/>
          <w:i w:val="0"/>
          <w:iCs w:val="0"/>
          <w:color w:val="000000" w:themeColor="text1"/>
        </w:rPr>
        <w:t xml:space="preserve">Tabla </w:t>
      </w:r>
      <w:r w:rsidRPr="004E7B47">
        <w:rPr>
          <w:rFonts w:ascii="Verdana" w:eastAsia="Verdana" w:hAnsi="Verdana" w:cs="Arial"/>
          <w:i w:val="0"/>
          <w:iCs w:val="0"/>
          <w:color w:val="000000" w:themeColor="text1"/>
        </w:rPr>
        <w:fldChar w:fldCharType="begin"/>
      </w:r>
      <w:r w:rsidRPr="004E7B47">
        <w:rPr>
          <w:rFonts w:ascii="Verdana" w:eastAsia="Verdana" w:hAnsi="Verdana" w:cs="Arial"/>
          <w:i w:val="0"/>
          <w:iCs w:val="0"/>
          <w:color w:val="000000" w:themeColor="text1"/>
        </w:rPr>
        <w:instrText xml:space="preserve"> SEQ Tabla \* ARABIC </w:instrText>
      </w:r>
      <w:r w:rsidRPr="004E7B47">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45</w:t>
      </w:r>
      <w:r w:rsidRPr="004E7B47">
        <w:rPr>
          <w:rFonts w:ascii="Verdana" w:eastAsia="Verdana" w:hAnsi="Verdana" w:cs="Arial"/>
          <w:i w:val="0"/>
          <w:iCs w:val="0"/>
          <w:color w:val="000000" w:themeColor="text1"/>
        </w:rPr>
        <w:fldChar w:fldCharType="end"/>
      </w:r>
      <w:r w:rsidRPr="004E7B47">
        <w:rPr>
          <w:rFonts w:ascii="Verdana" w:eastAsia="Verdana" w:hAnsi="Verdana" w:cs="Arial"/>
          <w:i w:val="0"/>
          <w:iCs w:val="0"/>
          <w:color w:val="000000" w:themeColor="text1"/>
        </w:rPr>
        <w:t>. Sesiones por instancias del indicador C.427</w:t>
      </w:r>
      <w:bookmarkEnd w:id="50"/>
    </w:p>
    <w:tbl>
      <w:tblPr>
        <w:tblW w:w="5000" w:type="pct"/>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Sesiones por instancias del indicador"/>
        <w:tblDescription w:val="Tabla que contiene los siguientes items: indicador del PMI, cantidad de instancias instaladas, cantidad de instancias que sesionaron, % instancias activas, sesiones realizadas.&#10;"/>
      </w:tblPr>
      <w:tblGrid>
        <w:gridCol w:w="1913"/>
        <w:gridCol w:w="1911"/>
        <w:gridCol w:w="1992"/>
        <w:gridCol w:w="1506"/>
        <w:gridCol w:w="1506"/>
      </w:tblGrid>
      <w:tr w:rsidR="00884251" w:rsidRPr="00840264" w14:paraId="7ACC9F73" w14:textId="77777777" w:rsidTr="696F6128">
        <w:trPr>
          <w:trHeight w:val="300"/>
          <w:tblHeader/>
        </w:trPr>
        <w:tc>
          <w:tcPr>
            <w:tcW w:w="1083" w:type="pct"/>
            <w:tcMar>
              <w:top w:w="15" w:type="dxa"/>
              <w:left w:w="15" w:type="dxa"/>
              <w:right w:w="15" w:type="dxa"/>
            </w:tcMar>
            <w:vAlign w:val="center"/>
          </w:tcPr>
          <w:p w14:paraId="4C69B9C5" w14:textId="1D4E224C" w:rsidR="00884251" w:rsidRPr="00840264" w:rsidRDefault="78359E6A" w:rsidP="00C25586">
            <w:pPr>
              <w:spacing w:after="0" w:line="276" w:lineRule="auto"/>
              <w:jc w:val="center"/>
              <w:rPr>
                <w:rFonts w:ascii="Verdana" w:hAnsi="Verdana" w:cs="Arial"/>
                <w:sz w:val="18"/>
                <w:szCs w:val="18"/>
              </w:rPr>
            </w:pPr>
            <w:r w:rsidRPr="696F6128">
              <w:rPr>
                <w:rFonts w:ascii="Verdana" w:eastAsia="Verdana" w:hAnsi="Verdana" w:cs="Arial"/>
                <w:b/>
                <w:bCs/>
                <w:sz w:val="18"/>
                <w:szCs w:val="18"/>
              </w:rPr>
              <w:t>Instancias</w:t>
            </w:r>
          </w:p>
        </w:tc>
        <w:tc>
          <w:tcPr>
            <w:tcW w:w="1082" w:type="pct"/>
            <w:tcMar>
              <w:top w:w="15" w:type="dxa"/>
              <w:left w:w="15" w:type="dxa"/>
              <w:right w:w="15" w:type="dxa"/>
            </w:tcMar>
            <w:vAlign w:val="center"/>
          </w:tcPr>
          <w:p w14:paraId="1E79A348" w14:textId="42445502"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b/>
                <w:bCs/>
                <w:sz w:val="18"/>
                <w:szCs w:val="18"/>
              </w:rPr>
              <w:t>Cantidad de instancias instaladas</w:t>
            </w:r>
          </w:p>
        </w:tc>
        <w:tc>
          <w:tcPr>
            <w:tcW w:w="1128" w:type="pct"/>
            <w:tcMar>
              <w:top w:w="15" w:type="dxa"/>
              <w:left w:w="15" w:type="dxa"/>
              <w:right w:w="15" w:type="dxa"/>
            </w:tcMar>
            <w:vAlign w:val="center"/>
          </w:tcPr>
          <w:p w14:paraId="074D1971" w14:textId="10F40744"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b/>
                <w:bCs/>
                <w:sz w:val="18"/>
                <w:szCs w:val="18"/>
              </w:rPr>
              <w:t>Cantidad de instancias que sesionaron</w:t>
            </w:r>
          </w:p>
        </w:tc>
        <w:tc>
          <w:tcPr>
            <w:tcW w:w="853" w:type="pct"/>
          </w:tcPr>
          <w:p w14:paraId="21E2891C" w14:textId="6C5F6C3D" w:rsidR="00884251" w:rsidRPr="00840264" w:rsidRDefault="00884251" w:rsidP="00C25586">
            <w:pPr>
              <w:spacing w:after="0" w:line="276" w:lineRule="auto"/>
              <w:jc w:val="center"/>
              <w:rPr>
                <w:rFonts w:ascii="Verdana" w:eastAsia="Verdana" w:hAnsi="Verdana" w:cs="Arial"/>
                <w:b/>
                <w:bCs/>
                <w:sz w:val="18"/>
                <w:szCs w:val="18"/>
              </w:rPr>
            </w:pPr>
            <w:r>
              <w:rPr>
                <w:rFonts w:ascii="Verdana" w:eastAsia="Verdana" w:hAnsi="Verdana" w:cs="Arial"/>
                <w:b/>
                <w:bCs/>
                <w:sz w:val="18"/>
                <w:szCs w:val="18"/>
              </w:rPr>
              <w:t xml:space="preserve">% </w:t>
            </w:r>
            <w:r w:rsidRPr="00884251">
              <w:rPr>
                <w:rFonts w:ascii="Verdana" w:eastAsia="Verdana" w:hAnsi="Verdana" w:cs="Arial"/>
                <w:b/>
                <w:bCs/>
                <w:sz w:val="18"/>
                <w:szCs w:val="18"/>
              </w:rPr>
              <w:t>instancias activas</w:t>
            </w:r>
          </w:p>
        </w:tc>
        <w:tc>
          <w:tcPr>
            <w:tcW w:w="853" w:type="pct"/>
            <w:tcMar>
              <w:top w:w="15" w:type="dxa"/>
              <w:left w:w="15" w:type="dxa"/>
              <w:right w:w="15" w:type="dxa"/>
            </w:tcMar>
            <w:vAlign w:val="center"/>
          </w:tcPr>
          <w:p w14:paraId="6124522B" w14:textId="37F089C8"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b/>
                <w:bCs/>
                <w:sz w:val="18"/>
                <w:szCs w:val="18"/>
              </w:rPr>
              <w:t>Sesiones realizadas</w:t>
            </w:r>
          </w:p>
        </w:tc>
      </w:tr>
      <w:tr w:rsidR="00884251" w:rsidRPr="00840264" w14:paraId="55E3BFD4" w14:textId="77777777" w:rsidTr="696F6128">
        <w:trPr>
          <w:trHeight w:val="300"/>
        </w:trPr>
        <w:tc>
          <w:tcPr>
            <w:tcW w:w="1083" w:type="pct"/>
            <w:tcMar>
              <w:top w:w="15" w:type="dxa"/>
              <w:left w:w="15" w:type="dxa"/>
              <w:right w:w="15" w:type="dxa"/>
            </w:tcMar>
            <w:vAlign w:val="center"/>
          </w:tcPr>
          <w:p w14:paraId="23EB64CB" w14:textId="279ED54B"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sz w:val="18"/>
                <w:szCs w:val="18"/>
              </w:rPr>
              <w:t>Departamental/</w:t>
            </w:r>
            <w:r w:rsidRPr="00840264">
              <w:rPr>
                <w:rFonts w:ascii="Verdana" w:hAnsi="Verdana" w:cs="Arial"/>
                <w:sz w:val="18"/>
                <w:szCs w:val="18"/>
              </w:rPr>
              <w:br/>
            </w:r>
            <w:r w:rsidRPr="00840264">
              <w:rPr>
                <w:rFonts w:ascii="Verdana" w:eastAsia="Calibri" w:hAnsi="Verdana" w:cs="Arial"/>
                <w:sz w:val="18"/>
                <w:szCs w:val="18"/>
              </w:rPr>
              <w:t xml:space="preserve"> </w:t>
            </w:r>
            <w:r w:rsidRPr="00840264">
              <w:rPr>
                <w:rFonts w:ascii="Verdana" w:eastAsia="Verdana" w:hAnsi="Verdana" w:cs="Arial"/>
                <w:sz w:val="18"/>
                <w:szCs w:val="18"/>
              </w:rPr>
              <w:t xml:space="preserve"> Distrital</w:t>
            </w:r>
          </w:p>
        </w:tc>
        <w:tc>
          <w:tcPr>
            <w:tcW w:w="1082" w:type="pct"/>
            <w:tcMar>
              <w:top w:w="15" w:type="dxa"/>
              <w:left w:w="15" w:type="dxa"/>
              <w:right w:w="15" w:type="dxa"/>
            </w:tcMar>
            <w:vAlign w:val="center"/>
          </w:tcPr>
          <w:p w14:paraId="1F71154A" w14:textId="1171B463"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sz w:val="18"/>
                <w:szCs w:val="18"/>
                <w:lang w:val="en-US"/>
              </w:rPr>
              <w:t>24</w:t>
            </w:r>
          </w:p>
        </w:tc>
        <w:tc>
          <w:tcPr>
            <w:tcW w:w="1128" w:type="pct"/>
            <w:tcMar>
              <w:top w:w="15" w:type="dxa"/>
              <w:left w:w="15" w:type="dxa"/>
              <w:right w:w="15" w:type="dxa"/>
            </w:tcMar>
            <w:vAlign w:val="center"/>
          </w:tcPr>
          <w:p w14:paraId="075EBF2D" w14:textId="5A0C7E41" w:rsidR="00884251" w:rsidRPr="00840264" w:rsidRDefault="00884251" w:rsidP="00C25586">
            <w:pPr>
              <w:spacing w:after="0" w:line="276" w:lineRule="auto"/>
              <w:jc w:val="center"/>
              <w:rPr>
                <w:rFonts w:ascii="Verdana" w:hAnsi="Verdana" w:cs="Arial"/>
                <w:sz w:val="18"/>
                <w:szCs w:val="18"/>
              </w:rPr>
            </w:pPr>
            <w:r>
              <w:rPr>
                <w:rFonts w:ascii="Verdana" w:eastAsia="Verdana" w:hAnsi="Verdana" w:cs="Arial"/>
                <w:sz w:val="18"/>
                <w:szCs w:val="18"/>
              </w:rPr>
              <w:t>21</w:t>
            </w:r>
          </w:p>
        </w:tc>
        <w:tc>
          <w:tcPr>
            <w:tcW w:w="853" w:type="pct"/>
          </w:tcPr>
          <w:p w14:paraId="14048F8A" w14:textId="6E74EBB7"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88%</w:t>
            </w:r>
          </w:p>
        </w:tc>
        <w:tc>
          <w:tcPr>
            <w:tcW w:w="853" w:type="pct"/>
            <w:tcMar>
              <w:top w:w="15" w:type="dxa"/>
              <w:left w:w="15" w:type="dxa"/>
              <w:right w:w="15" w:type="dxa"/>
            </w:tcMar>
            <w:vAlign w:val="center"/>
          </w:tcPr>
          <w:p w14:paraId="107D5089" w14:textId="4EEB4A21"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60</w:t>
            </w:r>
          </w:p>
        </w:tc>
      </w:tr>
      <w:tr w:rsidR="00884251" w:rsidRPr="00840264" w14:paraId="049E0058" w14:textId="77777777" w:rsidTr="696F6128">
        <w:trPr>
          <w:trHeight w:val="300"/>
        </w:trPr>
        <w:tc>
          <w:tcPr>
            <w:tcW w:w="1083" w:type="pct"/>
            <w:tcMar>
              <w:top w:w="15" w:type="dxa"/>
              <w:left w:w="15" w:type="dxa"/>
              <w:right w:w="15" w:type="dxa"/>
            </w:tcMar>
            <w:vAlign w:val="center"/>
          </w:tcPr>
          <w:p w14:paraId="21067BAC" w14:textId="605E841E"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sz w:val="18"/>
                <w:szCs w:val="18"/>
              </w:rPr>
              <w:t>Municipal</w:t>
            </w:r>
          </w:p>
        </w:tc>
        <w:tc>
          <w:tcPr>
            <w:tcW w:w="1082" w:type="pct"/>
            <w:tcMar>
              <w:top w:w="15" w:type="dxa"/>
              <w:left w:w="15" w:type="dxa"/>
              <w:right w:w="15" w:type="dxa"/>
            </w:tcMar>
            <w:vAlign w:val="center"/>
          </w:tcPr>
          <w:p w14:paraId="06F4AE88" w14:textId="7E395698"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sz w:val="18"/>
                <w:szCs w:val="18"/>
                <w:lang w:val="en-US"/>
              </w:rPr>
              <w:t>45</w:t>
            </w:r>
          </w:p>
        </w:tc>
        <w:tc>
          <w:tcPr>
            <w:tcW w:w="1128" w:type="pct"/>
            <w:tcMar>
              <w:top w:w="15" w:type="dxa"/>
              <w:left w:w="15" w:type="dxa"/>
              <w:right w:w="15" w:type="dxa"/>
            </w:tcMar>
            <w:vAlign w:val="center"/>
          </w:tcPr>
          <w:p w14:paraId="0797B282" w14:textId="3EC6C0BF"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38</w:t>
            </w:r>
          </w:p>
        </w:tc>
        <w:tc>
          <w:tcPr>
            <w:tcW w:w="853" w:type="pct"/>
          </w:tcPr>
          <w:p w14:paraId="33D9DA1D" w14:textId="2ED938DA"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84%</w:t>
            </w:r>
          </w:p>
        </w:tc>
        <w:tc>
          <w:tcPr>
            <w:tcW w:w="853" w:type="pct"/>
            <w:tcMar>
              <w:top w:w="15" w:type="dxa"/>
              <w:left w:w="15" w:type="dxa"/>
              <w:right w:w="15" w:type="dxa"/>
            </w:tcMar>
            <w:vAlign w:val="center"/>
          </w:tcPr>
          <w:p w14:paraId="3DB8CF09" w14:textId="1F1B4193" w:rsidR="00884251" w:rsidRPr="00840264" w:rsidRDefault="00884251" w:rsidP="00C25586">
            <w:pPr>
              <w:spacing w:after="0" w:line="276" w:lineRule="auto"/>
              <w:jc w:val="center"/>
              <w:rPr>
                <w:rFonts w:ascii="Verdana" w:hAnsi="Verdana" w:cs="Arial"/>
                <w:sz w:val="18"/>
                <w:szCs w:val="18"/>
              </w:rPr>
            </w:pPr>
            <w:r>
              <w:rPr>
                <w:rFonts w:ascii="Verdana" w:hAnsi="Verdana" w:cs="Arial"/>
                <w:sz w:val="18"/>
                <w:szCs w:val="18"/>
              </w:rPr>
              <w:t>85</w:t>
            </w:r>
          </w:p>
        </w:tc>
      </w:tr>
      <w:tr w:rsidR="00884251" w:rsidRPr="00840264" w14:paraId="5768DD0C" w14:textId="77777777" w:rsidTr="696F6128">
        <w:trPr>
          <w:trHeight w:val="300"/>
        </w:trPr>
        <w:tc>
          <w:tcPr>
            <w:tcW w:w="1083" w:type="pct"/>
            <w:tcMar>
              <w:top w:w="15" w:type="dxa"/>
              <w:left w:w="15" w:type="dxa"/>
              <w:right w:w="15" w:type="dxa"/>
            </w:tcMar>
            <w:vAlign w:val="center"/>
          </w:tcPr>
          <w:p w14:paraId="55AAB56B" w14:textId="2F161889" w:rsidR="00884251" w:rsidRPr="00840264" w:rsidRDefault="00884251" w:rsidP="00C25586">
            <w:pPr>
              <w:spacing w:after="0" w:line="276" w:lineRule="auto"/>
              <w:jc w:val="center"/>
              <w:rPr>
                <w:rFonts w:ascii="Verdana" w:hAnsi="Verdana" w:cs="Arial"/>
                <w:sz w:val="18"/>
                <w:szCs w:val="18"/>
              </w:rPr>
            </w:pPr>
            <w:r w:rsidRPr="00840264">
              <w:rPr>
                <w:rFonts w:ascii="Verdana" w:eastAsia="Verdana" w:hAnsi="Verdana" w:cs="Arial"/>
                <w:b/>
                <w:bCs/>
                <w:sz w:val="18"/>
                <w:szCs w:val="18"/>
              </w:rPr>
              <w:t>Total</w:t>
            </w:r>
          </w:p>
        </w:tc>
        <w:tc>
          <w:tcPr>
            <w:tcW w:w="1082" w:type="pct"/>
            <w:tcMar>
              <w:top w:w="15" w:type="dxa"/>
              <w:left w:w="15" w:type="dxa"/>
              <w:right w:w="15" w:type="dxa"/>
            </w:tcMar>
            <w:vAlign w:val="center"/>
          </w:tcPr>
          <w:p w14:paraId="50DF432C" w14:textId="5333969C" w:rsidR="00884251" w:rsidRPr="00840264" w:rsidRDefault="00884251" w:rsidP="00C25586">
            <w:pPr>
              <w:spacing w:after="0" w:line="276" w:lineRule="auto"/>
              <w:jc w:val="center"/>
              <w:rPr>
                <w:rFonts w:ascii="Verdana" w:hAnsi="Verdana" w:cs="Arial"/>
                <w:sz w:val="18"/>
                <w:szCs w:val="18"/>
              </w:rPr>
            </w:pPr>
            <w:r>
              <w:rPr>
                <w:rFonts w:ascii="Verdana" w:eastAsia="Verdana" w:hAnsi="Verdana" w:cs="Arial"/>
                <w:b/>
                <w:bCs/>
                <w:sz w:val="18"/>
                <w:szCs w:val="18"/>
                <w:lang w:val="en-US"/>
              </w:rPr>
              <w:t>69</w:t>
            </w:r>
          </w:p>
        </w:tc>
        <w:tc>
          <w:tcPr>
            <w:tcW w:w="1128" w:type="pct"/>
            <w:tcMar>
              <w:top w:w="15" w:type="dxa"/>
              <w:left w:w="15" w:type="dxa"/>
              <w:right w:w="15" w:type="dxa"/>
            </w:tcMar>
            <w:vAlign w:val="center"/>
          </w:tcPr>
          <w:p w14:paraId="157553F2" w14:textId="74C2CF01" w:rsidR="00884251" w:rsidRPr="00E94DED" w:rsidRDefault="00884251" w:rsidP="00C25586">
            <w:pPr>
              <w:spacing w:after="0" w:line="276" w:lineRule="auto"/>
              <w:jc w:val="center"/>
              <w:rPr>
                <w:rFonts w:ascii="Verdana" w:hAnsi="Verdana" w:cs="Arial"/>
                <w:b/>
                <w:bCs/>
                <w:sz w:val="18"/>
                <w:szCs w:val="18"/>
              </w:rPr>
            </w:pPr>
            <w:r>
              <w:rPr>
                <w:rFonts w:ascii="Verdana" w:hAnsi="Verdana" w:cs="Arial"/>
                <w:b/>
                <w:bCs/>
                <w:sz w:val="18"/>
                <w:szCs w:val="18"/>
              </w:rPr>
              <w:t>59</w:t>
            </w:r>
          </w:p>
        </w:tc>
        <w:tc>
          <w:tcPr>
            <w:tcW w:w="853" w:type="pct"/>
          </w:tcPr>
          <w:p w14:paraId="56E98682" w14:textId="1E494050" w:rsidR="00884251" w:rsidRPr="00F73DBD" w:rsidRDefault="00884251" w:rsidP="00C25586">
            <w:pPr>
              <w:spacing w:after="0" w:line="276" w:lineRule="auto"/>
              <w:jc w:val="center"/>
              <w:rPr>
                <w:rFonts w:ascii="Verdana" w:hAnsi="Verdana" w:cs="Arial"/>
                <w:b/>
                <w:bCs/>
                <w:sz w:val="18"/>
                <w:szCs w:val="18"/>
              </w:rPr>
            </w:pPr>
            <w:r>
              <w:rPr>
                <w:rFonts w:ascii="Verdana" w:hAnsi="Verdana" w:cs="Arial"/>
                <w:b/>
                <w:bCs/>
                <w:sz w:val="18"/>
                <w:szCs w:val="18"/>
              </w:rPr>
              <w:t>85%</w:t>
            </w:r>
          </w:p>
        </w:tc>
        <w:tc>
          <w:tcPr>
            <w:tcW w:w="853" w:type="pct"/>
            <w:tcMar>
              <w:top w:w="15" w:type="dxa"/>
              <w:left w:w="15" w:type="dxa"/>
              <w:right w:w="15" w:type="dxa"/>
            </w:tcMar>
            <w:vAlign w:val="center"/>
          </w:tcPr>
          <w:p w14:paraId="26496560" w14:textId="4022E1DD" w:rsidR="00884251" w:rsidRPr="00F73DBD" w:rsidRDefault="78359E6A" w:rsidP="00C25586">
            <w:pPr>
              <w:spacing w:after="0" w:line="276" w:lineRule="auto"/>
              <w:jc w:val="center"/>
              <w:rPr>
                <w:rFonts w:ascii="Verdana" w:hAnsi="Verdana" w:cs="Arial"/>
                <w:b/>
                <w:bCs/>
                <w:sz w:val="18"/>
                <w:szCs w:val="18"/>
              </w:rPr>
            </w:pPr>
            <w:r w:rsidRPr="696F6128">
              <w:rPr>
                <w:rFonts w:ascii="Verdana" w:hAnsi="Verdana" w:cs="Arial"/>
                <w:b/>
                <w:bCs/>
                <w:sz w:val="18"/>
                <w:szCs w:val="18"/>
              </w:rPr>
              <w:t>145</w:t>
            </w:r>
          </w:p>
        </w:tc>
      </w:tr>
    </w:tbl>
    <w:p w14:paraId="43A8DA7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BB6B2DE" w14:textId="77777777" w:rsidR="00794ADA" w:rsidRPr="00AB06F3" w:rsidRDefault="00794ADA" w:rsidP="00C25586">
      <w:pPr>
        <w:spacing w:after="0" w:line="276" w:lineRule="auto"/>
        <w:jc w:val="center"/>
        <w:rPr>
          <w:rFonts w:ascii="Verdana" w:hAnsi="Verdana" w:cs="Arial"/>
        </w:rPr>
      </w:pPr>
    </w:p>
    <w:p w14:paraId="50F72990" w14:textId="69BFD2A9" w:rsidR="00FD69BC" w:rsidRDefault="007406CF" w:rsidP="00FD69BC">
      <w:pPr>
        <w:spacing w:after="0" w:line="276" w:lineRule="auto"/>
        <w:jc w:val="both"/>
        <w:rPr>
          <w:rFonts w:ascii="Verdana" w:eastAsia="Verdana" w:hAnsi="Verdana" w:cs="Arial"/>
          <w:sz w:val="24"/>
          <w:szCs w:val="24"/>
        </w:rPr>
      </w:pPr>
      <w:r w:rsidRPr="007406CF">
        <w:rPr>
          <w:rFonts w:ascii="Verdana" w:eastAsia="Verdana" w:hAnsi="Verdana" w:cs="Arial"/>
          <w:sz w:val="24"/>
          <w:szCs w:val="24"/>
        </w:rPr>
        <w:lastRenderedPageBreak/>
        <w:t>La gestión de los Consejos Territoriales de Reincorporación beneficia a las personas firmantes del Acuerdo de Paz que residen en los municipios donde estas instancias se encuentran en funcionamiento, mediante la articulación institucional y el seguimiento a las acciones orientadas a fortalecer su proceso de reincorporación.</w:t>
      </w:r>
    </w:p>
    <w:p w14:paraId="228ED0E7" w14:textId="77777777" w:rsidR="007406CF" w:rsidRPr="00AB06F3" w:rsidRDefault="007406CF" w:rsidP="00FD69BC">
      <w:pPr>
        <w:spacing w:after="0" w:line="276" w:lineRule="auto"/>
        <w:jc w:val="both"/>
        <w:rPr>
          <w:rFonts w:ascii="Verdana" w:hAnsi="Verdana" w:cs="Arial"/>
          <w:sz w:val="24"/>
          <w:szCs w:val="24"/>
        </w:rPr>
      </w:pPr>
    </w:p>
    <w:p w14:paraId="3EB6A69D" w14:textId="2411F159" w:rsidR="00B709EF" w:rsidRDefault="2F618300" w:rsidP="00FD69BC">
      <w:pPr>
        <w:spacing w:after="0" w:line="276" w:lineRule="auto"/>
        <w:jc w:val="both"/>
        <w:rPr>
          <w:rFonts w:ascii="Verdana" w:eastAsia="Verdana" w:hAnsi="Verdana" w:cs="Arial"/>
          <w:sz w:val="24"/>
          <w:szCs w:val="24"/>
        </w:rPr>
      </w:pPr>
      <w:r w:rsidRPr="00AB06F3">
        <w:rPr>
          <w:rFonts w:ascii="Verdana" w:eastAsia="Verdana" w:hAnsi="Verdana" w:cs="Arial"/>
          <w:sz w:val="24"/>
          <w:szCs w:val="24"/>
        </w:rPr>
        <w:t xml:space="preserve">A continuación, </w:t>
      </w:r>
      <w:r w:rsidR="00FD69BC">
        <w:rPr>
          <w:rFonts w:ascii="Verdana" w:eastAsia="Verdana" w:hAnsi="Verdana" w:cs="Arial"/>
          <w:sz w:val="24"/>
          <w:szCs w:val="24"/>
        </w:rPr>
        <w:t xml:space="preserve">se relaciona </w:t>
      </w:r>
      <w:r w:rsidRPr="00AB06F3">
        <w:rPr>
          <w:rFonts w:ascii="Verdana" w:eastAsia="Verdana" w:hAnsi="Verdana" w:cs="Arial"/>
          <w:sz w:val="24"/>
          <w:szCs w:val="24"/>
        </w:rPr>
        <w:t xml:space="preserve">el número de población desagregada por género, etnia y condición de discapacidad:  </w:t>
      </w:r>
    </w:p>
    <w:p w14:paraId="13A5BF6F" w14:textId="5ADCD6C2" w:rsidR="00D204E1" w:rsidRPr="00AC7F46" w:rsidRDefault="00D204E1" w:rsidP="00AC7F46">
      <w:pPr>
        <w:spacing w:after="0" w:line="276" w:lineRule="auto"/>
        <w:rPr>
          <w:rFonts w:ascii="Verdana" w:eastAsia="Verdana" w:hAnsi="Verdana" w:cs="Arial"/>
          <w:sz w:val="18"/>
          <w:szCs w:val="18"/>
        </w:rPr>
      </w:pPr>
    </w:p>
    <w:p w14:paraId="537C8E61" w14:textId="63F95925" w:rsidR="00DF0BE3" w:rsidRPr="00AC7F46" w:rsidRDefault="00DF0BE3" w:rsidP="00AC7F46">
      <w:pPr>
        <w:pStyle w:val="Descripcin"/>
        <w:keepNext/>
        <w:jc w:val="center"/>
        <w:rPr>
          <w:rFonts w:ascii="Verdana" w:eastAsia="Verdana" w:hAnsi="Verdana" w:cs="Arial"/>
          <w:i w:val="0"/>
          <w:iCs w:val="0"/>
          <w:color w:val="auto"/>
        </w:rPr>
      </w:pPr>
      <w:bookmarkStart w:id="51" w:name="_Toc225283158"/>
      <w:r w:rsidRPr="00AC7F46">
        <w:rPr>
          <w:rFonts w:ascii="Verdana" w:eastAsia="Verdana" w:hAnsi="Verdana" w:cs="Arial"/>
          <w:i w:val="0"/>
          <w:iCs w:val="0"/>
          <w:color w:val="auto"/>
        </w:rPr>
        <w:t xml:space="preserve">Tabla </w:t>
      </w:r>
      <w:r w:rsidRPr="00AC7F46">
        <w:rPr>
          <w:rFonts w:ascii="Verdana" w:eastAsia="Verdana" w:hAnsi="Verdana" w:cs="Arial"/>
          <w:i w:val="0"/>
          <w:iCs w:val="0"/>
          <w:color w:val="auto"/>
        </w:rPr>
        <w:fldChar w:fldCharType="begin"/>
      </w:r>
      <w:r w:rsidRPr="00AC7F46">
        <w:rPr>
          <w:rFonts w:ascii="Verdana" w:eastAsia="Verdana" w:hAnsi="Verdana" w:cs="Arial"/>
          <w:i w:val="0"/>
          <w:iCs w:val="0"/>
          <w:color w:val="auto"/>
        </w:rPr>
        <w:instrText xml:space="preserve"> SEQ Tabla \* ARABIC </w:instrText>
      </w:r>
      <w:r w:rsidRPr="00AC7F46">
        <w:rPr>
          <w:rFonts w:ascii="Verdana" w:eastAsia="Verdana" w:hAnsi="Verdana" w:cs="Arial"/>
          <w:i w:val="0"/>
          <w:iCs w:val="0"/>
          <w:color w:val="auto"/>
        </w:rPr>
        <w:fldChar w:fldCharType="separate"/>
      </w:r>
      <w:r w:rsidR="0078027F">
        <w:rPr>
          <w:rFonts w:ascii="Verdana" w:eastAsia="Verdana" w:hAnsi="Verdana" w:cs="Arial"/>
          <w:i w:val="0"/>
          <w:iCs w:val="0"/>
          <w:noProof/>
          <w:color w:val="auto"/>
        </w:rPr>
        <w:t>46</w:t>
      </w:r>
      <w:r w:rsidRPr="00AC7F46">
        <w:rPr>
          <w:rFonts w:ascii="Verdana" w:eastAsia="Verdana" w:hAnsi="Verdana" w:cs="Arial"/>
          <w:i w:val="0"/>
          <w:iCs w:val="0"/>
          <w:color w:val="auto"/>
        </w:rPr>
        <w:fldChar w:fldCharType="end"/>
      </w:r>
      <w:r w:rsidRPr="00AC7F46">
        <w:rPr>
          <w:rFonts w:ascii="Verdana" w:eastAsia="Verdana" w:hAnsi="Verdana" w:cs="Arial"/>
          <w:i w:val="0"/>
          <w:iCs w:val="0"/>
          <w:color w:val="auto"/>
        </w:rPr>
        <w:t>. Población desagregada por género, etnia y condición de discapacidad</w:t>
      </w:r>
      <w:bookmarkEnd w:id="51"/>
    </w:p>
    <w:tbl>
      <w:tblPr>
        <w:tblW w:w="8836"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Población desagregada por género, etnica y condición de discapacidad"/>
        <w:tblDescription w:val="Tabla que contiene los siguientes items: CTR instalados, femenino, maculina, afrocolobiano/a, índigena/pueblo originario, negro/a, discapacidad y total general.&#10;"/>
      </w:tblPr>
      <w:tblGrid>
        <w:gridCol w:w="1278"/>
        <w:gridCol w:w="921"/>
        <w:gridCol w:w="1042"/>
        <w:gridCol w:w="1559"/>
        <w:gridCol w:w="1456"/>
        <w:gridCol w:w="769"/>
        <w:gridCol w:w="1124"/>
        <w:gridCol w:w="687"/>
      </w:tblGrid>
      <w:tr w:rsidR="33167E86" w:rsidRPr="00C71D0A" w14:paraId="09A1E162" w14:textId="77777777" w:rsidTr="00AC7F46">
        <w:trPr>
          <w:trHeight w:val="435"/>
          <w:tblHeader/>
        </w:trPr>
        <w:tc>
          <w:tcPr>
            <w:tcW w:w="1278" w:type="dxa"/>
            <w:tcMar>
              <w:top w:w="15" w:type="dxa"/>
              <w:left w:w="15" w:type="dxa"/>
              <w:right w:w="15" w:type="dxa"/>
            </w:tcMar>
            <w:vAlign w:val="center"/>
          </w:tcPr>
          <w:p w14:paraId="39A786F3" w14:textId="3A598A67"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lang w:val="es"/>
              </w:rPr>
              <w:t>CTR Instalados</w:t>
            </w:r>
          </w:p>
        </w:tc>
        <w:tc>
          <w:tcPr>
            <w:tcW w:w="921" w:type="dxa"/>
            <w:tcMar>
              <w:top w:w="15" w:type="dxa"/>
              <w:left w:w="15" w:type="dxa"/>
              <w:right w:w="15" w:type="dxa"/>
            </w:tcMar>
            <w:vAlign w:val="center"/>
          </w:tcPr>
          <w:p w14:paraId="4F6AB303" w14:textId="500E899E" w:rsidR="33167E86" w:rsidRPr="00C71D0A" w:rsidRDefault="00FD69BC"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Femenino</w:t>
            </w:r>
          </w:p>
        </w:tc>
        <w:tc>
          <w:tcPr>
            <w:tcW w:w="1042" w:type="dxa"/>
            <w:tcMar>
              <w:top w:w="15" w:type="dxa"/>
              <w:left w:w="15" w:type="dxa"/>
              <w:right w:w="15" w:type="dxa"/>
            </w:tcMar>
            <w:vAlign w:val="center"/>
          </w:tcPr>
          <w:p w14:paraId="3DB964F7" w14:textId="33DC1056" w:rsidR="33167E86" w:rsidRPr="00C71D0A" w:rsidRDefault="00FD69BC"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Masculino</w:t>
            </w:r>
          </w:p>
        </w:tc>
        <w:tc>
          <w:tcPr>
            <w:tcW w:w="1559" w:type="dxa"/>
            <w:tcMar>
              <w:top w:w="15" w:type="dxa"/>
              <w:left w:w="15" w:type="dxa"/>
              <w:right w:w="15" w:type="dxa"/>
            </w:tcMar>
            <w:vAlign w:val="center"/>
          </w:tcPr>
          <w:p w14:paraId="19AEDFF9" w14:textId="716CF596"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Afrocolombiano/a</w:t>
            </w:r>
          </w:p>
        </w:tc>
        <w:tc>
          <w:tcPr>
            <w:tcW w:w="1456" w:type="dxa"/>
            <w:tcMar>
              <w:top w:w="15" w:type="dxa"/>
              <w:left w:w="15" w:type="dxa"/>
              <w:right w:w="15" w:type="dxa"/>
            </w:tcMar>
            <w:vAlign w:val="center"/>
          </w:tcPr>
          <w:p w14:paraId="7C36D5E3" w14:textId="3C88C3A7"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Indígena/Pueblo originario</w:t>
            </w:r>
          </w:p>
        </w:tc>
        <w:tc>
          <w:tcPr>
            <w:tcW w:w="769" w:type="dxa"/>
            <w:tcMar>
              <w:top w:w="15" w:type="dxa"/>
              <w:left w:w="15" w:type="dxa"/>
              <w:right w:w="15" w:type="dxa"/>
            </w:tcMar>
            <w:vAlign w:val="center"/>
          </w:tcPr>
          <w:p w14:paraId="1A2595C4" w14:textId="1E8364AC"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Negro/a</w:t>
            </w:r>
          </w:p>
        </w:tc>
        <w:tc>
          <w:tcPr>
            <w:tcW w:w="1124" w:type="dxa"/>
            <w:tcMar>
              <w:top w:w="15" w:type="dxa"/>
              <w:left w:w="15" w:type="dxa"/>
              <w:right w:w="15" w:type="dxa"/>
            </w:tcMar>
            <w:vAlign w:val="center"/>
          </w:tcPr>
          <w:p w14:paraId="5728DF10" w14:textId="66D7DFAE"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Discapacidad</w:t>
            </w:r>
          </w:p>
        </w:tc>
        <w:tc>
          <w:tcPr>
            <w:tcW w:w="687" w:type="dxa"/>
            <w:tcMar>
              <w:top w:w="15" w:type="dxa"/>
              <w:left w:w="15" w:type="dxa"/>
              <w:right w:w="15" w:type="dxa"/>
            </w:tcMar>
            <w:vAlign w:val="center"/>
          </w:tcPr>
          <w:p w14:paraId="74D16FD9" w14:textId="466AACB7" w:rsidR="33167E86" w:rsidRPr="00C71D0A" w:rsidRDefault="33167E86" w:rsidP="00C25586">
            <w:pPr>
              <w:spacing w:after="0" w:line="276" w:lineRule="auto"/>
              <w:jc w:val="center"/>
              <w:rPr>
                <w:rFonts w:ascii="Verdana" w:hAnsi="Verdana" w:cs="Arial"/>
                <w:sz w:val="14"/>
                <w:szCs w:val="14"/>
              </w:rPr>
            </w:pPr>
            <w:r w:rsidRPr="00C71D0A">
              <w:rPr>
                <w:rFonts w:ascii="Verdana" w:eastAsia="Verdana" w:hAnsi="Verdana" w:cs="Arial"/>
                <w:b/>
                <w:bCs/>
                <w:sz w:val="14"/>
                <w:szCs w:val="14"/>
              </w:rPr>
              <w:t>Total general</w:t>
            </w:r>
          </w:p>
        </w:tc>
      </w:tr>
      <w:tr w:rsidR="00111536" w:rsidRPr="00C71D0A" w14:paraId="3C2025AB" w14:textId="77777777" w:rsidTr="00972378">
        <w:trPr>
          <w:trHeight w:val="435"/>
        </w:trPr>
        <w:tc>
          <w:tcPr>
            <w:tcW w:w="1278" w:type="dxa"/>
            <w:tcMar>
              <w:top w:w="15" w:type="dxa"/>
              <w:left w:w="15" w:type="dxa"/>
              <w:right w:w="15" w:type="dxa"/>
            </w:tcMar>
            <w:vAlign w:val="center"/>
          </w:tcPr>
          <w:p w14:paraId="02845B50" w14:textId="668F29C1"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Anorí </w:t>
            </w:r>
            <w:r w:rsidRPr="00C71D0A">
              <w:rPr>
                <w:rFonts w:ascii="Verdana" w:hAnsi="Verdana" w:cs="Arial"/>
                <w:sz w:val="18"/>
                <w:szCs w:val="18"/>
              </w:rPr>
              <w:br/>
            </w:r>
            <w:r w:rsidRPr="00C71D0A">
              <w:rPr>
                <w:rFonts w:ascii="Verdana" w:eastAsia="Verdana" w:hAnsi="Verdana" w:cs="Arial"/>
                <w:sz w:val="18"/>
                <w:szCs w:val="18"/>
                <w:lang w:val="es"/>
              </w:rPr>
              <w:t>(Antioquia)</w:t>
            </w:r>
          </w:p>
        </w:tc>
        <w:tc>
          <w:tcPr>
            <w:tcW w:w="921" w:type="dxa"/>
            <w:tcMar>
              <w:top w:w="15" w:type="dxa"/>
              <w:left w:w="15" w:type="dxa"/>
              <w:right w:w="15" w:type="dxa"/>
            </w:tcMar>
            <w:vAlign w:val="center"/>
          </w:tcPr>
          <w:p w14:paraId="05083888" w14:textId="7A09F73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19</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7AAAE3D6" w14:textId="2934660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47</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7309696A" w14:textId="3AB4514B"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0</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32BFC569" w14:textId="2B2B223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604CA50F" w14:textId="3275E614"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0</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650CB05B" w14:textId="09DBF15A"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17</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48B4E7F0" w14:textId="43F816CB"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66</w:t>
            </w:r>
            <w:r w:rsidRPr="00111536">
              <w:rPr>
                <w:rStyle w:val="eop"/>
                <w:rFonts w:ascii="Verdana" w:hAnsi="Verdana" w:cs="Segoe UI"/>
                <w:sz w:val="18"/>
                <w:szCs w:val="18"/>
              </w:rPr>
              <w:t> </w:t>
            </w:r>
          </w:p>
        </w:tc>
      </w:tr>
      <w:tr w:rsidR="00111536" w:rsidRPr="00C71D0A" w14:paraId="724B118F" w14:textId="77777777" w:rsidTr="00972378">
        <w:trPr>
          <w:trHeight w:val="435"/>
        </w:trPr>
        <w:tc>
          <w:tcPr>
            <w:tcW w:w="1278" w:type="dxa"/>
            <w:tcMar>
              <w:top w:w="15" w:type="dxa"/>
              <w:left w:w="15" w:type="dxa"/>
              <w:right w:w="15" w:type="dxa"/>
            </w:tcMar>
            <w:vAlign w:val="center"/>
          </w:tcPr>
          <w:p w14:paraId="7D9BB312" w14:textId="7673677D"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Arauquita</w:t>
            </w:r>
            <w:r w:rsidRPr="00C71D0A">
              <w:rPr>
                <w:rFonts w:ascii="Verdana" w:hAnsi="Verdana" w:cs="Arial"/>
                <w:sz w:val="18"/>
                <w:szCs w:val="18"/>
              </w:rPr>
              <w:br/>
            </w:r>
            <w:r w:rsidRPr="00C71D0A">
              <w:rPr>
                <w:rFonts w:ascii="Verdana" w:eastAsia="Calibri" w:hAnsi="Verdana" w:cs="Arial"/>
                <w:sz w:val="18"/>
                <w:szCs w:val="18"/>
              </w:rPr>
              <w:t xml:space="preserve"> </w:t>
            </w:r>
            <w:r w:rsidRPr="00C71D0A">
              <w:rPr>
                <w:rFonts w:ascii="Verdana" w:eastAsia="Verdana" w:hAnsi="Verdana" w:cs="Arial"/>
                <w:sz w:val="18"/>
                <w:szCs w:val="18"/>
                <w:lang w:val="es"/>
              </w:rPr>
              <w:t xml:space="preserve"> (Arauca)</w:t>
            </w:r>
          </w:p>
        </w:tc>
        <w:tc>
          <w:tcPr>
            <w:tcW w:w="921" w:type="dxa"/>
            <w:tcMar>
              <w:top w:w="15" w:type="dxa"/>
              <w:left w:w="15" w:type="dxa"/>
              <w:right w:w="15" w:type="dxa"/>
            </w:tcMar>
            <w:vAlign w:val="center"/>
          </w:tcPr>
          <w:p w14:paraId="1C08110E" w14:textId="589346F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48</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13FB0DA5" w14:textId="6C6509BB"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113</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1C23A17F" w14:textId="77A8A88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14</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03ECE02C" w14:textId="512E8DC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15</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10B2BD99" w14:textId="26851606"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754236FF" w14:textId="5E100AA0"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55</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59C8143F" w14:textId="1AE927D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162</w:t>
            </w:r>
            <w:r w:rsidRPr="00111536">
              <w:rPr>
                <w:rStyle w:val="eop"/>
                <w:rFonts w:ascii="Verdana" w:hAnsi="Verdana" w:cs="Segoe UI"/>
                <w:sz w:val="18"/>
                <w:szCs w:val="18"/>
              </w:rPr>
              <w:t> </w:t>
            </w:r>
          </w:p>
        </w:tc>
      </w:tr>
      <w:tr w:rsidR="00111536" w:rsidRPr="00C71D0A" w14:paraId="5D12CC27" w14:textId="77777777" w:rsidTr="00972378">
        <w:trPr>
          <w:trHeight w:val="435"/>
        </w:trPr>
        <w:tc>
          <w:tcPr>
            <w:tcW w:w="1278" w:type="dxa"/>
            <w:tcMar>
              <w:top w:w="15" w:type="dxa"/>
              <w:left w:w="15" w:type="dxa"/>
              <w:right w:w="15" w:type="dxa"/>
            </w:tcMar>
            <w:vAlign w:val="center"/>
          </w:tcPr>
          <w:p w14:paraId="7CAA8B78" w14:textId="0A48A20E"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Caldono </w:t>
            </w:r>
            <w:r w:rsidRPr="00C71D0A">
              <w:rPr>
                <w:rFonts w:ascii="Verdana" w:hAnsi="Verdana" w:cs="Arial"/>
                <w:sz w:val="18"/>
                <w:szCs w:val="18"/>
              </w:rPr>
              <w:br/>
            </w:r>
            <w:r w:rsidRPr="00C71D0A">
              <w:rPr>
                <w:rFonts w:ascii="Verdana" w:eastAsia="Verdana" w:hAnsi="Verdana" w:cs="Arial"/>
                <w:sz w:val="18"/>
                <w:szCs w:val="18"/>
                <w:lang w:val="es"/>
              </w:rPr>
              <w:t>(Cauca)</w:t>
            </w:r>
          </w:p>
        </w:tc>
        <w:tc>
          <w:tcPr>
            <w:tcW w:w="921" w:type="dxa"/>
            <w:tcMar>
              <w:top w:w="15" w:type="dxa"/>
              <w:left w:w="15" w:type="dxa"/>
              <w:right w:w="15" w:type="dxa"/>
            </w:tcMar>
            <w:vAlign w:val="center"/>
          </w:tcPr>
          <w:p w14:paraId="095DF6B9" w14:textId="0E824A6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21</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1D66F00B" w14:textId="0C7EA4FF"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129</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5D27005C" w14:textId="34703FFC"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0</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57D68B2D" w14:textId="0BFB216F"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53</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5C4E03DC" w14:textId="3D041F44"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0</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7B2691EA" w14:textId="7369102A"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17</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403443E6" w14:textId="69D8AEE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151</w:t>
            </w:r>
            <w:r w:rsidRPr="00111536">
              <w:rPr>
                <w:rStyle w:val="eop"/>
                <w:rFonts w:ascii="Verdana" w:hAnsi="Verdana" w:cs="Segoe UI"/>
                <w:sz w:val="18"/>
                <w:szCs w:val="18"/>
              </w:rPr>
              <w:t> </w:t>
            </w:r>
          </w:p>
        </w:tc>
      </w:tr>
      <w:tr w:rsidR="00111536" w:rsidRPr="00C71D0A" w14:paraId="6C5FA786" w14:textId="77777777" w:rsidTr="00972378">
        <w:trPr>
          <w:trHeight w:val="435"/>
        </w:trPr>
        <w:tc>
          <w:tcPr>
            <w:tcW w:w="1278" w:type="dxa"/>
            <w:tcMar>
              <w:top w:w="15" w:type="dxa"/>
              <w:left w:w="15" w:type="dxa"/>
              <w:right w:w="15" w:type="dxa"/>
            </w:tcMar>
            <w:vAlign w:val="center"/>
          </w:tcPr>
          <w:p w14:paraId="69E2836E" w14:textId="5DDE389F"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Carmen del Darién </w:t>
            </w:r>
            <w:r w:rsidRPr="00C71D0A">
              <w:rPr>
                <w:rFonts w:ascii="Verdana" w:hAnsi="Verdana" w:cs="Arial"/>
                <w:sz w:val="18"/>
                <w:szCs w:val="18"/>
              </w:rPr>
              <w:br/>
            </w:r>
            <w:r w:rsidRPr="00C71D0A">
              <w:rPr>
                <w:rFonts w:ascii="Verdana" w:eastAsia="Verdana" w:hAnsi="Verdana" w:cs="Arial"/>
                <w:sz w:val="18"/>
                <w:szCs w:val="18"/>
                <w:lang w:val="es"/>
              </w:rPr>
              <w:t>(Chocó)</w:t>
            </w:r>
          </w:p>
        </w:tc>
        <w:tc>
          <w:tcPr>
            <w:tcW w:w="921" w:type="dxa"/>
            <w:tcMar>
              <w:top w:w="15" w:type="dxa"/>
              <w:left w:w="15" w:type="dxa"/>
              <w:right w:w="15" w:type="dxa"/>
            </w:tcMar>
            <w:vAlign w:val="center"/>
          </w:tcPr>
          <w:p w14:paraId="3707EE19" w14:textId="791C8DB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23</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2C92DA58" w14:textId="620FA16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71</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75A58954" w14:textId="5531F4A1"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24</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38818603" w14:textId="480916C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6</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1EA94029" w14:textId="009F87D1"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7</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0010F8C6" w14:textId="7F3FD70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19</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7BA13A68" w14:textId="05B7C17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94</w:t>
            </w:r>
            <w:r w:rsidRPr="00111536">
              <w:rPr>
                <w:rStyle w:val="eop"/>
                <w:rFonts w:ascii="Verdana" w:hAnsi="Verdana" w:cs="Segoe UI"/>
                <w:sz w:val="18"/>
                <w:szCs w:val="18"/>
              </w:rPr>
              <w:t> </w:t>
            </w:r>
          </w:p>
        </w:tc>
      </w:tr>
      <w:tr w:rsidR="00111536" w:rsidRPr="00C71D0A" w14:paraId="32469206" w14:textId="77777777" w:rsidTr="00972378">
        <w:trPr>
          <w:trHeight w:val="435"/>
        </w:trPr>
        <w:tc>
          <w:tcPr>
            <w:tcW w:w="1278" w:type="dxa"/>
            <w:tcMar>
              <w:top w:w="15" w:type="dxa"/>
              <w:left w:w="15" w:type="dxa"/>
              <w:right w:w="15" w:type="dxa"/>
            </w:tcMar>
            <w:vAlign w:val="center"/>
          </w:tcPr>
          <w:p w14:paraId="78D5DC17" w14:textId="01A9B59C" w:rsidR="00111536" w:rsidRPr="00C71D0A" w:rsidRDefault="00111536" w:rsidP="00111536">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Dabeiba </w:t>
            </w:r>
            <w:r w:rsidRPr="00C71D0A">
              <w:rPr>
                <w:rFonts w:ascii="Verdana" w:hAnsi="Verdana" w:cs="Arial"/>
                <w:sz w:val="18"/>
                <w:szCs w:val="18"/>
              </w:rPr>
              <w:br/>
            </w:r>
            <w:r w:rsidRPr="00C71D0A">
              <w:rPr>
                <w:rFonts w:ascii="Verdana" w:eastAsia="Verdana" w:hAnsi="Verdana" w:cs="Arial"/>
                <w:sz w:val="18"/>
                <w:szCs w:val="18"/>
                <w:lang w:val="es"/>
              </w:rPr>
              <w:t>(Antioquia)</w:t>
            </w:r>
          </w:p>
        </w:tc>
        <w:tc>
          <w:tcPr>
            <w:tcW w:w="921" w:type="dxa"/>
            <w:tcMar>
              <w:top w:w="15" w:type="dxa"/>
              <w:left w:w="15" w:type="dxa"/>
              <w:right w:w="15" w:type="dxa"/>
            </w:tcMar>
            <w:vAlign w:val="center"/>
          </w:tcPr>
          <w:p w14:paraId="202DC92F" w14:textId="2CEF124D"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42</w:t>
            </w:r>
            <w:r w:rsidRPr="00111536">
              <w:rPr>
                <w:rStyle w:val="eop"/>
                <w:rFonts w:ascii="Verdana" w:hAnsi="Verdana" w:cs="Segoe UI"/>
                <w:sz w:val="18"/>
                <w:szCs w:val="18"/>
              </w:rPr>
              <w:t> </w:t>
            </w:r>
          </w:p>
        </w:tc>
        <w:tc>
          <w:tcPr>
            <w:tcW w:w="1042" w:type="dxa"/>
            <w:tcMar>
              <w:top w:w="15" w:type="dxa"/>
              <w:left w:w="15" w:type="dxa"/>
              <w:right w:w="15" w:type="dxa"/>
            </w:tcMar>
            <w:vAlign w:val="center"/>
          </w:tcPr>
          <w:p w14:paraId="331D9E9E" w14:textId="46E45FCE"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110</w:t>
            </w:r>
            <w:r w:rsidRPr="00111536">
              <w:rPr>
                <w:rStyle w:val="eop"/>
                <w:rFonts w:ascii="Verdana" w:hAnsi="Verdana" w:cs="Segoe UI"/>
                <w:sz w:val="18"/>
                <w:szCs w:val="18"/>
              </w:rPr>
              <w:t> </w:t>
            </w:r>
          </w:p>
        </w:tc>
        <w:tc>
          <w:tcPr>
            <w:tcW w:w="1559" w:type="dxa"/>
            <w:tcMar>
              <w:top w:w="15" w:type="dxa"/>
              <w:left w:w="15" w:type="dxa"/>
              <w:right w:w="15" w:type="dxa"/>
            </w:tcMar>
            <w:vAlign w:val="center"/>
          </w:tcPr>
          <w:p w14:paraId="6608AD86" w14:textId="1B6E31A9"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6</w:t>
            </w:r>
            <w:r w:rsidRPr="00111536">
              <w:rPr>
                <w:rStyle w:val="eop"/>
                <w:rFonts w:ascii="Verdana" w:hAnsi="Verdana" w:cs="Segoe UI"/>
                <w:sz w:val="18"/>
                <w:szCs w:val="18"/>
              </w:rPr>
              <w:t> </w:t>
            </w:r>
          </w:p>
        </w:tc>
        <w:tc>
          <w:tcPr>
            <w:tcW w:w="1456" w:type="dxa"/>
            <w:tcMar>
              <w:top w:w="15" w:type="dxa"/>
              <w:left w:w="15" w:type="dxa"/>
              <w:right w:w="15" w:type="dxa"/>
            </w:tcMar>
            <w:vAlign w:val="center"/>
          </w:tcPr>
          <w:p w14:paraId="29584715" w14:textId="1206877E"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3</w:t>
            </w:r>
            <w:r w:rsidRPr="00111536">
              <w:rPr>
                <w:rStyle w:val="eop"/>
                <w:rFonts w:ascii="Verdana" w:hAnsi="Verdana" w:cs="Segoe UI"/>
                <w:sz w:val="18"/>
                <w:szCs w:val="18"/>
              </w:rPr>
              <w:t> </w:t>
            </w:r>
          </w:p>
        </w:tc>
        <w:tc>
          <w:tcPr>
            <w:tcW w:w="769" w:type="dxa"/>
            <w:tcMar>
              <w:top w:w="15" w:type="dxa"/>
              <w:left w:w="15" w:type="dxa"/>
              <w:right w:w="15" w:type="dxa"/>
            </w:tcMar>
            <w:vAlign w:val="center"/>
          </w:tcPr>
          <w:p w14:paraId="2F3556CC" w14:textId="5ABFE328"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w:t>
            </w:r>
            <w:r w:rsidRPr="00111536">
              <w:rPr>
                <w:rStyle w:val="eop"/>
                <w:rFonts w:ascii="Verdana" w:hAnsi="Verdana" w:cs="Segoe UI"/>
                <w:sz w:val="18"/>
                <w:szCs w:val="18"/>
              </w:rPr>
              <w:t> </w:t>
            </w:r>
          </w:p>
        </w:tc>
        <w:tc>
          <w:tcPr>
            <w:tcW w:w="1124" w:type="dxa"/>
            <w:tcMar>
              <w:top w:w="15" w:type="dxa"/>
              <w:left w:w="15" w:type="dxa"/>
              <w:right w:w="15" w:type="dxa"/>
            </w:tcMar>
            <w:vAlign w:val="center"/>
          </w:tcPr>
          <w:p w14:paraId="58C95BD9" w14:textId="08D5D810"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26</w:t>
            </w:r>
            <w:r w:rsidRPr="00111536">
              <w:rPr>
                <w:rStyle w:val="eop"/>
                <w:rFonts w:ascii="Verdana" w:hAnsi="Verdana" w:cs="Segoe UI"/>
                <w:sz w:val="18"/>
                <w:szCs w:val="18"/>
              </w:rPr>
              <w:t> </w:t>
            </w:r>
          </w:p>
        </w:tc>
        <w:tc>
          <w:tcPr>
            <w:tcW w:w="687" w:type="dxa"/>
            <w:tcMar>
              <w:top w:w="15" w:type="dxa"/>
              <w:left w:w="15" w:type="dxa"/>
              <w:right w:w="15" w:type="dxa"/>
            </w:tcMar>
            <w:vAlign w:val="center"/>
          </w:tcPr>
          <w:p w14:paraId="39E0574F" w14:textId="24ABA0F0" w:rsidR="00111536" w:rsidRPr="00111536" w:rsidRDefault="00111536" w:rsidP="00111536">
            <w:pPr>
              <w:spacing w:after="0" w:line="276" w:lineRule="auto"/>
              <w:jc w:val="center"/>
              <w:rPr>
                <w:rFonts w:ascii="Verdana" w:hAnsi="Verdana" w:cs="Arial"/>
                <w:sz w:val="18"/>
                <w:szCs w:val="18"/>
              </w:rPr>
            </w:pPr>
            <w:r w:rsidRPr="00111536">
              <w:rPr>
                <w:rStyle w:val="normaltextrun"/>
                <w:rFonts w:ascii="Verdana" w:hAnsi="Verdana" w:cs="Segoe UI"/>
                <w:sz w:val="18"/>
                <w:szCs w:val="18"/>
                <w:lang w:val="es-ES"/>
              </w:rPr>
              <w:t>152</w:t>
            </w:r>
            <w:r w:rsidRPr="00111536">
              <w:rPr>
                <w:rStyle w:val="eop"/>
                <w:rFonts w:ascii="Verdana" w:hAnsi="Verdana" w:cs="Segoe UI"/>
                <w:sz w:val="18"/>
                <w:szCs w:val="18"/>
              </w:rPr>
              <w:t> </w:t>
            </w:r>
          </w:p>
        </w:tc>
      </w:tr>
      <w:tr w:rsidR="00E416F1" w:rsidRPr="00C71D0A" w14:paraId="7942E44E" w14:textId="77777777" w:rsidTr="00972378">
        <w:trPr>
          <w:trHeight w:val="435"/>
        </w:trPr>
        <w:tc>
          <w:tcPr>
            <w:tcW w:w="1278" w:type="dxa"/>
            <w:tcMar>
              <w:top w:w="15" w:type="dxa"/>
              <w:left w:w="15" w:type="dxa"/>
              <w:right w:w="15" w:type="dxa"/>
            </w:tcMar>
            <w:vAlign w:val="center"/>
          </w:tcPr>
          <w:p w14:paraId="3B1CC226" w14:textId="74811E5A" w:rsidR="00E416F1" w:rsidRPr="00C71D0A" w:rsidRDefault="00E416F1" w:rsidP="00E416F1">
            <w:pPr>
              <w:spacing w:after="0" w:line="276" w:lineRule="auto"/>
              <w:jc w:val="center"/>
              <w:rPr>
                <w:rFonts w:ascii="Verdana" w:hAnsi="Verdana" w:cs="Arial"/>
                <w:sz w:val="18"/>
                <w:szCs w:val="18"/>
              </w:rPr>
            </w:pPr>
            <w:r w:rsidRPr="00C71D0A">
              <w:rPr>
                <w:rFonts w:ascii="Verdana" w:eastAsia="Verdana" w:hAnsi="Verdana" w:cs="Arial"/>
                <w:sz w:val="18"/>
                <w:szCs w:val="18"/>
                <w:lang w:val="es"/>
              </w:rPr>
              <w:t>Fonseca</w:t>
            </w:r>
            <w:r w:rsidRPr="00C71D0A">
              <w:rPr>
                <w:rFonts w:ascii="Verdana" w:hAnsi="Verdana" w:cs="Arial"/>
                <w:sz w:val="18"/>
                <w:szCs w:val="18"/>
              </w:rPr>
              <w:br/>
            </w:r>
            <w:r w:rsidRPr="00C71D0A">
              <w:rPr>
                <w:rFonts w:ascii="Verdana" w:eastAsia="Calibri" w:hAnsi="Verdana" w:cs="Arial"/>
                <w:sz w:val="18"/>
                <w:szCs w:val="18"/>
              </w:rPr>
              <w:t xml:space="preserve"> </w:t>
            </w:r>
            <w:r w:rsidRPr="00C71D0A">
              <w:rPr>
                <w:rFonts w:ascii="Verdana" w:eastAsia="Verdana" w:hAnsi="Verdana" w:cs="Arial"/>
                <w:sz w:val="18"/>
                <w:szCs w:val="18"/>
                <w:lang w:val="es"/>
              </w:rPr>
              <w:t xml:space="preserve"> (La Guajira)</w:t>
            </w:r>
          </w:p>
        </w:tc>
        <w:tc>
          <w:tcPr>
            <w:tcW w:w="921" w:type="dxa"/>
            <w:tcMar>
              <w:top w:w="15" w:type="dxa"/>
              <w:left w:w="15" w:type="dxa"/>
              <w:right w:w="15" w:type="dxa"/>
            </w:tcMar>
            <w:vAlign w:val="center"/>
          </w:tcPr>
          <w:p w14:paraId="627B4738" w14:textId="1A00E437"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70</w:t>
            </w:r>
            <w:r w:rsidRPr="00E416F1">
              <w:rPr>
                <w:rStyle w:val="eop"/>
                <w:rFonts w:ascii="Verdana" w:hAnsi="Verdana" w:cs="Segoe UI"/>
                <w:sz w:val="18"/>
                <w:szCs w:val="18"/>
              </w:rPr>
              <w:t> </w:t>
            </w:r>
          </w:p>
        </w:tc>
        <w:tc>
          <w:tcPr>
            <w:tcW w:w="1042" w:type="dxa"/>
            <w:tcMar>
              <w:top w:w="15" w:type="dxa"/>
              <w:left w:w="15" w:type="dxa"/>
              <w:right w:w="15" w:type="dxa"/>
            </w:tcMar>
            <w:vAlign w:val="center"/>
          </w:tcPr>
          <w:p w14:paraId="66E4CDCF" w14:textId="3FE54461"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119</w:t>
            </w:r>
            <w:r w:rsidRPr="00E416F1">
              <w:rPr>
                <w:rStyle w:val="eop"/>
                <w:rFonts w:ascii="Verdana" w:hAnsi="Verdana" w:cs="Segoe UI"/>
                <w:sz w:val="18"/>
                <w:szCs w:val="18"/>
              </w:rPr>
              <w:t> </w:t>
            </w:r>
          </w:p>
        </w:tc>
        <w:tc>
          <w:tcPr>
            <w:tcW w:w="1559" w:type="dxa"/>
            <w:tcMar>
              <w:top w:w="15" w:type="dxa"/>
              <w:left w:w="15" w:type="dxa"/>
              <w:right w:w="15" w:type="dxa"/>
            </w:tcMar>
            <w:vAlign w:val="center"/>
          </w:tcPr>
          <w:p w14:paraId="00B827B1" w14:textId="2D8C7BB7"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18</w:t>
            </w:r>
            <w:r w:rsidRPr="00E416F1">
              <w:rPr>
                <w:rStyle w:val="eop"/>
                <w:rFonts w:ascii="Verdana" w:hAnsi="Verdana" w:cs="Segoe UI"/>
                <w:sz w:val="18"/>
                <w:szCs w:val="18"/>
              </w:rPr>
              <w:t> </w:t>
            </w:r>
          </w:p>
        </w:tc>
        <w:tc>
          <w:tcPr>
            <w:tcW w:w="1456" w:type="dxa"/>
            <w:tcMar>
              <w:top w:w="15" w:type="dxa"/>
              <w:left w:w="15" w:type="dxa"/>
              <w:right w:w="15" w:type="dxa"/>
            </w:tcMar>
            <w:vAlign w:val="center"/>
          </w:tcPr>
          <w:p w14:paraId="036AC380" w14:textId="32C41641"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42</w:t>
            </w:r>
            <w:r w:rsidRPr="00E416F1">
              <w:rPr>
                <w:rStyle w:val="eop"/>
                <w:rFonts w:ascii="Verdana" w:hAnsi="Verdana" w:cs="Segoe UI"/>
                <w:sz w:val="18"/>
                <w:szCs w:val="18"/>
              </w:rPr>
              <w:t> </w:t>
            </w:r>
          </w:p>
        </w:tc>
        <w:tc>
          <w:tcPr>
            <w:tcW w:w="769" w:type="dxa"/>
            <w:tcMar>
              <w:top w:w="15" w:type="dxa"/>
              <w:left w:w="15" w:type="dxa"/>
              <w:right w:w="15" w:type="dxa"/>
            </w:tcMar>
            <w:vAlign w:val="center"/>
          </w:tcPr>
          <w:p w14:paraId="398D35A8" w14:textId="55F92B6F"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1</w:t>
            </w:r>
            <w:r w:rsidRPr="00E416F1">
              <w:rPr>
                <w:rStyle w:val="eop"/>
                <w:rFonts w:ascii="Verdana" w:hAnsi="Verdana" w:cs="Segoe UI"/>
                <w:sz w:val="18"/>
                <w:szCs w:val="18"/>
              </w:rPr>
              <w:t> </w:t>
            </w:r>
          </w:p>
        </w:tc>
        <w:tc>
          <w:tcPr>
            <w:tcW w:w="1124" w:type="dxa"/>
            <w:tcMar>
              <w:top w:w="15" w:type="dxa"/>
              <w:left w:w="15" w:type="dxa"/>
              <w:right w:w="15" w:type="dxa"/>
            </w:tcMar>
            <w:vAlign w:val="center"/>
          </w:tcPr>
          <w:p w14:paraId="0030B077" w14:textId="631253AE"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73</w:t>
            </w:r>
            <w:r w:rsidRPr="00E416F1">
              <w:rPr>
                <w:rStyle w:val="eop"/>
                <w:rFonts w:ascii="Verdana" w:hAnsi="Verdana" w:cs="Segoe UI"/>
                <w:sz w:val="18"/>
                <w:szCs w:val="18"/>
              </w:rPr>
              <w:t> </w:t>
            </w:r>
          </w:p>
        </w:tc>
        <w:tc>
          <w:tcPr>
            <w:tcW w:w="687" w:type="dxa"/>
            <w:tcMar>
              <w:top w:w="15" w:type="dxa"/>
              <w:left w:w="15" w:type="dxa"/>
              <w:right w:w="15" w:type="dxa"/>
            </w:tcMar>
            <w:vAlign w:val="center"/>
          </w:tcPr>
          <w:p w14:paraId="1E550AAB" w14:textId="00975F88" w:rsidR="00E416F1" w:rsidRPr="00E416F1" w:rsidRDefault="00E416F1" w:rsidP="00E416F1">
            <w:pPr>
              <w:spacing w:after="0" w:line="276" w:lineRule="auto"/>
              <w:jc w:val="center"/>
              <w:rPr>
                <w:rFonts w:ascii="Verdana" w:hAnsi="Verdana" w:cs="Arial"/>
                <w:sz w:val="18"/>
                <w:szCs w:val="18"/>
              </w:rPr>
            </w:pPr>
            <w:r w:rsidRPr="00E416F1">
              <w:rPr>
                <w:rStyle w:val="normaltextrun"/>
                <w:rFonts w:ascii="Verdana" w:hAnsi="Verdana" w:cs="Segoe UI"/>
                <w:sz w:val="18"/>
                <w:szCs w:val="18"/>
                <w:lang w:val="es-ES"/>
              </w:rPr>
              <w:t>190</w:t>
            </w:r>
            <w:r w:rsidRPr="00E416F1">
              <w:rPr>
                <w:rStyle w:val="eop"/>
                <w:rFonts w:ascii="Verdana" w:hAnsi="Verdana" w:cs="Segoe UI"/>
                <w:sz w:val="18"/>
                <w:szCs w:val="18"/>
              </w:rPr>
              <w:t> </w:t>
            </w:r>
          </w:p>
        </w:tc>
      </w:tr>
      <w:tr w:rsidR="000A30BD" w:rsidRPr="00C71D0A" w14:paraId="145565BF" w14:textId="77777777" w:rsidTr="00972378">
        <w:trPr>
          <w:trHeight w:val="435"/>
        </w:trPr>
        <w:tc>
          <w:tcPr>
            <w:tcW w:w="1278" w:type="dxa"/>
            <w:tcMar>
              <w:top w:w="15" w:type="dxa"/>
              <w:left w:w="15" w:type="dxa"/>
              <w:right w:w="15" w:type="dxa"/>
            </w:tcMar>
            <w:vAlign w:val="center"/>
          </w:tcPr>
          <w:p w14:paraId="5EBB83F3" w14:textId="35EEAB5A"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Icononzo </w:t>
            </w:r>
            <w:r w:rsidRPr="00C71D0A">
              <w:rPr>
                <w:rFonts w:ascii="Verdana" w:hAnsi="Verdana" w:cs="Arial"/>
                <w:sz w:val="18"/>
                <w:szCs w:val="18"/>
              </w:rPr>
              <w:br/>
            </w:r>
            <w:r w:rsidRPr="00C71D0A">
              <w:rPr>
                <w:rFonts w:ascii="Verdana" w:eastAsia="Verdana" w:hAnsi="Verdana" w:cs="Arial"/>
                <w:sz w:val="18"/>
                <w:szCs w:val="18"/>
                <w:lang w:val="es"/>
              </w:rPr>
              <w:t>(Tolima)</w:t>
            </w:r>
          </w:p>
        </w:tc>
        <w:tc>
          <w:tcPr>
            <w:tcW w:w="921" w:type="dxa"/>
            <w:tcMar>
              <w:top w:w="15" w:type="dxa"/>
              <w:left w:w="15" w:type="dxa"/>
              <w:right w:w="15" w:type="dxa"/>
            </w:tcMar>
            <w:vAlign w:val="center"/>
          </w:tcPr>
          <w:p w14:paraId="2C981E14" w14:textId="4C77D163"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74</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0BE162A2" w14:textId="7E74BDED"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130</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4D7C2E36" w14:textId="2C7BC98B"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6</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5791532F" w14:textId="3DC85B87"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23</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557DE824" w14:textId="2FBDDCE4"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0</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0BA5D359" w14:textId="3D9EEC57"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62</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2CB467C6" w14:textId="1720743C"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213</w:t>
            </w:r>
            <w:r w:rsidRPr="000A30BD">
              <w:rPr>
                <w:rStyle w:val="eop"/>
                <w:rFonts w:ascii="Verdana" w:hAnsi="Verdana" w:cs="Segoe UI"/>
                <w:sz w:val="18"/>
                <w:szCs w:val="18"/>
              </w:rPr>
              <w:t> </w:t>
            </w:r>
          </w:p>
        </w:tc>
      </w:tr>
      <w:tr w:rsidR="000A30BD" w:rsidRPr="00C71D0A" w14:paraId="009B4CDC" w14:textId="77777777" w:rsidTr="00972378">
        <w:trPr>
          <w:trHeight w:val="435"/>
        </w:trPr>
        <w:tc>
          <w:tcPr>
            <w:tcW w:w="1278" w:type="dxa"/>
            <w:tcMar>
              <w:top w:w="15" w:type="dxa"/>
              <w:left w:w="15" w:type="dxa"/>
              <w:right w:w="15" w:type="dxa"/>
            </w:tcMar>
            <w:vAlign w:val="center"/>
          </w:tcPr>
          <w:p w14:paraId="776EF857" w14:textId="2458F1A5"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Manaure Balcón</w:t>
            </w:r>
            <w:r w:rsidRPr="00C71D0A">
              <w:rPr>
                <w:rFonts w:ascii="Verdana" w:hAnsi="Verdana" w:cs="Arial"/>
                <w:sz w:val="18"/>
                <w:szCs w:val="18"/>
              </w:rPr>
              <w:br/>
            </w:r>
            <w:r w:rsidRPr="00C71D0A">
              <w:rPr>
                <w:rFonts w:ascii="Verdana" w:eastAsia="Calibri" w:hAnsi="Verdana" w:cs="Arial"/>
                <w:sz w:val="18"/>
                <w:szCs w:val="18"/>
              </w:rPr>
              <w:t xml:space="preserve"> </w:t>
            </w:r>
            <w:r w:rsidRPr="00C71D0A">
              <w:rPr>
                <w:rFonts w:ascii="Verdana" w:eastAsia="Verdana" w:hAnsi="Verdana" w:cs="Arial"/>
                <w:sz w:val="18"/>
                <w:szCs w:val="18"/>
                <w:lang w:val="es"/>
              </w:rPr>
              <w:t xml:space="preserve"> del Cesar (Cesar)</w:t>
            </w:r>
          </w:p>
        </w:tc>
        <w:tc>
          <w:tcPr>
            <w:tcW w:w="921" w:type="dxa"/>
            <w:tcMar>
              <w:top w:w="15" w:type="dxa"/>
              <w:left w:w="15" w:type="dxa"/>
              <w:right w:w="15" w:type="dxa"/>
            </w:tcMar>
            <w:vAlign w:val="center"/>
          </w:tcPr>
          <w:p w14:paraId="1C152570" w14:textId="53695B18"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41</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61662C6C" w14:textId="0C9E74BC"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74</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6A36284C" w14:textId="7CAB97C2"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20</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621BCF65" w14:textId="7280DBAE"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19</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6C6DBE45" w14:textId="33EA2399"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0</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464379EF" w14:textId="7F140C47"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37</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0A46B176" w14:textId="7CC5891B"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117</w:t>
            </w:r>
            <w:r w:rsidRPr="000A30BD">
              <w:rPr>
                <w:rStyle w:val="eop"/>
                <w:rFonts w:ascii="Verdana" w:hAnsi="Verdana" w:cs="Segoe UI"/>
                <w:sz w:val="18"/>
                <w:szCs w:val="18"/>
              </w:rPr>
              <w:t> </w:t>
            </w:r>
          </w:p>
        </w:tc>
      </w:tr>
      <w:tr w:rsidR="000A30BD" w:rsidRPr="00C71D0A" w14:paraId="6E7C27F5" w14:textId="77777777" w:rsidTr="00972378">
        <w:trPr>
          <w:trHeight w:val="435"/>
        </w:trPr>
        <w:tc>
          <w:tcPr>
            <w:tcW w:w="1278" w:type="dxa"/>
            <w:tcMar>
              <w:top w:w="15" w:type="dxa"/>
              <w:left w:w="15" w:type="dxa"/>
              <w:right w:w="15" w:type="dxa"/>
            </w:tcMar>
            <w:vAlign w:val="center"/>
          </w:tcPr>
          <w:p w14:paraId="2CC42972" w14:textId="1A0AF5DF"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Miranda </w:t>
            </w:r>
            <w:r w:rsidRPr="00C71D0A">
              <w:rPr>
                <w:rFonts w:ascii="Verdana" w:hAnsi="Verdana" w:cs="Arial"/>
                <w:sz w:val="18"/>
                <w:szCs w:val="18"/>
              </w:rPr>
              <w:br/>
            </w:r>
            <w:r w:rsidRPr="00C71D0A">
              <w:rPr>
                <w:rFonts w:ascii="Verdana" w:eastAsia="Verdana" w:hAnsi="Verdana" w:cs="Arial"/>
                <w:sz w:val="18"/>
                <w:szCs w:val="18"/>
                <w:lang w:val="es"/>
              </w:rPr>
              <w:t>(Cauca)</w:t>
            </w:r>
          </w:p>
        </w:tc>
        <w:tc>
          <w:tcPr>
            <w:tcW w:w="921" w:type="dxa"/>
            <w:tcMar>
              <w:top w:w="15" w:type="dxa"/>
              <w:left w:w="15" w:type="dxa"/>
              <w:right w:w="15" w:type="dxa"/>
            </w:tcMar>
            <w:vAlign w:val="center"/>
          </w:tcPr>
          <w:p w14:paraId="7DC0F9BB" w14:textId="7D32C72D"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11</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40ADEE53" w14:textId="1F0C7D6C"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22</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75CA90D6" w14:textId="1C90DC8A"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0D079EF4" w14:textId="6FDE7F50"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22</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169E847B" w14:textId="032DA274"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0</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7D9E044E" w14:textId="7A9866D1"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5</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743F7589" w14:textId="6EB1B7AF"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33</w:t>
            </w:r>
            <w:r w:rsidRPr="000A30BD">
              <w:rPr>
                <w:rStyle w:val="eop"/>
                <w:rFonts w:ascii="Verdana" w:hAnsi="Verdana" w:cs="Segoe UI"/>
                <w:sz w:val="18"/>
                <w:szCs w:val="18"/>
              </w:rPr>
              <w:t> </w:t>
            </w:r>
          </w:p>
        </w:tc>
      </w:tr>
      <w:tr w:rsidR="000A30BD" w:rsidRPr="00C71D0A" w14:paraId="5218D67A" w14:textId="77777777" w:rsidTr="00972378">
        <w:trPr>
          <w:trHeight w:val="435"/>
        </w:trPr>
        <w:tc>
          <w:tcPr>
            <w:tcW w:w="1278" w:type="dxa"/>
            <w:tcMar>
              <w:top w:w="15" w:type="dxa"/>
              <w:left w:w="15" w:type="dxa"/>
              <w:right w:w="15" w:type="dxa"/>
            </w:tcMar>
            <w:vAlign w:val="center"/>
          </w:tcPr>
          <w:p w14:paraId="0298E6C2" w14:textId="4CEA3E65"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Mutatá</w:t>
            </w:r>
            <w:r w:rsidRPr="00C71D0A">
              <w:rPr>
                <w:rFonts w:ascii="Verdana" w:hAnsi="Verdana" w:cs="Arial"/>
                <w:sz w:val="18"/>
                <w:szCs w:val="18"/>
              </w:rPr>
              <w:br/>
            </w:r>
            <w:r w:rsidRPr="00C71D0A">
              <w:rPr>
                <w:rFonts w:ascii="Verdana" w:eastAsia="Calibri" w:hAnsi="Verdana" w:cs="Arial"/>
                <w:sz w:val="18"/>
                <w:szCs w:val="18"/>
              </w:rPr>
              <w:t xml:space="preserve"> </w:t>
            </w:r>
            <w:r w:rsidRPr="00C71D0A">
              <w:rPr>
                <w:rFonts w:ascii="Verdana" w:eastAsia="Verdana" w:hAnsi="Verdana" w:cs="Arial"/>
                <w:sz w:val="18"/>
                <w:szCs w:val="18"/>
                <w:lang w:val="es"/>
              </w:rPr>
              <w:t xml:space="preserve"> (Antioquia)</w:t>
            </w:r>
          </w:p>
        </w:tc>
        <w:tc>
          <w:tcPr>
            <w:tcW w:w="921" w:type="dxa"/>
            <w:tcMar>
              <w:top w:w="15" w:type="dxa"/>
              <w:left w:w="15" w:type="dxa"/>
              <w:right w:w="15" w:type="dxa"/>
            </w:tcMar>
            <w:vAlign w:val="center"/>
          </w:tcPr>
          <w:p w14:paraId="736C74ED" w14:textId="705635B1"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43</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1D4673F9" w14:textId="38112A21"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72</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29F0378B" w14:textId="1A448695"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06557032" w14:textId="5AA5ACDA"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7C87C9C4" w14:textId="0BB62FD5"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5</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0356DC9B" w14:textId="60B12C68"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18</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386D8C30" w14:textId="3AE0950B"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116</w:t>
            </w:r>
            <w:r w:rsidRPr="000A30BD">
              <w:rPr>
                <w:rStyle w:val="eop"/>
                <w:rFonts w:ascii="Verdana" w:hAnsi="Verdana" w:cs="Segoe UI"/>
                <w:sz w:val="18"/>
                <w:szCs w:val="18"/>
              </w:rPr>
              <w:t> </w:t>
            </w:r>
          </w:p>
        </w:tc>
      </w:tr>
      <w:tr w:rsidR="000A30BD" w:rsidRPr="00C71D0A" w14:paraId="27BC5138" w14:textId="77777777" w:rsidTr="00972378">
        <w:trPr>
          <w:trHeight w:val="435"/>
        </w:trPr>
        <w:tc>
          <w:tcPr>
            <w:tcW w:w="1278" w:type="dxa"/>
            <w:tcMar>
              <w:top w:w="15" w:type="dxa"/>
              <w:left w:w="15" w:type="dxa"/>
              <w:right w:w="15" w:type="dxa"/>
            </w:tcMar>
            <w:vAlign w:val="center"/>
          </w:tcPr>
          <w:p w14:paraId="77CFFAF4" w14:textId="733B49B3" w:rsidR="000A30BD" w:rsidRPr="00C71D0A" w:rsidRDefault="000A30BD" w:rsidP="000A30BD">
            <w:pPr>
              <w:spacing w:after="0" w:line="276" w:lineRule="auto"/>
              <w:jc w:val="center"/>
              <w:rPr>
                <w:rFonts w:ascii="Verdana" w:hAnsi="Verdana" w:cs="Arial"/>
                <w:sz w:val="18"/>
                <w:szCs w:val="18"/>
              </w:rPr>
            </w:pPr>
            <w:r w:rsidRPr="00C71D0A">
              <w:rPr>
                <w:rFonts w:ascii="Verdana" w:eastAsia="Verdana" w:hAnsi="Verdana" w:cs="Arial"/>
                <w:sz w:val="18"/>
                <w:szCs w:val="18"/>
                <w:lang w:val="es"/>
              </w:rPr>
              <w:t xml:space="preserve">Patía </w:t>
            </w:r>
            <w:r w:rsidRPr="00C71D0A">
              <w:rPr>
                <w:rFonts w:ascii="Verdana" w:hAnsi="Verdana" w:cs="Arial"/>
                <w:sz w:val="18"/>
                <w:szCs w:val="18"/>
              </w:rPr>
              <w:br/>
            </w:r>
            <w:r w:rsidRPr="00C71D0A">
              <w:rPr>
                <w:rFonts w:ascii="Verdana" w:eastAsia="Verdana" w:hAnsi="Verdana" w:cs="Arial"/>
                <w:sz w:val="18"/>
                <w:szCs w:val="18"/>
                <w:lang w:val="es"/>
              </w:rPr>
              <w:t>(Cauca)</w:t>
            </w:r>
          </w:p>
        </w:tc>
        <w:tc>
          <w:tcPr>
            <w:tcW w:w="921" w:type="dxa"/>
            <w:tcMar>
              <w:top w:w="15" w:type="dxa"/>
              <w:left w:w="15" w:type="dxa"/>
              <w:right w:w="15" w:type="dxa"/>
            </w:tcMar>
            <w:vAlign w:val="center"/>
          </w:tcPr>
          <w:p w14:paraId="0583603E" w14:textId="4ACED5D6"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17</w:t>
            </w:r>
            <w:r w:rsidRPr="000A30BD">
              <w:rPr>
                <w:rStyle w:val="eop"/>
                <w:rFonts w:ascii="Verdana" w:hAnsi="Verdana" w:cs="Segoe UI"/>
                <w:sz w:val="18"/>
                <w:szCs w:val="18"/>
              </w:rPr>
              <w:t> </w:t>
            </w:r>
          </w:p>
        </w:tc>
        <w:tc>
          <w:tcPr>
            <w:tcW w:w="1042" w:type="dxa"/>
            <w:tcMar>
              <w:top w:w="15" w:type="dxa"/>
              <w:left w:w="15" w:type="dxa"/>
              <w:right w:w="15" w:type="dxa"/>
            </w:tcMar>
            <w:vAlign w:val="center"/>
          </w:tcPr>
          <w:p w14:paraId="57EFA76E" w14:textId="7E507511"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57</w:t>
            </w:r>
            <w:r w:rsidRPr="000A30BD">
              <w:rPr>
                <w:rStyle w:val="eop"/>
                <w:rFonts w:ascii="Verdana" w:hAnsi="Verdana" w:cs="Segoe UI"/>
                <w:sz w:val="18"/>
                <w:szCs w:val="18"/>
              </w:rPr>
              <w:t> </w:t>
            </w:r>
          </w:p>
        </w:tc>
        <w:tc>
          <w:tcPr>
            <w:tcW w:w="1559" w:type="dxa"/>
            <w:tcMar>
              <w:top w:w="15" w:type="dxa"/>
              <w:left w:w="15" w:type="dxa"/>
              <w:right w:w="15" w:type="dxa"/>
            </w:tcMar>
            <w:vAlign w:val="center"/>
          </w:tcPr>
          <w:p w14:paraId="0DB944A5" w14:textId="1D10543F"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4</w:t>
            </w:r>
            <w:r w:rsidRPr="000A30BD">
              <w:rPr>
                <w:rStyle w:val="eop"/>
                <w:rFonts w:ascii="Verdana" w:hAnsi="Verdana" w:cs="Segoe UI"/>
                <w:sz w:val="18"/>
                <w:szCs w:val="18"/>
              </w:rPr>
              <w:t> </w:t>
            </w:r>
          </w:p>
        </w:tc>
        <w:tc>
          <w:tcPr>
            <w:tcW w:w="1456" w:type="dxa"/>
            <w:tcMar>
              <w:top w:w="15" w:type="dxa"/>
              <w:left w:w="15" w:type="dxa"/>
              <w:right w:w="15" w:type="dxa"/>
            </w:tcMar>
            <w:vAlign w:val="center"/>
          </w:tcPr>
          <w:p w14:paraId="2DC6C66D" w14:textId="498CEFDA"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2</w:t>
            </w:r>
            <w:r w:rsidRPr="000A30BD">
              <w:rPr>
                <w:rStyle w:val="eop"/>
                <w:rFonts w:ascii="Verdana" w:hAnsi="Verdana" w:cs="Segoe UI"/>
                <w:sz w:val="18"/>
                <w:szCs w:val="18"/>
              </w:rPr>
              <w:t> </w:t>
            </w:r>
          </w:p>
        </w:tc>
        <w:tc>
          <w:tcPr>
            <w:tcW w:w="769" w:type="dxa"/>
            <w:tcMar>
              <w:top w:w="15" w:type="dxa"/>
              <w:left w:w="15" w:type="dxa"/>
              <w:right w:w="15" w:type="dxa"/>
            </w:tcMar>
            <w:vAlign w:val="center"/>
          </w:tcPr>
          <w:p w14:paraId="414204EE" w14:textId="57D23590"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0</w:t>
            </w:r>
            <w:r w:rsidRPr="000A30BD">
              <w:rPr>
                <w:rStyle w:val="eop"/>
                <w:rFonts w:ascii="Verdana" w:hAnsi="Verdana" w:cs="Segoe UI"/>
                <w:sz w:val="18"/>
                <w:szCs w:val="18"/>
              </w:rPr>
              <w:t> </w:t>
            </w:r>
          </w:p>
        </w:tc>
        <w:tc>
          <w:tcPr>
            <w:tcW w:w="1124" w:type="dxa"/>
            <w:tcMar>
              <w:top w:w="15" w:type="dxa"/>
              <w:left w:w="15" w:type="dxa"/>
              <w:right w:w="15" w:type="dxa"/>
            </w:tcMar>
            <w:vAlign w:val="center"/>
          </w:tcPr>
          <w:p w14:paraId="4258D41D" w14:textId="45B5DE94"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6</w:t>
            </w:r>
            <w:r w:rsidRPr="000A30BD">
              <w:rPr>
                <w:rStyle w:val="eop"/>
                <w:rFonts w:ascii="Verdana" w:hAnsi="Verdana" w:cs="Segoe UI"/>
                <w:sz w:val="18"/>
                <w:szCs w:val="18"/>
              </w:rPr>
              <w:t> </w:t>
            </w:r>
          </w:p>
        </w:tc>
        <w:tc>
          <w:tcPr>
            <w:tcW w:w="687" w:type="dxa"/>
            <w:tcMar>
              <w:top w:w="15" w:type="dxa"/>
              <w:left w:w="15" w:type="dxa"/>
              <w:right w:w="15" w:type="dxa"/>
            </w:tcMar>
            <w:vAlign w:val="center"/>
          </w:tcPr>
          <w:p w14:paraId="39171014" w14:textId="4BBE6ECF" w:rsidR="000A30BD" w:rsidRPr="000A30BD" w:rsidRDefault="000A30BD" w:rsidP="000A30BD">
            <w:pPr>
              <w:spacing w:after="0" w:line="276" w:lineRule="auto"/>
              <w:jc w:val="center"/>
              <w:rPr>
                <w:rFonts w:ascii="Verdana" w:hAnsi="Verdana" w:cs="Arial"/>
                <w:sz w:val="18"/>
                <w:szCs w:val="18"/>
              </w:rPr>
            </w:pPr>
            <w:r w:rsidRPr="000A30BD">
              <w:rPr>
                <w:rStyle w:val="normaltextrun"/>
                <w:rFonts w:ascii="Verdana" w:hAnsi="Verdana" w:cs="Segoe UI"/>
                <w:sz w:val="18"/>
                <w:szCs w:val="18"/>
                <w:lang w:val="es-ES"/>
              </w:rPr>
              <w:t>74</w:t>
            </w:r>
            <w:r w:rsidRPr="000A30BD">
              <w:rPr>
                <w:rStyle w:val="eop"/>
                <w:rFonts w:ascii="Verdana" w:hAnsi="Verdana" w:cs="Segoe UI"/>
                <w:sz w:val="18"/>
                <w:szCs w:val="18"/>
              </w:rPr>
              <w:t> </w:t>
            </w:r>
          </w:p>
        </w:tc>
      </w:tr>
      <w:tr w:rsidR="00842597" w:rsidRPr="00C71D0A" w14:paraId="42E2A66F" w14:textId="77777777" w:rsidTr="00972378">
        <w:trPr>
          <w:trHeight w:val="435"/>
        </w:trPr>
        <w:tc>
          <w:tcPr>
            <w:tcW w:w="1278" w:type="dxa"/>
            <w:tcMar>
              <w:top w:w="15" w:type="dxa"/>
              <w:left w:w="15" w:type="dxa"/>
              <w:right w:w="15" w:type="dxa"/>
            </w:tcMar>
            <w:vAlign w:val="center"/>
          </w:tcPr>
          <w:p w14:paraId="7B7A0F7B" w14:textId="4B632B7A" w:rsidR="00842597" w:rsidRPr="00C71D0A" w:rsidRDefault="00842597" w:rsidP="00842597">
            <w:pPr>
              <w:spacing w:after="0" w:line="276" w:lineRule="auto"/>
              <w:jc w:val="center"/>
              <w:rPr>
                <w:rFonts w:ascii="Verdana" w:hAnsi="Verdana" w:cs="Arial"/>
                <w:sz w:val="18"/>
                <w:szCs w:val="18"/>
              </w:rPr>
            </w:pPr>
            <w:r w:rsidRPr="00C71D0A">
              <w:rPr>
                <w:rFonts w:ascii="Verdana" w:eastAsia="Verdana" w:hAnsi="Verdana" w:cs="Arial"/>
                <w:sz w:val="18"/>
                <w:szCs w:val="18"/>
              </w:rPr>
              <w:t xml:space="preserve">Planadas </w:t>
            </w:r>
            <w:r w:rsidRPr="00C71D0A">
              <w:rPr>
                <w:rFonts w:ascii="Verdana" w:hAnsi="Verdana" w:cs="Arial"/>
                <w:sz w:val="18"/>
                <w:szCs w:val="18"/>
              </w:rPr>
              <w:br/>
            </w:r>
            <w:r w:rsidRPr="00C71D0A">
              <w:rPr>
                <w:rFonts w:ascii="Verdana" w:eastAsia="Verdana" w:hAnsi="Verdana" w:cs="Arial"/>
                <w:sz w:val="18"/>
                <w:szCs w:val="18"/>
              </w:rPr>
              <w:t>(Tolima)</w:t>
            </w:r>
          </w:p>
        </w:tc>
        <w:tc>
          <w:tcPr>
            <w:tcW w:w="921" w:type="dxa"/>
            <w:tcMar>
              <w:top w:w="15" w:type="dxa"/>
              <w:left w:w="15" w:type="dxa"/>
              <w:right w:w="15" w:type="dxa"/>
            </w:tcMar>
            <w:vAlign w:val="center"/>
          </w:tcPr>
          <w:p w14:paraId="50C5572A" w14:textId="5C86BB4F"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23</w:t>
            </w:r>
            <w:r w:rsidRPr="00842597">
              <w:rPr>
                <w:rStyle w:val="eop"/>
                <w:rFonts w:ascii="Verdana" w:hAnsi="Verdana" w:cs="Segoe UI"/>
                <w:sz w:val="18"/>
                <w:szCs w:val="18"/>
              </w:rPr>
              <w:t> </w:t>
            </w:r>
          </w:p>
        </w:tc>
        <w:tc>
          <w:tcPr>
            <w:tcW w:w="1042" w:type="dxa"/>
            <w:tcMar>
              <w:top w:w="15" w:type="dxa"/>
              <w:left w:w="15" w:type="dxa"/>
              <w:right w:w="15" w:type="dxa"/>
            </w:tcMar>
            <w:vAlign w:val="center"/>
          </w:tcPr>
          <w:p w14:paraId="4AB84B87" w14:textId="4421D3FD"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69</w:t>
            </w:r>
            <w:r w:rsidRPr="00842597">
              <w:rPr>
                <w:rStyle w:val="eop"/>
                <w:rFonts w:ascii="Verdana" w:hAnsi="Verdana" w:cs="Segoe UI"/>
                <w:sz w:val="18"/>
                <w:szCs w:val="18"/>
              </w:rPr>
              <w:t> </w:t>
            </w:r>
          </w:p>
        </w:tc>
        <w:tc>
          <w:tcPr>
            <w:tcW w:w="1559" w:type="dxa"/>
            <w:tcMar>
              <w:top w:w="15" w:type="dxa"/>
              <w:left w:w="15" w:type="dxa"/>
              <w:right w:w="15" w:type="dxa"/>
            </w:tcMar>
            <w:vAlign w:val="center"/>
          </w:tcPr>
          <w:p w14:paraId="7AB63C33" w14:textId="6A7792B2"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w:t>
            </w:r>
            <w:r w:rsidRPr="00842597">
              <w:rPr>
                <w:rStyle w:val="eop"/>
                <w:rFonts w:ascii="Verdana" w:hAnsi="Verdana" w:cs="Segoe UI"/>
                <w:sz w:val="18"/>
                <w:szCs w:val="18"/>
              </w:rPr>
              <w:t> </w:t>
            </w:r>
          </w:p>
        </w:tc>
        <w:tc>
          <w:tcPr>
            <w:tcW w:w="1456" w:type="dxa"/>
            <w:tcMar>
              <w:top w:w="15" w:type="dxa"/>
              <w:left w:w="15" w:type="dxa"/>
              <w:right w:w="15" w:type="dxa"/>
            </w:tcMar>
            <w:vAlign w:val="center"/>
          </w:tcPr>
          <w:p w14:paraId="6F8A1264" w14:textId="255B9BE5"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11</w:t>
            </w:r>
            <w:r w:rsidRPr="00842597">
              <w:rPr>
                <w:rStyle w:val="eop"/>
                <w:rFonts w:ascii="Verdana" w:hAnsi="Verdana" w:cs="Segoe UI"/>
                <w:sz w:val="18"/>
                <w:szCs w:val="18"/>
              </w:rPr>
              <w:t> </w:t>
            </w:r>
          </w:p>
        </w:tc>
        <w:tc>
          <w:tcPr>
            <w:tcW w:w="769" w:type="dxa"/>
            <w:tcMar>
              <w:top w:w="15" w:type="dxa"/>
              <w:left w:w="15" w:type="dxa"/>
              <w:right w:w="15" w:type="dxa"/>
            </w:tcMar>
            <w:vAlign w:val="center"/>
          </w:tcPr>
          <w:p w14:paraId="729730A3" w14:textId="161F5FE4"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124" w:type="dxa"/>
            <w:tcMar>
              <w:top w:w="15" w:type="dxa"/>
              <w:left w:w="15" w:type="dxa"/>
              <w:right w:w="15" w:type="dxa"/>
            </w:tcMar>
            <w:vAlign w:val="center"/>
          </w:tcPr>
          <w:p w14:paraId="7133F231" w14:textId="5CFF4F28"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33</w:t>
            </w:r>
            <w:r w:rsidRPr="00842597">
              <w:rPr>
                <w:rStyle w:val="eop"/>
                <w:rFonts w:ascii="Verdana" w:hAnsi="Verdana" w:cs="Segoe UI"/>
                <w:sz w:val="18"/>
                <w:szCs w:val="18"/>
              </w:rPr>
              <w:t> </w:t>
            </w:r>
          </w:p>
        </w:tc>
        <w:tc>
          <w:tcPr>
            <w:tcW w:w="687" w:type="dxa"/>
            <w:tcMar>
              <w:top w:w="15" w:type="dxa"/>
              <w:left w:w="15" w:type="dxa"/>
              <w:right w:w="15" w:type="dxa"/>
            </w:tcMar>
            <w:vAlign w:val="center"/>
          </w:tcPr>
          <w:p w14:paraId="1297939B" w14:textId="312FFD26"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93</w:t>
            </w:r>
            <w:r w:rsidRPr="00842597">
              <w:rPr>
                <w:rStyle w:val="eop"/>
                <w:rFonts w:ascii="Verdana" w:hAnsi="Verdana" w:cs="Segoe UI"/>
                <w:sz w:val="18"/>
                <w:szCs w:val="18"/>
              </w:rPr>
              <w:t> </w:t>
            </w:r>
          </w:p>
        </w:tc>
      </w:tr>
      <w:tr w:rsidR="00842597" w:rsidRPr="00C71D0A" w14:paraId="1F738DF5" w14:textId="77777777" w:rsidTr="00972378">
        <w:trPr>
          <w:trHeight w:val="435"/>
        </w:trPr>
        <w:tc>
          <w:tcPr>
            <w:tcW w:w="1278" w:type="dxa"/>
            <w:tcMar>
              <w:top w:w="15" w:type="dxa"/>
              <w:left w:w="15" w:type="dxa"/>
              <w:right w:w="15" w:type="dxa"/>
            </w:tcMar>
            <w:vAlign w:val="center"/>
          </w:tcPr>
          <w:p w14:paraId="2A8FCB4C" w14:textId="0AAE050A" w:rsidR="00842597" w:rsidRPr="00C71D0A" w:rsidRDefault="00842597" w:rsidP="00842597">
            <w:pPr>
              <w:spacing w:after="0" w:line="276" w:lineRule="auto"/>
              <w:jc w:val="center"/>
              <w:rPr>
                <w:rFonts w:ascii="Verdana" w:hAnsi="Verdana" w:cs="Arial"/>
                <w:sz w:val="18"/>
                <w:szCs w:val="18"/>
              </w:rPr>
            </w:pPr>
            <w:r w:rsidRPr="00C71D0A">
              <w:rPr>
                <w:rFonts w:ascii="Verdana" w:eastAsia="Verdana" w:hAnsi="Verdana" w:cs="Arial"/>
                <w:sz w:val="18"/>
                <w:szCs w:val="18"/>
              </w:rPr>
              <w:t xml:space="preserve">Puerto Asís </w:t>
            </w:r>
            <w:r w:rsidRPr="00C71D0A">
              <w:rPr>
                <w:rFonts w:ascii="Verdana" w:hAnsi="Verdana" w:cs="Arial"/>
                <w:sz w:val="18"/>
                <w:szCs w:val="18"/>
              </w:rPr>
              <w:br/>
            </w:r>
            <w:r w:rsidRPr="00C71D0A">
              <w:rPr>
                <w:rFonts w:ascii="Verdana" w:eastAsia="Verdana" w:hAnsi="Verdana" w:cs="Arial"/>
                <w:sz w:val="18"/>
                <w:szCs w:val="18"/>
              </w:rPr>
              <w:t>(Putumayo)</w:t>
            </w:r>
          </w:p>
        </w:tc>
        <w:tc>
          <w:tcPr>
            <w:tcW w:w="921" w:type="dxa"/>
            <w:tcMar>
              <w:top w:w="15" w:type="dxa"/>
              <w:left w:w="15" w:type="dxa"/>
              <w:right w:w="15" w:type="dxa"/>
            </w:tcMar>
            <w:vAlign w:val="center"/>
          </w:tcPr>
          <w:p w14:paraId="1050888C" w14:textId="7F120598"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30</w:t>
            </w:r>
            <w:r w:rsidRPr="00842597">
              <w:rPr>
                <w:rStyle w:val="eop"/>
                <w:rFonts w:ascii="Verdana" w:hAnsi="Verdana" w:cs="Segoe UI"/>
                <w:sz w:val="18"/>
                <w:szCs w:val="18"/>
              </w:rPr>
              <w:t> </w:t>
            </w:r>
          </w:p>
        </w:tc>
        <w:tc>
          <w:tcPr>
            <w:tcW w:w="1042" w:type="dxa"/>
            <w:tcMar>
              <w:top w:w="15" w:type="dxa"/>
              <w:left w:w="15" w:type="dxa"/>
              <w:right w:w="15" w:type="dxa"/>
            </w:tcMar>
            <w:vAlign w:val="center"/>
          </w:tcPr>
          <w:p w14:paraId="594DDCCF" w14:textId="15ED286E"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118</w:t>
            </w:r>
            <w:r w:rsidRPr="00842597">
              <w:rPr>
                <w:rStyle w:val="eop"/>
                <w:rFonts w:ascii="Verdana" w:hAnsi="Verdana" w:cs="Segoe UI"/>
                <w:sz w:val="18"/>
                <w:szCs w:val="18"/>
              </w:rPr>
              <w:t> </w:t>
            </w:r>
          </w:p>
        </w:tc>
        <w:tc>
          <w:tcPr>
            <w:tcW w:w="1559" w:type="dxa"/>
            <w:tcMar>
              <w:top w:w="15" w:type="dxa"/>
              <w:left w:w="15" w:type="dxa"/>
              <w:right w:w="15" w:type="dxa"/>
            </w:tcMar>
            <w:vAlign w:val="center"/>
          </w:tcPr>
          <w:p w14:paraId="2596E77B" w14:textId="71DAF96C"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10</w:t>
            </w:r>
            <w:r w:rsidRPr="00842597">
              <w:rPr>
                <w:rStyle w:val="eop"/>
                <w:rFonts w:ascii="Verdana" w:hAnsi="Verdana" w:cs="Segoe UI"/>
                <w:sz w:val="18"/>
                <w:szCs w:val="18"/>
              </w:rPr>
              <w:t> </w:t>
            </w:r>
          </w:p>
        </w:tc>
        <w:tc>
          <w:tcPr>
            <w:tcW w:w="1456" w:type="dxa"/>
            <w:tcMar>
              <w:top w:w="15" w:type="dxa"/>
              <w:left w:w="15" w:type="dxa"/>
              <w:right w:w="15" w:type="dxa"/>
            </w:tcMar>
            <w:vAlign w:val="center"/>
          </w:tcPr>
          <w:p w14:paraId="5A22D937" w14:textId="1E37FCAA"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27</w:t>
            </w:r>
            <w:r w:rsidRPr="00842597">
              <w:rPr>
                <w:rStyle w:val="eop"/>
                <w:rFonts w:ascii="Verdana" w:hAnsi="Verdana" w:cs="Segoe UI"/>
                <w:sz w:val="18"/>
                <w:szCs w:val="18"/>
              </w:rPr>
              <w:t> </w:t>
            </w:r>
          </w:p>
        </w:tc>
        <w:tc>
          <w:tcPr>
            <w:tcW w:w="769" w:type="dxa"/>
            <w:tcMar>
              <w:top w:w="15" w:type="dxa"/>
              <w:left w:w="15" w:type="dxa"/>
              <w:right w:w="15" w:type="dxa"/>
            </w:tcMar>
            <w:vAlign w:val="center"/>
          </w:tcPr>
          <w:p w14:paraId="03706AAF" w14:textId="3591C53F"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124" w:type="dxa"/>
            <w:tcMar>
              <w:top w:w="15" w:type="dxa"/>
              <w:left w:w="15" w:type="dxa"/>
              <w:right w:w="15" w:type="dxa"/>
            </w:tcMar>
            <w:vAlign w:val="center"/>
          </w:tcPr>
          <w:p w14:paraId="229A5481" w14:textId="6805D88E"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26</w:t>
            </w:r>
            <w:r w:rsidRPr="00842597">
              <w:rPr>
                <w:rStyle w:val="eop"/>
                <w:rFonts w:ascii="Verdana" w:hAnsi="Verdana" w:cs="Segoe UI"/>
                <w:sz w:val="18"/>
                <w:szCs w:val="18"/>
              </w:rPr>
              <w:t> </w:t>
            </w:r>
          </w:p>
        </w:tc>
        <w:tc>
          <w:tcPr>
            <w:tcW w:w="687" w:type="dxa"/>
            <w:tcMar>
              <w:top w:w="15" w:type="dxa"/>
              <w:left w:w="15" w:type="dxa"/>
              <w:right w:w="15" w:type="dxa"/>
            </w:tcMar>
            <w:vAlign w:val="center"/>
          </w:tcPr>
          <w:p w14:paraId="28452173" w14:textId="2D85F01D"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150</w:t>
            </w:r>
            <w:r w:rsidRPr="00842597">
              <w:rPr>
                <w:rStyle w:val="eop"/>
                <w:rFonts w:ascii="Verdana" w:hAnsi="Verdana" w:cs="Segoe UI"/>
                <w:sz w:val="18"/>
                <w:szCs w:val="18"/>
              </w:rPr>
              <w:t> </w:t>
            </w:r>
          </w:p>
        </w:tc>
      </w:tr>
      <w:tr w:rsidR="00842597" w:rsidRPr="00C71D0A" w14:paraId="6DEA1261" w14:textId="77777777" w:rsidTr="00972378">
        <w:trPr>
          <w:trHeight w:val="435"/>
        </w:trPr>
        <w:tc>
          <w:tcPr>
            <w:tcW w:w="1278" w:type="dxa"/>
            <w:tcMar>
              <w:top w:w="15" w:type="dxa"/>
              <w:left w:w="15" w:type="dxa"/>
              <w:right w:w="15" w:type="dxa"/>
            </w:tcMar>
            <w:vAlign w:val="center"/>
          </w:tcPr>
          <w:p w14:paraId="245BFF8A" w14:textId="25308B4D" w:rsidR="00842597" w:rsidRPr="00C71D0A" w:rsidRDefault="00842597" w:rsidP="00842597">
            <w:pPr>
              <w:spacing w:after="0" w:line="276" w:lineRule="auto"/>
              <w:jc w:val="center"/>
              <w:rPr>
                <w:rFonts w:ascii="Verdana" w:hAnsi="Verdana" w:cs="Arial"/>
                <w:sz w:val="18"/>
                <w:szCs w:val="18"/>
              </w:rPr>
            </w:pPr>
            <w:r w:rsidRPr="00C71D0A">
              <w:rPr>
                <w:rFonts w:ascii="Verdana" w:eastAsia="Verdana" w:hAnsi="Verdana" w:cs="Arial"/>
                <w:sz w:val="18"/>
                <w:szCs w:val="18"/>
              </w:rPr>
              <w:t xml:space="preserve">Remedios </w:t>
            </w:r>
            <w:r w:rsidRPr="00C71D0A">
              <w:rPr>
                <w:rFonts w:ascii="Verdana" w:hAnsi="Verdana" w:cs="Arial"/>
                <w:sz w:val="18"/>
                <w:szCs w:val="18"/>
              </w:rPr>
              <w:br/>
            </w:r>
            <w:r w:rsidRPr="00C71D0A">
              <w:rPr>
                <w:rFonts w:ascii="Verdana" w:eastAsia="Verdana" w:hAnsi="Verdana" w:cs="Arial"/>
                <w:sz w:val="18"/>
                <w:szCs w:val="18"/>
              </w:rPr>
              <w:t>(Antioquia)</w:t>
            </w:r>
          </w:p>
        </w:tc>
        <w:tc>
          <w:tcPr>
            <w:tcW w:w="921" w:type="dxa"/>
            <w:tcMar>
              <w:top w:w="15" w:type="dxa"/>
              <w:left w:w="15" w:type="dxa"/>
              <w:right w:w="15" w:type="dxa"/>
            </w:tcMar>
            <w:vAlign w:val="center"/>
          </w:tcPr>
          <w:p w14:paraId="0628FB5C" w14:textId="2D7ED5CA"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042" w:type="dxa"/>
            <w:tcMar>
              <w:top w:w="15" w:type="dxa"/>
              <w:left w:w="15" w:type="dxa"/>
              <w:right w:w="15" w:type="dxa"/>
            </w:tcMar>
            <w:vAlign w:val="center"/>
          </w:tcPr>
          <w:p w14:paraId="01174632" w14:textId="27359C1F"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7</w:t>
            </w:r>
            <w:r w:rsidRPr="00842597">
              <w:rPr>
                <w:rStyle w:val="eop"/>
                <w:rFonts w:ascii="Verdana" w:hAnsi="Verdana" w:cs="Segoe UI"/>
                <w:sz w:val="18"/>
                <w:szCs w:val="18"/>
              </w:rPr>
              <w:t> </w:t>
            </w:r>
          </w:p>
        </w:tc>
        <w:tc>
          <w:tcPr>
            <w:tcW w:w="1559" w:type="dxa"/>
            <w:tcMar>
              <w:top w:w="15" w:type="dxa"/>
              <w:left w:w="15" w:type="dxa"/>
              <w:right w:w="15" w:type="dxa"/>
            </w:tcMar>
            <w:vAlign w:val="center"/>
          </w:tcPr>
          <w:p w14:paraId="6CB47A12" w14:textId="493BE51E"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456" w:type="dxa"/>
            <w:tcMar>
              <w:top w:w="15" w:type="dxa"/>
              <w:left w:w="15" w:type="dxa"/>
              <w:right w:w="15" w:type="dxa"/>
            </w:tcMar>
            <w:vAlign w:val="center"/>
          </w:tcPr>
          <w:p w14:paraId="1973093B" w14:textId="19330B97"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769" w:type="dxa"/>
            <w:tcMar>
              <w:top w:w="15" w:type="dxa"/>
              <w:left w:w="15" w:type="dxa"/>
              <w:right w:w="15" w:type="dxa"/>
            </w:tcMar>
            <w:vAlign w:val="center"/>
          </w:tcPr>
          <w:p w14:paraId="69FEC2A4" w14:textId="6437A2ED"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1124" w:type="dxa"/>
            <w:tcMar>
              <w:top w:w="15" w:type="dxa"/>
              <w:left w:w="15" w:type="dxa"/>
              <w:right w:w="15" w:type="dxa"/>
            </w:tcMar>
            <w:vAlign w:val="center"/>
          </w:tcPr>
          <w:p w14:paraId="525E6F52" w14:textId="4CD56175"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0</w:t>
            </w:r>
            <w:r w:rsidRPr="00842597">
              <w:rPr>
                <w:rStyle w:val="eop"/>
                <w:rFonts w:ascii="Verdana" w:hAnsi="Verdana" w:cs="Segoe UI"/>
                <w:sz w:val="18"/>
                <w:szCs w:val="18"/>
              </w:rPr>
              <w:t> </w:t>
            </w:r>
          </w:p>
        </w:tc>
        <w:tc>
          <w:tcPr>
            <w:tcW w:w="687" w:type="dxa"/>
            <w:tcMar>
              <w:top w:w="15" w:type="dxa"/>
              <w:left w:w="15" w:type="dxa"/>
              <w:right w:w="15" w:type="dxa"/>
            </w:tcMar>
            <w:vAlign w:val="center"/>
          </w:tcPr>
          <w:p w14:paraId="0D446630" w14:textId="35372939" w:rsidR="00842597" w:rsidRPr="00842597" w:rsidRDefault="00842597" w:rsidP="00842597">
            <w:pPr>
              <w:spacing w:after="0" w:line="276" w:lineRule="auto"/>
              <w:jc w:val="center"/>
              <w:rPr>
                <w:rFonts w:ascii="Verdana" w:hAnsi="Verdana" w:cs="Arial"/>
                <w:sz w:val="18"/>
                <w:szCs w:val="18"/>
              </w:rPr>
            </w:pPr>
            <w:r w:rsidRPr="00842597">
              <w:rPr>
                <w:rStyle w:val="normaltextrun"/>
                <w:rFonts w:ascii="Verdana" w:hAnsi="Verdana" w:cs="Segoe UI"/>
                <w:sz w:val="18"/>
                <w:szCs w:val="18"/>
                <w:lang w:val="es-ES"/>
              </w:rPr>
              <w:t>7</w:t>
            </w:r>
            <w:r w:rsidRPr="00842597">
              <w:rPr>
                <w:rStyle w:val="eop"/>
                <w:rFonts w:ascii="Verdana" w:hAnsi="Verdana" w:cs="Segoe UI"/>
                <w:sz w:val="18"/>
                <w:szCs w:val="18"/>
              </w:rPr>
              <w:t> </w:t>
            </w:r>
          </w:p>
        </w:tc>
      </w:tr>
      <w:tr w:rsidR="00B12966" w:rsidRPr="00C71D0A" w14:paraId="49312BD8" w14:textId="77777777" w:rsidTr="00972378">
        <w:trPr>
          <w:trHeight w:val="435"/>
        </w:trPr>
        <w:tc>
          <w:tcPr>
            <w:tcW w:w="1278" w:type="dxa"/>
            <w:tcMar>
              <w:top w:w="15" w:type="dxa"/>
              <w:left w:w="15" w:type="dxa"/>
              <w:right w:w="15" w:type="dxa"/>
            </w:tcMar>
            <w:vAlign w:val="center"/>
          </w:tcPr>
          <w:p w14:paraId="1D9DA65F" w14:textId="78C75695" w:rsidR="00B12966" w:rsidRPr="00C71D0A" w:rsidRDefault="00B12966" w:rsidP="00B12966">
            <w:pPr>
              <w:spacing w:after="0" w:line="276" w:lineRule="auto"/>
              <w:jc w:val="center"/>
              <w:rPr>
                <w:rFonts w:ascii="Verdana" w:hAnsi="Verdana" w:cs="Arial"/>
                <w:sz w:val="18"/>
                <w:szCs w:val="18"/>
              </w:rPr>
            </w:pPr>
            <w:r w:rsidRPr="00C71D0A">
              <w:rPr>
                <w:rFonts w:ascii="Verdana" w:eastAsia="Verdana" w:hAnsi="Verdana" w:cs="Arial"/>
                <w:sz w:val="18"/>
                <w:szCs w:val="18"/>
              </w:rPr>
              <w:t xml:space="preserve">Tibú </w:t>
            </w:r>
            <w:r w:rsidRPr="00C71D0A">
              <w:rPr>
                <w:rFonts w:ascii="Verdana" w:hAnsi="Verdana" w:cs="Arial"/>
                <w:sz w:val="18"/>
                <w:szCs w:val="18"/>
              </w:rPr>
              <w:br/>
            </w:r>
            <w:r w:rsidRPr="00C71D0A">
              <w:rPr>
                <w:rFonts w:ascii="Verdana" w:eastAsia="Verdana" w:hAnsi="Verdana" w:cs="Arial"/>
                <w:sz w:val="18"/>
                <w:szCs w:val="18"/>
              </w:rPr>
              <w:t>(Norte de Santander)</w:t>
            </w:r>
          </w:p>
        </w:tc>
        <w:tc>
          <w:tcPr>
            <w:tcW w:w="921" w:type="dxa"/>
            <w:tcMar>
              <w:top w:w="15" w:type="dxa"/>
              <w:left w:w="15" w:type="dxa"/>
              <w:right w:w="15" w:type="dxa"/>
            </w:tcMar>
            <w:vAlign w:val="center"/>
          </w:tcPr>
          <w:p w14:paraId="442CCEFD" w14:textId="6F92E09C"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13</w:t>
            </w:r>
            <w:r w:rsidRPr="00B12966">
              <w:rPr>
                <w:rStyle w:val="eop"/>
                <w:rFonts w:ascii="Verdana" w:hAnsi="Verdana" w:cs="Segoe UI"/>
                <w:sz w:val="18"/>
                <w:szCs w:val="18"/>
              </w:rPr>
              <w:t> </w:t>
            </w:r>
          </w:p>
        </w:tc>
        <w:tc>
          <w:tcPr>
            <w:tcW w:w="1042" w:type="dxa"/>
            <w:tcMar>
              <w:top w:w="15" w:type="dxa"/>
              <w:left w:w="15" w:type="dxa"/>
              <w:right w:w="15" w:type="dxa"/>
            </w:tcMar>
            <w:vAlign w:val="center"/>
          </w:tcPr>
          <w:p w14:paraId="5E70001F" w14:textId="045D6579"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59</w:t>
            </w:r>
            <w:r w:rsidRPr="00B12966">
              <w:rPr>
                <w:rStyle w:val="eop"/>
                <w:rFonts w:ascii="Verdana" w:hAnsi="Verdana" w:cs="Segoe UI"/>
                <w:sz w:val="18"/>
                <w:szCs w:val="18"/>
              </w:rPr>
              <w:t> </w:t>
            </w:r>
          </w:p>
        </w:tc>
        <w:tc>
          <w:tcPr>
            <w:tcW w:w="1559" w:type="dxa"/>
            <w:tcMar>
              <w:top w:w="15" w:type="dxa"/>
              <w:left w:w="15" w:type="dxa"/>
              <w:right w:w="15" w:type="dxa"/>
            </w:tcMar>
            <w:vAlign w:val="center"/>
          </w:tcPr>
          <w:p w14:paraId="26E7D555" w14:textId="43CBADE5"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0</w:t>
            </w:r>
            <w:r w:rsidRPr="00B12966">
              <w:rPr>
                <w:rStyle w:val="eop"/>
                <w:rFonts w:ascii="Verdana" w:hAnsi="Verdana" w:cs="Segoe UI"/>
                <w:sz w:val="18"/>
                <w:szCs w:val="18"/>
              </w:rPr>
              <w:t> </w:t>
            </w:r>
          </w:p>
        </w:tc>
        <w:tc>
          <w:tcPr>
            <w:tcW w:w="1456" w:type="dxa"/>
            <w:tcMar>
              <w:top w:w="15" w:type="dxa"/>
              <w:left w:w="15" w:type="dxa"/>
              <w:right w:w="15" w:type="dxa"/>
            </w:tcMar>
            <w:vAlign w:val="center"/>
          </w:tcPr>
          <w:p w14:paraId="2FE368E5" w14:textId="2778C11E"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0</w:t>
            </w:r>
            <w:r w:rsidRPr="00B12966">
              <w:rPr>
                <w:rStyle w:val="eop"/>
                <w:rFonts w:ascii="Verdana" w:hAnsi="Verdana" w:cs="Segoe UI"/>
                <w:sz w:val="18"/>
                <w:szCs w:val="18"/>
              </w:rPr>
              <w:t> </w:t>
            </w:r>
          </w:p>
        </w:tc>
        <w:tc>
          <w:tcPr>
            <w:tcW w:w="769" w:type="dxa"/>
            <w:tcMar>
              <w:top w:w="15" w:type="dxa"/>
              <w:left w:w="15" w:type="dxa"/>
              <w:right w:w="15" w:type="dxa"/>
            </w:tcMar>
            <w:vAlign w:val="center"/>
          </w:tcPr>
          <w:p w14:paraId="1310AAB7" w14:textId="2185E260"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0</w:t>
            </w:r>
            <w:r w:rsidRPr="00B12966">
              <w:rPr>
                <w:rStyle w:val="eop"/>
                <w:rFonts w:ascii="Verdana" w:hAnsi="Verdana" w:cs="Segoe UI"/>
                <w:sz w:val="18"/>
                <w:szCs w:val="18"/>
              </w:rPr>
              <w:t> </w:t>
            </w:r>
          </w:p>
        </w:tc>
        <w:tc>
          <w:tcPr>
            <w:tcW w:w="1124" w:type="dxa"/>
            <w:tcMar>
              <w:top w:w="15" w:type="dxa"/>
              <w:left w:w="15" w:type="dxa"/>
              <w:right w:w="15" w:type="dxa"/>
            </w:tcMar>
            <w:vAlign w:val="center"/>
          </w:tcPr>
          <w:p w14:paraId="6706A155" w14:textId="45275096"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12</w:t>
            </w:r>
            <w:r w:rsidRPr="00B12966">
              <w:rPr>
                <w:rStyle w:val="eop"/>
                <w:rFonts w:ascii="Verdana" w:hAnsi="Verdana" w:cs="Segoe UI"/>
                <w:sz w:val="18"/>
                <w:szCs w:val="18"/>
              </w:rPr>
              <w:t> </w:t>
            </w:r>
          </w:p>
        </w:tc>
        <w:tc>
          <w:tcPr>
            <w:tcW w:w="687" w:type="dxa"/>
            <w:tcMar>
              <w:top w:w="15" w:type="dxa"/>
              <w:left w:w="15" w:type="dxa"/>
              <w:right w:w="15" w:type="dxa"/>
            </w:tcMar>
            <w:vAlign w:val="center"/>
          </w:tcPr>
          <w:p w14:paraId="1F980885" w14:textId="371B6523"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sz w:val="18"/>
                <w:szCs w:val="18"/>
                <w:lang w:val="es-ES"/>
              </w:rPr>
              <w:t>72</w:t>
            </w:r>
            <w:r w:rsidRPr="00B12966">
              <w:rPr>
                <w:rStyle w:val="eop"/>
                <w:rFonts w:ascii="Verdana" w:hAnsi="Verdana" w:cs="Segoe UI"/>
                <w:sz w:val="18"/>
                <w:szCs w:val="18"/>
              </w:rPr>
              <w:t> </w:t>
            </w:r>
          </w:p>
        </w:tc>
      </w:tr>
      <w:tr w:rsidR="00B12966" w:rsidRPr="00C71D0A" w14:paraId="639BF09C" w14:textId="77777777" w:rsidTr="00972378">
        <w:trPr>
          <w:trHeight w:val="315"/>
        </w:trPr>
        <w:tc>
          <w:tcPr>
            <w:tcW w:w="1278" w:type="dxa"/>
            <w:tcMar>
              <w:top w:w="15" w:type="dxa"/>
              <w:left w:w="15" w:type="dxa"/>
              <w:right w:w="15" w:type="dxa"/>
            </w:tcMar>
            <w:vAlign w:val="center"/>
          </w:tcPr>
          <w:p w14:paraId="7BF34A88" w14:textId="30A9F905" w:rsidR="00B12966" w:rsidRPr="00C71D0A" w:rsidRDefault="00B12966" w:rsidP="00B12966">
            <w:pPr>
              <w:spacing w:after="0" w:line="276" w:lineRule="auto"/>
              <w:jc w:val="center"/>
              <w:rPr>
                <w:rFonts w:ascii="Verdana" w:hAnsi="Verdana" w:cs="Arial"/>
                <w:sz w:val="18"/>
                <w:szCs w:val="18"/>
              </w:rPr>
            </w:pPr>
            <w:r w:rsidRPr="00C71D0A">
              <w:rPr>
                <w:rFonts w:ascii="Verdana" w:eastAsia="Verdana" w:hAnsi="Verdana" w:cs="Arial"/>
                <w:b/>
                <w:bCs/>
                <w:sz w:val="18"/>
                <w:szCs w:val="18"/>
              </w:rPr>
              <w:lastRenderedPageBreak/>
              <w:t>Total general</w:t>
            </w:r>
          </w:p>
        </w:tc>
        <w:tc>
          <w:tcPr>
            <w:tcW w:w="921" w:type="dxa"/>
            <w:tcMar>
              <w:top w:w="15" w:type="dxa"/>
              <w:left w:w="15" w:type="dxa"/>
              <w:right w:w="15" w:type="dxa"/>
            </w:tcMar>
            <w:vAlign w:val="center"/>
          </w:tcPr>
          <w:p w14:paraId="2E8CB51D" w14:textId="25C08D36"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475</w:t>
            </w:r>
            <w:r w:rsidRPr="00B12966">
              <w:rPr>
                <w:rStyle w:val="eop"/>
                <w:rFonts w:ascii="Verdana" w:hAnsi="Verdana" w:cs="Segoe UI"/>
                <w:sz w:val="18"/>
                <w:szCs w:val="18"/>
              </w:rPr>
              <w:t> </w:t>
            </w:r>
          </w:p>
        </w:tc>
        <w:tc>
          <w:tcPr>
            <w:tcW w:w="1042" w:type="dxa"/>
            <w:tcMar>
              <w:top w:w="15" w:type="dxa"/>
              <w:left w:w="15" w:type="dxa"/>
              <w:right w:w="15" w:type="dxa"/>
            </w:tcMar>
            <w:vAlign w:val="center"/>
          </w:tcPr>
          <w:p w14:paraId="591EDD65" w14:textId="6EE8BE9D"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1</w:t>
            </w:r>
            <w:r>
              <w:rPr>
                <w:rStyle w:val="normaltextrun"/>
                <w:rFonts w:ascii="Verdana" w:hAnsi="Verdana" w:cs="Segoe UI"/>
                <w:b/>
                <w:bCs/>
                <w:sz w:val="18"/>
                <w:szCs w:val="18"/>
                <w:lang w:val="es-ES"/>
              </w:rPr>
              <w:t>.</w:t>
            </w:r>
            <w:r w:rsidRPr="00B12966">
              <w:rPr>
                <w:rStyle w:val="normaltextrun"/>
                <w:rFonts w:ascii="Verdana" w:hAnsi="Verdana" w:cs="Segoe UI"/>
                <w:b/>
                <w:bCs/>
                <w:sz w:val="18"/>
                <w:szCs w:val="18"/>
                <w:lang w:val="es-ES"/>
              </w:rPr>
              <w:t>197</w:t>
            </w:r>
            <w:r w:rsidRPr="00B12966">
              <w:rPr>
                <w:rStyle w:val="eop"/>
                <w:rFonts w:ascii="Verdana" w:hAnsi="Verdana" w:cs="Segoe UI"/>
                <w:sz w:val="18"/>
                <w:szCs w:val="18"/>
              </w:rPr>
              <w:t> </w:t>
            </w:r>
          </w:p>
        </w:tc>
        <w:tc>
          <w:tcPr>
            <w:tcW w:w="1559" w:type="dxa"/>
            <w:tcMar>
              <w:top w:w="15" w:type="dxa"/>
              <w:left w:w="15" w:type="dxa"/>
              <w:right w:w="15" w:type="dxa"/>
            </w:tcMar>
            <w:vAlign w:val="center"/>
          </w:tcPr>
          <w:p w14:paraId="2C75381C" w14:textId="5E3EAC79"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106</w:t>
            </w:r>
            <w:r w:rsidRPr="00B12966">
              <w:rPr>
                <w:rStyle w:val="eop"/>
                <w:rFonts w:ascii="Verdana" w:hAnsi="Verdana" w:cs="Segoe UI"/>
                <w:sz w:val="18"/>
                <w:szCs w:val="18"/>
              </w:rPr>
              <w:t> </w:t>
            </w:r>
          </w:p>
        </w:tc>
        <w:tc>
          <w:tcPr>
            <w:tcW w:w="1456" w:type="dxa"/>
            <w:tcMar>
              <w:top w:w="15" w:type="dxa"/>
              <w:left w:w="15" w:type="dxa"/>
              <w:right w:w="15" w:type="dxa"/>
            </w:tcMar>
            <w:vAlign w:val="center"/>
          </w:tcPr>
          <w:p w14:paraId="5D5966CD" w14:textId="29EA9BBC"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225</w:t>
            </w:r>
            <w:r w:rsidRPr="00B12966">
              <w:rPr>
                <w:rStyle w:val="eop"/>
                <w:rFonts w:ascii="Verdana" w:hAnsi="Verdana" w:cs="Segoe UI"/>
                <w:sz w:val="18"/>
                <w:szCs w:val="18"/>
              </w:rPr>
              <w:t> </w:t>
            </w:r>
          </w:p>
        </w:tc>
        <w:tc>
          <w:tcPr>
            <w:tcW w:w="769" w:type="dxa"/>
            <w:tcMar>
              <w:top w:w="15" w:type="dxa"/>
              <w:left w:w="15" w:type="dxa"/>
              <w:right w:w="15" w:type="dxa"/>
            </w:tcMar>
            <w:vAlign w:val="center"/>
          </w:tcPr>
          <w:p w14:paraId="230FCFB1" w14:textId="51CAD989"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15</w:t>
            </w:r>
            <w:r w:rsidRPr="00B12966">
              <w:rPr>
                <w:rStyle w:val="eop"/>
                <w:rFonts w:ascii="Verdana" w:hAnsi="Verdana" w:cs="Segoe UI"/>
                <w:sz w:val="18"/>
                <w:szCs w:val="18"/>
              </w:rPr>
              <w:t> </w:t>
            </w:r>
          </w:p>
        </w:tc>
        <w:tc>
          <w:tcPr>
            <w:tcW w:w="1124" w:type="dxa"/>
            <w:tcMar>
              <w:top w:w="15" w:type="dxa"/>
              <w:left w:w="15" w:type="dxa"/>
              <w:right w:w="15" w:type="dxa"/>
            </w:tcMar>
            <w:vAlign w:val="center"/>
          </w:tcPr>
          <w:p w14:paraId="31929636" w14:textId="4ABC8082"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406</w:t>
            </w:r>
            <w:r w:rsidRPr="00B12966">
              <w:rPr>
                <w:rStyle w:val="eop"/>
                <w:rFonts w:ascii="Verdana" w:hAnsi="Verdana" w:cs="Segoe UI"/>
                <w:sz w:val="18"/>
                <w:szCs w:val="18"/>
              </w:rPr>
              <w:t> </w:t>
            </w:r>
          </w:p>
        </w:tc>
        <w:tc>
          <w:tcPr>
            <w:tcW w:w="687" w:type="dxa"/>
            <w:tcMar>
              <w:top w:w="15" w:type="dxa"/>
              <w:left w:w="15" w:type="dxa"/>
              <w:right w:w="15" w:type="dxa"/>
            </w:tcMar>
            <w:vAlign w:val="center"/>
          </w:tcPr>
          <w:p w14:paraId="157BD551" w14:textId="71E58122" w:rsidR="00B12966" w:rsidRPr="00B12966" w:rsidRDefault="00B12966" w:rsidP="00B12966">
            <w:pPr>
              <w:spacing w:after="0" w:line="276" w:lineRule="auto"/>
              <w:jc w:val="center"/>
              <w:rPr>
                <w:rFonts w:ascii="Verdana" w:hAnsi="Verdana" w:cs="Arial"/>
                <w:sz w:val="18"/>
                <w:szCs w:val="18"/>
              </w:rPr>
            </w:pPr>
            <w:r w:rsidRPr="00B12966">
              <w:rPr>
                <w:rStyle w:val="normaltextrun"/>
                <w:rFonts w:ascii="Verdana" w:hAnsi="Verdana" w:cs="Segoe UI"/>
                <w:b/>
                <w:bCs/>
                <w:sz w:val="18"/>
                <w:szCs w:val="18"/>
                <w:lang w:val="es-ES"/>
              </w:rPr>
              <w:t>1</w:t>
            </w:r>
            <w:r>
              <w:rPr>
                <w:rStyle w:val="normaltextrun"/>
                <w:rFonts w:ascii="Verdana" w:hAnsi="Verdana" w:cs="Segoe UI"/>
                <w:b/>
                <w:bCs/>
                <w:sz w:val="18"/>
                <w:szCs w:val="18"/>
                <w:lang w:val="es-ES"/>
              </w:rPr>
              <w:t>.</w:t>
            </w:r>
            <w:r w:rsidRPr="00B12966">
              <w:rPr>
                <w:rStyle w:val="normaltextrun"/>
                <w:rFonts w:ascii="Verdana" w:hAnsi="Verdana" w:cs="Segoe UI"/>
                <w:b/>
                <w:bCs/>
                <w:sz w:val="18"/>
                <w:szCs w:val="18"/>
                <w:lang w:val="es-ES"/>
              </w:rPr>
              <w:t>690</w:t>
            </w:r>
            <w:r w:rsidRPr="00B12966">
              <w:rPr>
                <w:rStyle w:val="eop"/>
                <w:rFonts w:ascii="Verdana" w:hAnsi="Verdana" w:cs="Segoe UI"/>
                <w:sz w:val="18"/>
                <w:szCs w:val="18"/>
              </w:rPr>
              <w:t> </w:t>
            </w:r>
          </w:p>
        </w:tc>
      </w:tr>
    </w:tbl>
    <w:p w14:paraId="76D00A21"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BFD45A2" w14:textId="77777777" w:rsidR="00AC7F46" w:rsidRDefault="00AC7F46" w:rsidP="00C25586">
      <w:pPr>
        <w:spacing w:after="0" w:line="276" w:lineRule="auto"/>
        <w:jc w:val="center"/>
        <w:rPr>
          <w:rFonts w:ascii="Verdana" w:eastAsia="Verdana" w:hAnsi="Verdana" w:cs="Arial"/>
          <w:sz w:val="18"/>
          <w:szCs w:val="18"/>
        </w:rPr>
      </w:pPr>
    </w:p>
    <w:p w14:paraId="170D2585" w14:textId="5375DF1D" w:rsidR="00B709EF" w:rsidRDefault="2F618300" w:rsidP="00C25586">
      <w:pPr>
        <w:spacing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Ver desagregación territorial que se reporta a SIIPO en el siguiente link </w:t>
      </w:r>
      <w:hyperlink r:id="rId20">
        <w:r w:rsidRPr="00AB06F3">
          <w:rPr>
            <w:rStyle w:val="Hipervnculo"/>
            <w:rFonts w:ascii="Verdana" w:eastAsia="Verdana" w:hAnsi="Verdana" w:cs="Arial"/>
            <w:color w:val="0563C1"/>
            <w:sz w:val="18"/>
            <w:szCs w:val="18"/>
          </w:rPr>
          <w:t>https://siipo.dnp.gov.co/detalleindicador/CwGheqwseheJsKkh</w:t>
        </w:r>
      </w:hyperlink>
    </w:p>
    <w:p w14:paraId="0CE8ACED" w14:textId="77777777" w:rsidR="009373D1" w:rsidRPr="00AB06F3" w:rsidRDefault="009373D1" w:rsidP="00C25586">
      <w:pPr>
        <w:spacing w:after="0" w:line="276" w:lineRule="auto"/>
        <w:jc w:val="center"/>
        <w:rPr>
          <w:rFonts w:ascii="Verdana" w:hAnsi="Verdana" w:cs="Arial"/>
        </w:rPr>
      </w:pPr>
    </w:p>
    <w:p w14:paraId="7D4E55D5" w14:textId="2CF8283B" w:rsidR="00B709EF" w:rsidRPr="00AB06F3" w:rsidRDefault="2F618300" w:rsidP="00C25586">
      <w:pPr>
        <w:pStyle w:val="Ttulo5"/>
        <w:spacing w:after="0" w:line="276" w:lineRule="auto"/>
        <w:ind w:left="720" w:hanging="360"/>
        <w:jc w:val="both"/>
        <w:rPr>
          <w:rFonts w:ascii="Verdana" w:hAnsi="Verdana" w:cs="Arial"/>
        </w:rPr>
      </w:pPr>
      <w:r w:rsidRPr="00AB06F3">
        <w:rPr>
          <w:rFonts w:ascii="Verdana" w:eastAsia="Verdana" w:hAnsi="Verdana" w:cs="Arial"/>
          <w:color w:val="000000" w:themeColor="text1"/>
          <w:sz w:val="24"/>
          <w:szCs w:val="24"/>
        </w:rPr>
        <w:t>c) ¿Qué desafíos y retos tuvimos para el cumplimiento del indicador PMI?</w:t>
      </w:r>
    </w:p>
    <w:p w14:paraId="5A7B91F4" w14:textId="49219D56" w:rsidR="00372CC2" w:rsidRPr="00372CC2" w:rsidRDefault="00372CC2" w:rsidP="00372CC2">
      <w:pPr>
        <w:pStyle w:val="Descripcin"/>
        <w:keepNext/>
        <w:jc w:val="center"/>
        <w:rPr>
          <w:rFonts w:ascii="Verdana" w:eastAsia="Verdana" w:hAnsi="Verdana" w:cs="Arial"/>
          <w:i w:val="0"/>
          <w:iCs w:val="0"/>
          <w:color w:val="000000" w:themeColor="text1"/>
        </w:rPr>
      </w:pPr>
      <w:bookmarkStart w:id="52" w:name="_Toc225283159"/>
      <w:r w:rsidRPr="00372CC2">
        <w:rPr>
          <w:rFonts w:ascii="Verdana" w:eastAsia="Verdana" w:hAnsi="Verdana" w:cs="Arial"/>
          <w:i w:val="0"/>
          <w:iCs w:val="0"/>
          <w:color w:val="000000" w:themeColor="text1"/>
        </w:rPr>
        <w:t xml:space="preserve">Tabla </w:t>
      </w:r>
      <w:r w:rsidRPr="00372CC2">
        <w:rPr>
          <w:rFonts w:ascii="Verdana" w:eastAsia="Verdana" w:hAnsi="Verdana" w:cs="Arial"/>
          <w:i w:val="0"/>
          <w:iCs w:val="0"/>
          <w:color w:val="000000" w:themeColor="text1"/>
        </w:rPr>
        <w:fldChar w:fldCharType="begin"/>
      </w:r>
      <w:r w:rsidRPr="00372CC2">
        <w:rPr>
          <w:rFonts w:ascii="Verdana" w:eastAsia="Verdana" w:hAnsi="Verdana" w:cs="Arial"/>
          <w:i w:val="0"/>
          <w:iCs w:val="0"/>
          <w:color w:val="000000" w:themeColor="text1"/>
        </w:rPr>
        <w:instrText xml:space="preserve"> SEQ Tabla \* ARABIC </w:instrText>
      </w:r>
      <w:r w:rsidRPr="00372CC2">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47</w:t>
      </w:r>
      <w:r w:rsidRPr="00372CC2">
        <w:rPr>
          <w:rFonts w:ascii="Verdana" w:eastAsia="Verdana" w:hAnsi="Verdana" w:cs="Arial"/>
          <w:i w:val="0"/>
          <w:iCs w:val="0"/>
          <w:color w:val="000000" w:themeColor="text1"/>
        </w:rPr>
        <w:fldChar w:fldCharType="end"/>
      </w:r>
      <w:r w:rsidRPr="00372CC2">
        <w:rPr>
          <w:rFonts w:ascii="Verdana" w:eastAsia="Verdana" w:hAnsi="Verdana" w:cs="Arial"/>
          <w:i w:val="0"/>
          <w:iCs w:val="0"/>
          <w:color w:val="000000" w:themeColor="text1"/>
        </w:rPr>
        <w:t>. Desafíos y retos del indicador C.427</w:t>
      </w:r>
      <w:bookmarkEnd w:id="52"/>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2122"/>
        <w:gridCol w:w="3685"/>
        <w:gridCol w:w="3021"/>
      </w:tblGrid>
      <w:tr w:rsidR="33167E86" w:rsidRPr="00AB06F3" w14:paraId="6871F23E" w14:textId="77777777" w:rsidTr="00463CD9">
        <w:trPr>
          <w:trHeight w:val="300"/>
          <w:tblHeader/>
        </w:trPr>
        <w:tc>
          <w:tcPr>
            <w:tcW w:w="2122" w:type="dxa"/>
            <w:tcMar>
              <w:left w:w="108" w:type="dxa"/>
              <w:right w:w="108" w:type="dxa"/>
            </w:tcMar>
          </w:tcPr>
          <w:p w14:paraId="073831DF" w14:textId="3C2689D3" w:rsidR="33167E86" w:rsidRPr="00FD69BC" w:rsidRDefault="33167E86" w:rsidP="00FD69BC">
            <w:pPr>
              <w:spacing w:line="276" w:lineRule="auto"/>
              <w:jc w:val="center"/>
              <w:rPr>
                <w:rFonts w:ascii="Verdana" w:hAnsi="Verdana" w:cs="Arial"/>
                <w:b/>
                <w:bCs/>
              </w:rPr>
            </w:pPr>
            <w:r w:rsidRPr="00FD69BC">
              <w:rPr>
                <w:rFonts w:ascii="Verdana" w:eastAsia="Verdana" w:hAnsi="Verdana" w:cs="Arial"/>
                <w:b/>
                <w:bCs/>
                <w:color w:val="000000" w:themeColor="text1"/>
                <w:sz w:val="18"/>
                <w:szCs w:val="18"/>
              </w:rPr>
              <w:t>Tipo de Reto</w:t>
            </w:r>
          </w:p>
        </w:tc>
        <w:tc>
          <w:tcPr>
            <w:tcW w:w="3685" w:type="dxa"/>
            <w:tcMar>
              <w:left w:w="108" w:type="dxa"/>
              <w:right w:w="108" w:type="dxa"/>
            </w:tcMar>
          </w:tcPr>
          <w:p w14:paraId="07E76122" w14:textId="1364014B" w:rsidR="33167E86" w:rsidRPr="00FD69BC" w:rsidRDefault="33167E86" w:rsidP="00FD69BC">
            <w:pPr>
              <w:spacing w:line="276" w:lineRule="auto"/>
              <w:jc w:val="center"/>
              <w:rPr>
                <w:rFonts w:ascii="Verdana" w:hAnsi="Verdana" w:cs="Arial"/>
                <w:b/>
                <w:bCs/>
              </w:rPr>
            </w:pPr>
            <w:r w:rsidRPr="00FD69BC">
              <w:rPr>
                <w:rFonts w:ascii="Verdana" w:eastAsia="Verdana" w:hAnsi="Verdana" w:cs="Arial"/>
                <w:b/>
                <w:bCs/>
                <w:color w:val="000000" w:themeColor="text1"/>
                <w:sz w:val="18"/>
                <w:szCs w:val="18"/>
              </w:rPr>
              <w:t>Descripción del Reto</w:t>
            </w:r>
          </w:p>
        </w:tc>
        <w:tc>
          <w:tcPr>
            <w:tcW w:w="3021" w:type="dxa"/>
            <w:tcMar>
              <w:left w:w="108" w:type="dxa"/>
              <w:right w:w="108" w:type="dxa"/>
            </w:tcMar>
          </w:tcPr>
          <w:p w14:paraId="1CC782BB" w14:textId="594A0848" w:rsidR="33167E86" w:rsidRPr="00FD69BC" w:rsidRDefault="33167E86" w:rsidP="00FD69BC">
            <w:pPr>
              <w:spacing w:line="276" w:lineRule="auto"/>
              <w:jc w:val="center"/>
              <w:rPr>
                <w:rFonts w:ascii="Verdana" w:hAnsi="Verdana" w:cs="Arial"/>
                <w:b/>
                <w:bCs/>
              </w:rPr>
            </w:pPr>
            <w:r w:rsidRPr="00FD69BC">
              <w:rPr>
                <w:rFonts w:ascii="Verdana" w:eastAsia="Verdana" w:hAnsi="Verdana" w:cs="Arial"/>
                <w:b/>
                <w:bCs/>
                <w:color w:val="000000" w:themeColor="text1"/>
                <w:sz w:val="18"/>
                <w:szCs w:val="18"/>
              </w:rPr>
              <w:t>Medidas para mitigar el Reto</w:t>
            </w:r>
          </w:p>
        </w:tc>
      </w:tr>
      <w:tr w:rsidR="003A1332" w:rsidRPr="00AB06F3" w14:paraId="1C9666EB" w14:textId="77777777" w:rsidTr="00463CD9">
        <w:trPr>
          <w:trHeight w:val="300"/>
        </w:trPr>
        <w:tc>
          <w:tcPr>
            <w:tcW w:w="2122" w:type="dxa"/>
            <w:tcMar>
              <w:left w:w="108" w:type="dxa"/>
              <w:right w:w="108" w:type="dxa"/>
            </w:tcMar>
          </w:tcPr>
          <w:p w14:paraId="71A0F607" w14:textId="77777777" w:rsidR="003A1332" w:rsidRPr="002E2F36" w:rsidRDefault="003A1332" w:rsidP="00C401E4">
            <w:pPr>
              <w:pStyle w:val="paragraph"/>
              <w:spacing w:before="0" w:beforeAutospacing="0" w:after="0" w:afterAutospacing="0"/>
              <w:jc w:val="both"/>
              <w:textAlignment w:val="baseline"/>
              <w:divId w:val="687408874"/>
              <w:rPr>
                <w:rFonts w:ascii="Segoe UI" w:hAnsi="Segoe UI" w:cs="Segoe UI"/>
                <w:sz w:val="18"/>
                <w:szCs w:val="18"/>
              </w:rPr>
            </w:pPr>
            <w:r w:rsidRPr="002E2F36">
              <w:rPr>
                <w:rStyle w:val="normaltextrun"/>
                <w:rFonts w:ascii="Verdana" w:hAnsi="Verdana" w:cs="Segoe UI"/>
                <w:sz w:val="18"/>
                <w:szCs w:val="18"/>
              </w:rPr>
              <w:t>1-Presupuesto y Financiera </w:t>
            </w:r>
            <w:r w:rsidRPr="002E2F36">
              <w:rPr>
                <w:rStyle w:val="eop"/>
                <w:rFonts w:ascii="Verdana" w:hAnsi="Verdana" w:cs="Segoe UI"/>
                <w:sz w:val="18"/>
                <w:szCs w:val="18"/>
              </w:rPr>
              <w:t> </w:t>
            </w:r>
          </w:p>
          <w:p w14:paraId="470B64AD" w14:textId="77777777" w:rsidR="003A1332" w:rsidRPr="002E2F36" w:rsidRDefault="003A1332" w:rsidP="00C401E4">
            <w:pPr>
              <w:pStyle w:val="paragraph"/>
              <w:spacing w:before="0" w:beforeAutospacing="0" w:after="0" w:afterAutospacing="0"/>
              <w:jc w:val="both"/>
              <w:textAlignment w:val="baseline"/>
              <w:divId w:val="1374501756"/>
              <w:rPr>
                <w:rFonts w:ascii="Segoe UI" w:hAnsi="Segoe UI" w:cs="Segoe UI"/>
                <w:sz w:val="18"/>
                <w:szCs w:val="18"/>
              </w:rPr>
            </w:pPr>
            <w:r w:rsidRPr="002E2F36">
              <w:rPr>
                <w:rStyle w:val="normaltextrun"/>
                <w:rFonts w:ascii="Verdana" w:hAnsi="Verdana" w:cs="Segoe UI"/>
                <w:sz w:val="18"/>
                <w:szCs w:val="18"/>
              </w:rPr>
              <w:t>2-Coordinación interinstitucional </w:t>
            </w:r>
            <w:r w:rsidRPr="002E2F36">
              <w:rPr>
                <w:rStyle w:val="eop"/>
                <w:rFonts w:ascii="Verdana" w:hAnsi="Verdana" w:cs="Segoe UI"/>
                <w:sz w:val="18"/>
                <w:szCs w:val="18"/>
              </w:rPr>
              <w:t> </w:t>
            </w:r>
          </w:p>
          <w:p w14:paraId="718E90C0" w14:textId="1B221DB0" w:rsidR="003A1332" w:rsidRPr="002E2F36" w:rsidRDefault="003A1332" w:rsidP="00C401E4">
            <w:pPr>
              <w:spacing w:line="276" w:lineRule="auto"/>
              <w:jc w:val="both"/>
              <w:rPr>
                <w:rFonts w:ascii="Verdana" w:hAnsi="Verdana" w:cs="Arial"/>
              </w:rPr>
            </w:pPr>
            <w:r w:rsidRPr="002E2F36">
              <w:rPr>
                <w:rStyle w:val="normaltextrun"/>
                <w:rFonts w:ascii="Verdana" w:hAnsi="Verdana" w:cs="Segoe UI"/>
                <w:sz w:val="18"/>
                <w:szCs w:val="18"/>
              </w:rPr>
              <w:t>3-Presencia de actores armados en el territorio.</w:t>
            </w:r>
            <w:r w:rsidRPr="002E2F36">
              <w:rPr>
                <w:rStyle w:val="eop"/>
                <w:rFonts w:ascii="Verdana" w:hAnsi="Verdana" w:cs="Segoe UI"/>
                <w:sz w:val="18"/>
                <w:szCs w:val="18"/>
              </w:rPr>
              <w:t> </w:t>
            </w:r>
          </w:p>
        </w:tc>
        <w:tc>
          <w:tcPr>
            <w:tcW w:w="3685" w:type="dxa"/>
            <w:tcMar>
              <w:left w:w="108" w:type="dxa"/>
              <w:right w:w="108" w:type="dxa"/>
            </w:tcMar>
          </w:tcPr>
          <w:p w14:paraId="2185CFA2" w14:textId="21498E10" w:rsidR="003A1332" w:rsidRPr="002E2F36" w:rsidRDefault="003A1332" w:rsidP="00C401E4">
            <w:pPr>
              <w:pStyle w:val="paragraph"/>
              <w:spacing w:before="0" w:beforeAutospacing="0" w:after="0" w:afterAutospacing="0"/>
              <w:jc w:val="both"/>
              <w:textAlignment w:val="baseline"/>
              <w:divId w:val="38017699"/>
              <w:rPr>
                <w:rFonts w:ascii="Calibri" w:hAnsi="Calibri" w:cs="Calibri"/>
                <w:sz w:val="22"/>
                <w:szCs w:val="22"/>
              </w:rPr>
            </w:pPr>
            <w:r w:rsidRPr="002E2F36">
              <w:rPr>
                <w:rStyle w:val="normaltextrun"/>
                <w:rFonts w:ascii="Verdana" w:hAnsi="Verdana" w:cs="Calibri"/>
                <w:sz w:val="18"/>
                <w:szCs w:val="18"/>
              </w:rPr>
              <w:t xml:space="preserve">En </w:t>
            </w:r>
            <w:r w:rsidR="00C32386" w:rsidRPr="00C32386">
              <w:rPr>
                <w:rFonts w:ascii="Verdana" w:hAnsi="Verdana" w:cs="Calibri"/>
                <w:sz w:val="18"/>
                <w:szCs w:val="18"/>
              </w:rPr>
              <w:t>varios departamentos persisten riesgos y amenazas a la seguridad, lo que ha impactado la realización de actividades de carácter participativo, productivo y comunitario en los territorios.</w:t>
            </w:r>
          </w:p>
          <w:p w14:paraId="4150FFB2" w14:textId="77777777" w:rsidR="004B3A53" w:rsidRDefault="004B3A53" w:rsidP="00C401E4">
            <w:pPr>
              <w:pStyle w:val="paragraph"/>
              <w:spacing w:before="0" w:beforeAutospacing="0" w:after="0" w:afterAutospacing="0"/>
              <w:jc w:val="both"/>
              <w:textAlignment w:val="baseline"/>
              <w:divId w:val="505287203"/>
              <w:rPr>
                <w:rStyle w:val="normaltextrun"/>
                <w:rFonts w:ascii="Verdana" w:hAnsi="Verdana" w:cs="Calibri"/>
                <w:sz w:val="18"/>
                <w:szCs w:val="18"/>
              </w:rPr>
            </w:pPr>
          </w:p>
          <w:p w14:paraId="2D96DBE3" w14:textId="0D8A459D" w:rsidR="004B3A53" w:rsidRDefault="003A1332" w:rsidP="00C401E4">
            <w:pPr>
              <w:pStyle w:val="paragraph"/>
              <w:spacing w:before="0" w:beforeAutospacing="0" w:after="0" w:afterAutospacing="0"/>
              <w:jc w:val="both"/>
              <w:textAlignment w:val="baseline"/>
              <w:divId w:val="1725718196"/>
              <w:rPr>
                <w:rFonts w:ascii="Verdana" w:hAnsi="Verdana" w:cs="Calibri"/>
                <w:sz w:val="18"/>
                <w:szCs w:val="18"/>
              </w:rPr>
            </w:pPr>
            <w:r w:rsidRPr="002E2F36">
              <w:rPr>
                <w:rStyle w:val="normaltextrun"/>
                <w:rFonts w:ascii="Verdana" w:hAnsi="Verdana" w:cs="Calibri"/>
                <w:sz w:val="18"/>
                <w:szCs w:val="18"/>
              </w:rPr>
              <w:t xml:space="preserve">Los recortes presupuestales </w:t>
            </w:r>
            <w:r w:rsidR="00F85257" w:rsidRPr="00F85257">
              <w:rPr>
                <w:rFonts w:ascii="Verdana" w:hAnsi="Verdana" w:cs="Calibri"/>
                <w:sz w:val="18"/>
                <w:szCs w:val="18"/>
              </w:rPr>
              <w:t>registrados durante la vigencia afectaron la ejecución de algunas de las acciones proyectadas en los planes de trabajo de estas instancias, limitando el alcance de las actividades previstas.</w:t>
            </w:r>
          </w:p>
          <w:p w14:paraId="4D99F7AE" w14:textId="77777777" w:rsidR="00F85257" w:rsidRDefault="00F85257" w:rsidP="00C401E4">
            <w:pPr>
              <w:pStyle w:val="paragraph"/>
              <w:spacing w:before="0" w:beforeAutospacing="0" w:after="0" w:afterAutospacing="0"/>
              <w:jc w:val="both"/>
              <w:textAlignment w:val="baseline"/>
              <w:divId w:val="1725718196"/>
              <w:rPr>
                <w:rStyle w:val="normaltextrun"/>
                <w:rFonts w:ascii="Verdana" w:hAnsi="Verdana" w:cs="Calibri"/>
                <w:sz w:val="18"/>
                <w:szCs w:val="18"/>
              </w:rPr>
            </w:pPr>
          </w:p>
          <w:p w14:paraId="1BF90010" w14:textId="0F0F942E" w:rsidR="005576E1" w:rsidRDefault="00F85257" w:rsidP="00C401E4">
            <w:pPr>
              <w:pStyle w:val="paragraph"/>
              <w:spacing w:before="0" w:beforeAutospacing="0" w:after="0" w:afterAutospacing="0"/>
              <w:jc w:val="both"/>
              <w:textAlignment w:val="baseline"/>
              <w:divId w:val="1226917467"/>
              <w:rPr>
                <w:rFonts w:ascii="Verdana" w:hAnsi="Verdana" w:cs="Calibri"/>
                <w:sz w:val="18"/>
                <w:szCs w:val="18"/>
              </w:rPr>
            </w:pPr>
            <w:r>
              <w:rPr>
                <w:rFonts w:ascii="Verdana" w:hAnsi="Verdana" w:cs="Calibri"/>
                <w:sz w:val="18"/>
                <w:szCs w:val="18"/>
              </w:rPr>
              <w:t>S</w:t>
            </w:r>
            <w:r w:rsidRPr="00F85257">
              <w:rPr>
                <w:rFonts w:ascii="Verdana" w:hAnsi="Verdana" w:cs="Calibri"/>
                <w:sz w:val="18"/>
                <w:szCs w:val="18"/>
              </w:rPr>
              <w:t>e evidencian brechas de conocimiento por parte de algunas entidades del orden nacional y territorial respecto al Programa de Reincorporación Integral (PRI), lo cual impacta los procesos de articulación interinstitucional y dificulta su adecuada implementación en los territorios.</w:t>
            </w:r>
          </w:p>
          <w:p w14:paraId="300F7471" w14:textId="77777777" w:rsidR="00F85257" w:rsidRDefault="00F85257" w:rsidP="00C401E4">
            <w:pPr>
              <w:pStyle w:val="paragraph"/>
              <w:spacing w:before="0" w:beforeAutospacing="0" w:after="0" w:afterAutospacing="0"/>
              <w:jc w:val="both"/>
              <w:textAlignment w:val="baseline"/>
              <w:divId w:val="1226917467"/>
              <w:rPr>
                <w:rStyle w:val="normaltextrun"/>
                <w:rFonts w:ascii="Verdana" w:hAnsi="Verdana" w:cs="Calibri"/>
                <w:sz w:val="18"/>
                <w:szCs w:val="18"/>
              </w:rPr>
            </w:pPr>
          </w:p>
          <w:p w14:paraId="4BA769BA" w14:textId="77777777" w:rsidR="009F4D35" w:rsidRDefault="003A1332" w:rsidP="00C401E4">
            <w:pPr>
              <w:pStyle w:val="paragraph"/>
              <w:spacing w:before="0" w:beforeAutospacing="0" w:after="0" w:afterAutospacing="0"/>
              <w:jc w:val="both"/>
              <w:textAlignment w:val="baseline"/>
              <w:divId w:val="1226917467"/>
              <w:rPr>
                <w:rFonts w:ascii="Verdana" w:hAnsi="Verdana" w:cs="Calibri"/>
                <w:sz w:val="18"/>
                <w:szCs w:val="18"/>
              </w:rPr>
            </w:pPr>
            <w:r w:rsidRPr="002E2F36">
              <w:rPr>
                <w:rStyle w:val="normaltextrun"/>
                <w:rFonts w:ascii="Verdana" w:hAnsi="Verdana" w:cs="Calibri"/>
                <w:sz w:val="18"/>
                <w:szCs w:val="18"/>
              </w:rPr>
              <w:t xml:space="preserve">Persisten las situaciones de estigmatización </w:t>
            </w:r>
            <w:r w:rsidR="009F4D35" w:rsidRPr="009F4D35">
              <w:rPr>
                <w:rFonts w:ascii="Verdana" w:hAnsi="Verdana" w:cs="Calibri"/>
                <w:sz w:val="18"/>
                <w:szCs w:val="18"/>
              </w:rPr>
              <w:t>hacia la población firmante del Acuerdo de Paz, lo que ha generado que algunas personas opten por no identificarse como participantes del proceso de reincorporación al momento de postularse a programas o proyectos institucionales, accediendo a estos como ciudadanía en general y sin el enfoque diferencial de reincorporación.</w:t>
            </w:r>
          </w:p>
          <w:p w14:paraId="2B629747" w14:textId="77777777" w:rsidR="005576E1" w:rsidRDefault="005576E1" w:rsidP="00C401E4">
            <w:pPr>
              <w:spacing w:line="276" w:lineRule="auto"/>
              <w:jc w:val="both"/>
              <w:rPr>
                <w:rStyle w:val="normaltextrun"/>
                <w:rFonts w:ascii="Verdana" w:hAnsi="Verdana" w:cs="Calibri"/>
                <w:sz w:val="18"/>
                <w:szCs w:val="18"/>
              </w:rPr>
            </w:pPr>
          </w:p>
          <w:p w14:paraId="23A73580" w14:textId="617F4216" w:rsidR="003A1332" w:rsidRPr="005576E1" w:rsidRDefault="009F4D35" w:rsidP="00C401E4">
            <w:pPr>
              <w:spacing w:line="276" w:lineRule="auto"/>
              <w:jc w:val="both"/>
              <w:rPr>
                <w:rFonts w:ascii="Verdana" w:hAnsi="Verdana" w:cs="Arial"/>
              </w:rPr>
            </w:pPr>
            <w:r>
              <w:rPr>
                <w:rFonts w:ascii="Verdana" w:hAnsi="Verdana" w:cs="Calibri"/>
                <w:sz w:val="18"/>
                <w:szCs w:val="18"/>
              </w:rPr>
              <w:t>D</w:t>
            </w:r>
            <w:r w:rsidRPr="009F4D35">
              <w:rPr>
                <w:rFonts w:ascii="Verdana" w:hAnsi="Verdana" w:cs="Calibri"/>
                <w:sz w:val="18"/>
                <w:szCs w:val="18"/>
              </w:rPr>
              <w:t xml:space="preserve">ificultades en el relacionamiento y la coordinación con entidades del nivel </w:t>
            </w:r>
            <w:r w:rsidRPr="009F4D35">
              <w:rPr>
                <w:rFonts w:ascii="Verdana" w:hAnsi="Verdana" w:cs="Calibri"/>
                <w:sz w:val="18"/>
                <w:szCs w:val="18"/>
              </w:rPr>
              <w:lastRenderedPageBreak/>
              <w:t>nacional y territorial, lo que ha afectado la concertación y realización de espacios de diálogo y discusión relacionados con la implementación de la política pública de reincorporación.</w:t>
            </w:r>
          </w:p>
        </w:tc>
        <w:tc>
          <w:tcPr>
            <w:tcW w:w="3021" w:type="dxa"/>
            <w:tcMar>
              <w:left w:w="108" w:type="dxa"/>
              <w:right w:w="108" w:type="dxa"/>
            </w:tcMar>
          </w:tcPr>
          <w:p w14:paraId="1152C9D7" w14:textId="77777777" w:rsidR="00463CD9" w:rsidRPr="00463CD9" w:rsidRDefault="00463CD9" w:rsidP="00C401E4">
            <w:pPr>
              <w:pStyle w:val="paragraph"/>
              <w:spacing w:before="0" w:beforeAutospacing="0" w:after="0" w:afterAutospacing="0"/>
              <w:jc w:val="both"/>
              <w:textAlignment w:val="baseline"/>
              <w:rPr>
                <w:rFonts w:ascii="Verdana" w:hAnsi="Verdana" w:cs="Segoe UI"/>
                <w:sz w:val="18"/>
                <w:szCs w:val="18"/>
              </w:rPr>
            </w:pPr>
            <w:r w:rsidRPr="00463CD9">
              <w:rPr>
                <w:rFonts w:ascii="Verdana" w:hAnsi="Verdana" w:cs="Segoe UI"/>
                <w:sz w:val="18"/>
                <w:szCs w:val="18"/>
              </w:rPr>
              <w:lastRenderedPageBreak/>
              <w:t>Los retos identificados han sido recurrentes desde vigencias anteriores y, en algunos territorios específicos, se han intensificado debido a las condiciones de seguridad, limitaciones presupuestales y dificultades en la articulación institucional. No obstante, la gestión sostenida de los equipos territoriales de la ARN y de los actores que dinamizan las instancias territoriales de reincorporación ha permitido mantener su funcionamiento y avanzar en el cumplimiento de los objetivos propuestos.</w:t>
            </w:r>
          </w:p>
          <w:p w14:paraId="3015FCCC" w14:textId="203AA4BB" w:rsidR="00463CD9" w:rsidRPr="00463CD9" w:rsidRDefault="00463CD9" w:rsidP="00C401E4">
            <w:pPr>
              <w:pStyle w:val="paragraph"/>
              <w:spacing w:before="0" w:beforeAutospacing="0" w:after="0" w:afterAutospacing="0"/>
              <w:jc w:val="both"/>
              <w:textAlignment w:val="baseline"/>
              <w:rPr>
                <w:rFonts w:ascii="Verdana" w:hAnsi="Verdana" w:cs="Segoe UI"/>
                <w:sz w:val="18"/>
                <w:szCs w:val="18"/>
              </w:rPr>
            </w:pPr>
            <w:r w:rsidRPr="00463CD9">
              <w:rPr>
                <w:rFonts w:ascii="Verdana" w:hAnsi="Verdana" w:cs="Segoe UI"/>
                <w:sz w:val="18"/>
                <w:szCs w:val="18"/>
              </w:rPr>
              <w:t>En este contexto, se continuará fortaleciendo la articulación interinstitucional con entidades del orden nacional y territorial, así como promoviendo espacios de diálogo y coordinación que permitan consolidar la implementación del Programa de Reincorporación Integral en los territorios. Asimismo, se seguirá impulsando la participación activa de las personas en proceso de reincorporación en las instancias territoriales, con el fin de fortalecer los procesos de concertación y seguimiento a las acciones definidas en sus planes de trabajo.</w:t>
            </w:r>
          </w:p>
          <w:p w14:paraId="689FEF95" w14:textId="2A26EB39" w:rsidR="003A1332" w:rsidRPr="00463CD9" w:rsidRDefault="00463CD9" w:rsidP="00C401E4">
            <w:pPr>
              <w:pStyle w:val="paragraph"/>
              <w:spacing w:before="0" w:beforeAutospacing="0" w:after="0" w:afterAutospacing="0"/>
              <w:jc w:val="both"/>
              <w:textAlignment w:val="baseline"/>
              <w:rPr>
                <w:rFonts w:ascii="Verdana" w:hAnsi="Verdana" w:cs="Segoe UI"/>
                <w:sz w:val="18"/>
                <w:szCs w:val="18"/>
              </w:rPr>
            </w:pPr>
            <w:r w:rsidRPr="00463CD9">
              <w:rPr>
                <w:rFonts w:ascii="Verdana" w:hAnsi="Verdana" w:cs="Segoe UI"/>
                <w:sz w:val="18"/>
                <w:szCs w:val="18"/>
              </w:rPr>
              <w:t xml:space="preserve">Cabe precisar que el número de instancias territoriales de reincorporación puede variar a </w:t>
            </w:r>
            <w:r w:rsidRPr="00463CD9">
              <w:rPr>
                <w:rFonts w:ascii="Verdana" w:hAnsi="Verdana" w:cs="Segoe UI"/>
                <w:sz w:val="18"/>
                <w:szCs w:val="18"/>
              </w:rPr>
              <w:lastRenderedPageBreak/>
              <w:t>lo largo del tiempo, debido al surgimiento documentado de nuevas instancias, así como al cierre o transformación de aquellas existentes, en función de las dinámicas territoriales y de la evolución del proceso de reincorporación.</w:t>
            </w:r>
          </w:p>
        </w:tc>
      </w:tr>
    </w:tbl>
    <w:p w14:paraId="30B4E5CC"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5B8CB4E6" w14:textId="77777777" w:rsidR="007E43A8" w:rsidRDefault="007E43A8" w:rsidP="00C25586">
      <w:pPr>
        <w:spacing w:after="0" w:line="276" w:lineRule="auto"/>
        <w:jc w:val="center"/>
        <w:rPr>
          <w:rFonts w:ascii="Verdana" w:eastAsia="Verdana" w:hAnsi="Verdana" w:cs="Arial"/>
          <w:sz w:val="18"/>
          <w:szCs w:val="18"/>
        </w:rPr>
      </w:pPr>
    </w:p>
    <w:p w14:paraId="3544165F" w14:textId="01C053D9" w:rsidR="00B709EF" w:rsidRPr="00AB06F3" w:rsidRDefault="5D800DC5" w:rsidP="00031DF5">
      <w:pPr>
        <w:pStyle w:val="Prrafodelista"/>
        <w:numPr>
          <w:ilvl w:val="2"/>
          <w:numId w:val="13"/>
        </w:numPr>
        <w:spacing w:before="240" w:after="0" w:line="276" w:lineRule="auto"/>
        <w:jc w:val="both"/>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Producto: Asignación básica m</w:t>
      </w:r>
      <w:r w:rsidR="15767706" w:rsidRPr="00AB06F3">
        <w:rPr>
          <w:rFonts w:ascii="Verdana" w:eastAsia="Verdana" w:hAnsi="Verdana" w:cs="Arial"/>
          <w:b/>
          <w:bCs/>
          <w:color w:val="000000" w:themeColor="text1"/>
          <w:sz w:val="24"/>
          <w:szCs w:val="24"/>
        </w:rPr>
        <w:t xml:space="preserve">ensual </w:t>
      </w:r>
      <w:r w:rsidRPr="00AB06F3">
        <w:rPr>
          <w:rFonts w:ascii="Verdana" w:eastAsia="Verdana" w:hAnsi="Verdana" w:cs="Arial"/>
          <w:b/>
          <w:bCs/>
          <w:color w:val="000000" w:themeColor="text1"/>
          <w:sz w:val="24"/>
          <w:szCs w:val="24"/>
        </w:rPr>
        <w:t xml:space="preserve">a miembros de las FARC-EP acreditados que no tengan vínculo contractual, laboral, legal y reglamentario, o un contrato de cualquier naturaleza que les genere ingresos y que continúen con su ruta educativa de acuerdo a sus intereses en el proceso de reincorporación </w:t>
      </w:r>
    </w:p>
    <w:p w14:paraId="4A52E845" w14:textId="77777777" w:rsidR="008247E5" w:rsidRDefault="008247E5" w:rsidP="001454F2">
      <w:pPr>
        <w:spacing w:after="0" w:line="276" w:lineRule="auto"/>
        <w:jc w:val="both"/>
        <w:rPr>
          <w:rFonts w:ascii="Verdana" w:eastAsia="Verdana" w:hAnsi="Verdana" w:cs="Arial"/>
          <w:b/>
          <w:bCs/>
          <w:color w:val="000000" w:themeColor="text1"/>
          <w:sz w:val="24"/>
          <w:szCs w:val="24"/>
        </w:rPr>
      </w:pPr>
    </w:p>
    <w:p w14:paraId="4485288B" w14:textId="26880D7A" w:rsidR="00B709EF" w:rsidRPr="005F37D5" w:rsidRDefault="5D800DC5" w:rsidP="001454F2">
      <w:p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b/>
          <w:bCs/>
          <w:color w:val="000000" w:themeColor="text1"/>
          <w:sz w:val="24"/>
          <w:szCs w:val="24"/>
        </w:rPr>
        <w:t>C.458</w:t>
      </w:r>
      <w:r w:rsidR="006F4A91">
        <w:rPr>
          <w:rFonts w:ascii="Verdana" w:eastAsia="Verdana" w:hAnsi="Verdana" w:cs="Arial"/>
          <w:b/>
          <w:bCs/>
          <w:color w:val="000000" w:themeColor="text1"/>
          <w:sz w:val="24"/>
          <w:szCs w:val="24"/>
        </w:rPr>
        <w:t xml:space="preserve">. </w:t>
      </w:r>
      <w:r w:rsidR="006F4A91" w:rsidRPr="005F37D5">
        <w:rPr>
          <w:rFonts w:ascii="Verdana" w:eastAsia="Verdana" w:hAnsi="Verdana" w:cs="Arial"/>
          <w:color w:val="000000" w:themeColor="text1"/>
          <w:sz w:val="24"/>
          <w:szCs w:val="24"/>
        </w:rPr>
        <w:t>Porcentaje de miembros de las FARC-EP acreditados que cumplan con los requisitos establecidos en el Programa de Reincorporación Integral, con asignación básica mensual</w:t>
      </w:r>
    </w:p>
    <w:p w14:paraId="62CF8961" w14:textId="77777777" w:rsidR="001454F2" w:rsidRPr="001454F2" w:rsidRDefault="001454F2" w:rsidP="001454F2">
      <w:pPr>
        <w:spacing w:after="0" w:line="276" w:lineRule="auto"/>
        <w:jc w:val="both"/>
        <w:rPr>
          <w:rFonts w:ascii="Verdana" w:eastAsia="Verdana" w:hAnsi="Verdana" w:cs="Arial"/>
          <w:b/>
          <w:bCs/>
          <w:color w:val="000000" w:themeColor="text1"/>
          <w:sz w:val="24"/>
          <w:szCs w:val="24"/>
        </w:rPr>
      </w:pPr>
    </w:p>
    <w:p w14:paraId="2ECA15E0" w14:textId="5AEFC276" w:rsidR="001454F2" w:rsidRPr="001454F2" w:rsidRDefault="001454F2" w:rsidP="001454F2">
      <w:pPr>
        <w:pStyle w:val="Descripcin"/>
        <w:keepNext/>
        <w:jc w:val="center"/>
        <w:rPr>
          <w:rFonts w:ascii="Verdana" w:eastAsia="Verdana" w:hAnsi="Verdana" w:cs="Arial"/>
          <w:i w:val="0"/>
          <w:iCs w:val="0"/>
          <w:color w:val="000000" w:themeColor="text1"/>
        </w:rPr>
      </w:pPr>
      <w:bookmarkStart w:id="53" w:name="_Toc225283160"/>
      <w:r w:rsidRPr="001454F2">
        <w:rPr>
          <w:rFonts w:ascii="Verdana" w:eastAsia="Verdana" w:hAnsi="Verdana" w:cs="Arial"/>
          <w:i w:val="0"/>
          <w:iCs w:val="0"/>
          <w:color w:val="000000" w:themeColor="text1"/>
        </w:rPr>
        <w:t xml:space="preserve">Tabla </w:t>
      </w:r>
      <w:r w:rsidRPr="001454F2">
        <w:rPr>
          <w:rFonts w:ascii="Verdana" w:eastAsia="Verdana" w:hAnsi="Verdana" w:cs="Arial"/>
          <w:i w:val="0"/>
          <w:iCs w:val="0"/>
          <w:color w:val="000000" w:themeColor="text1"/>
        </w:rPr>
        <w:fldChar w:fldCharType="begin"/>
      </w:r>
      <w:r w:rsidRPr="001454F2">
        <w:rPr>
          <w:rFonts w:ascii="Verdana" w:eastAsia="Verdana" w:hAnsi="Verdana" w:cs="Arial"/>
          <w:i w:val="0"/>
          <w:iCs w:val="0"/>
          <w:color w:val="000000" w:themeColor="text1"/>
        </w:rPr>
        <w:instrText xml:space="preserve"> SEQ Tabla \* ARABIC </w:instrText>
      </w:r>
      <w:r w:rsidRPr="001454F2">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48</w:t>
      </w:r>
      <w:r w:rsidRPr="001454F2">
        <w:rPr>
          <w:rFonts w:ascii="Verdana" w:eastAsia="Verdana" w:hAnsi="Verdana" w:cs="Arial"/>
          <w:i w:val="0"/>
          <w:iCs w:val="0"/>
          <w:color w:val="000000" w:themeColor="text1"/>
        </w:rPr>
        <w:fldChar w:fldCharType="end"/>
      </w:r>
      <w:r w:rsidRPr="001454F2">
        <w:rPr>
          <w:rFonts w:ascii="Verdana" w:eastAsia="Verdana" w:hAnsi="Verdana" w:cs="Arial"/>
          <w:i w:val="0"/>
          <w:iCs w:val="0"/>
          <w:color w:val="000000" w:themeColor="text1"/>
        </w:rPr>
        <w:t>. Detalle de avance en el indicador C.458</w:t>
      </w:r>
      <w:bookmarkEnd w:id="53"/>
    </w:p>
    <w:tbl>
      <w:tblPr>
        <w:tblStyle w:val="Tablaconcuadrcula1clara-nfasis4"/>
        <w:tblW w:w="0" w:type="auto"/>
        <w:jc w:val="center"/>
        <w:tblBorders>
          <w:insideH w:val="single" w:sz="12" w:space="0" w:color="FFD966" w:themeColor="accent4" w:themeTint="99"/>
        </w:tblBorders>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823"/>
        <w:gridCol w:w="1283"/>
        <w:gridCol w:w="1230"/>
        <w:gridCol w:w="1220"/>
        <w:gridCol w:w="1272"/>
      </w:tblGrid>
      <w:tr w:rsidR="48836A97" w:rsidRPr="00AB06F3" w14:paraId="7891043B" w14:textId="77777777" w:rsidTr="00463CD9">
        <w:trPr>
          <w:cnfStyle w:val="100000000000" w:firstRow="1" w:lastRow="0" w:firstColumn="0" w:lastColumn="0" w:oddVBand="0" w:evenVBand="0" w:oddHBand="0" w:evenHBand="0" w:firstRowFirstColumn="0" w:firstRowLastColumn="0" w:lastRowFirstColumn="0" w:lastRowLastColumn="0"/>
          <w:trHeight w:val="300"/>
          <w:tblHeader/>
          <w:jc w:val="center"/>
        </w:trPr>
        <w:tc>
          <w:tcPr>
            <w:cnfStyle w:val="001000000000" w:firstRow="0" w:lastRow="0" w:firstColumn="1" w:lastColumn="0" w:oddVBand="0" w:evenVBand="0" w:oddHBand="0" w:evenHBand="0" w:firstRowFirstColumn="0" w:firstRowLastColumn="0" w:lastRowFirstColumn="0" w:lastRowLastColumn="0"/>
            <w:tcW w:w="3823" w:type="dxa"/>
            <w:tcBorders>
              <w:bottom w:val="none" w:sz="0" w:space="0" w:color="auto"/>
            </w:tcBorders>
            <w:vAlign w:val="center"/>
          </w:tcPr>
          <w:p w14:paraId="2C72379D" w14:textId="77777777" w:rsidR="48836A97" w:rsidRPr="001049EE" w:rsidRDefault="48836A97" w:rsidP="00C25586">
            <w:pPr>
              <w:spacing w:line="276" w:lineRule="auto"/>
              <w:jc w:val="center"/>
              <w:rPr>
                <w:rFonts w:ascii="Verdana" w:hAnsi="Verdana" w:cs="Arial"/>
                <w:sz w:val="18"/>
                <w:szCs w:val="18"/>
              </w:rPr>
            </w:pPr>
            <w:r w:rsidRPr="001049EE">
              <w:rPr>
                <w:rFonts w:ascii="Verdana" w:hAnsi="Verdana" w:cs="Arial"/>
                <w:sz w:val="18"/>
                <w:szCs w:val="18"/>
              </w:rPr>
              <w:t>Indicador</w:t>
            </w:r>
          </w:p>
        </w:tc>
        <w:tc>
          <w:tcPr>
            <w:tcW w:w="1283" w:type="dxa"/>
            <w:tcBorders>
              <w:bottom w:val="none" w:sz="0" w:space="0" w:color="auto"/>
            </w:tcBorders>
            <w:vAlign w:val="center"/>
          </w:tcPr>
          <w:p w14:paraId="63E516A5" w14:textId="77777777"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1049EE">
              <w:rPr>
                <w:rFonts w:ascii="Verdana" w:hAnsi="Verdana" w:cs="Arial"/>
                <w:sz w:val="18"/>
                <w:szCs w:val="18"/>
              </w:rPr>
              <w:t>Tipo</w:t>
            </w:r>
          </w:p>
        </w:tc>
        <w:tc>
          <w:tcPr>
            <w:tcW w:w="1230" w:type="dxa"/>
            <w:tcBorders>
              <w:bottom w:val="none" w:sz="0" w:space="0" w:color="auto"/>
            </w:tcBorders>
            <w:vAlign w:val="center"/>
          </w:tcPr>
          <w:p w14:paraId="7E63F32D" w14:textId="77777777"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1049EE">
              <w:rPr>
                <w:rFonts w:ascii="Verdana" w:hAnsi="Verdana" w:cs="Arial"/>
                <w:sz w:val="18"/>
                <w:szCs w:val="18"/>
              </w:rPr>
              <w:t>Inicio</w:t>
            </w:r>
          </w:p>
        </w:tc>
        <w:tc>
          <w:tcPr>
            <w:tcW w:w="1220" w:type="dxa"/>
            <w:tcBorders>
              <w:bottom w:val="none" w:sz="0" w:space="0" w:color="auto"/>
            </w:tcBorders>
            <w:vAlign w:val="center"/>
          </w:tcPr>
          <w:p w14:paraId="3CFF2A9A" w14:textId="77777777"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1049EE">
              <w:rPr>
                <w:rFonts w:ascii="Verdana" w:hAnsi="Verdana" w:cs="Arial"/>
                <w:sz w:val="18"/>
                <w:szCs w:val="18"/>
              </w:rPr>
              <w:t>Fin</w:t>
            </w:r>
          </w:p>
        </w:tc>
        <w:tc>
          <w:tcPr>
            <w:tcW w:w="1272" w:type="dxa"/>
            <w:tcBorders>
              <w:bottom w:val="none" w:sz="0" w:space="0" w:color="auto"/>
            </w:tcBorders>
          </w:tcPr>
          <w:p w14:paraId="594E97AF" w14:textId="45D20345"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1049EE">
              <w:rPr>
                <w:rFonts w:ascii="Verdana" w:hAnsi="Verdana" w:cs="Arial"/>
                <w:color w:val="000000" w:themeColor="text1"/>
                <w:sz w:val="18"/>
                <w:szCs w:val="18"/>
              </w:rPr>
              <w:t>Avance al 202</w:t>
            </w:r>
            <w:r w:rsidR="00794ADA">
              <w:rPr>
                <w:rFonts w:ascii="Verdana" w:hAnsi="Verdana" w:cs="Arial"/>
                <w:color w:val="000000" w:themeColor="text1"/>
                <w:sz w:val="18"/>
                <w:szCs w:val="18"/>
              </w:rPr>
              <w:t>5</w:t>
            </w:r>
          </w:p>
        </w:tc>
      </w:tr>
      <w:tr w:rsidR="48836A97" w:rsidRPr="00AB06F3" w14:paraId="79248279" w14:textId="77777777" w:rsidTr="00463CD9">
        <w:trPr>
          <w:trHeight w:val="300"/>
          <w:jc w:val="center"/>
        </w:trPr>
        <w:tc>
          <w:tcPr>
            <w:cnfStyle w:val="001000000000" w:firstRow="0" w:lastRow="0" w:firstColumn="1" w:lastColumn="0" w:oddVBand="0" w:evenVBand="0" w:oddHBand="0" w:evenHBand="0" w:firstRowFirstColumn="0" w:firstRowLastColumn="0" w:lastRowFirstColumn="0" w:lastRowLastColumn="0"/>
            <w:tcW w:w="3823" w:type="dxa"/>
            <w:vAlign w:val="center"/>
          </w:tcPr>
          <w:p w14:paraId="6F7C171E" w14:textId="77777777" w:rsidR="001B3DFC" w:rsidRPr="001B3DFC" w:rsidRDefault="69A531C2" w:rsidP="001B3DFC">
            <w:pPr>
              <w:spacing w:line="276" w:lineRule="auto"/>
              <w:jc w:val="both"/>
              <w:rPr>
                <w:rFonts w:ascii="Verdana" w:hAnsi="Verdana" w:cs="Arial"/>
                <w:b w:val="0"/>
                <w:bCs w:val="0"/>
                <w:sz w:val="18"/>
                <w:szCs w:val="18"/>
              </w:rPr>
            </w:pPr>
            <w:r w:rsidRPr="00AB06F3">
              <w:rPr>
                <w:rFonts w:ascii="Verdana" w:hAnsi="Verdana" w:cs="Arial"/>
                <w:b w:val="0"/>
                <w:bCs w:val="0"/>
                <w:sz w:val="18"/>
                <w:szCs w:val="18"/>
              </w:rPr>
              <w:t xml:space="preserve">C.458 Porcentaje de miembros de las FARC-EP acreditados que </w:t>
            </w:r>
            <w:r w:rsidR="001B3DFC" w:rsidRPr="001B3DFC">
              <w:rPr>
                <w:rFonts w:ascii="Verdana" w:hAnsi="Verdana" w:cs="Arial"/>
                <w:b w:val="0"/>
                <w:bCs w:val="0"/>
                <w:sz w:val="18"/>
                <w:szCs w:val="18"/>
              </w:rPr>
              <w:t>cumplan con los requisitos establecidos en el Programa de Reincorporación Integral, con asignación básica mensual</w:t>
            </w:r>
          </w:p>
          <w:p w14:paraId="128A2AD4" w14:textId="068FBC35" w:rsidR="1C3C4FD9" w:rsidRPr="00AB06F3" w:rsidRDefault="1C3C4FD9" w:rsidP="001049EE">
            <w:pPr>
              <w:spacing w:line="276" w:lineRule="auto"/>
              <w:jc w:val="both"/>
              <w:rPr>
                <w:rFonts w:ascii="Verdana" w:hAnsi="Verdana" w:cs="Arial"/>
                <w:b w:val="0"/>
                <w:bCs w:val="0"/>
                <w:sz w:val="18"/>
                <w:szCs w:val="18"/>
              </w:rPr>
            </w:pPr>
          </w:p>
        </w:tc>
        <w:tc>
          <w:tcPr>
            <w:tcW w:w="1283" w:type="dxa"/>
            <w:vAlign w:val="center"/>
          </w:tcPr>
          <w:p w14:paraId="779577E9" w14:textId="7777777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Temático</w:t>
            </w:r>
          </w:p>
        </w:tc>
        <w:tc>
          <w:tcPr>
            <w:tcW w:w="1230" w:type="dxa"/>
            <w:shd w:val="clear" w:color="auto" w:fill="FFFFFF" w:themeFill="background1"/>
            <w:vAlign w:val="center"/>
          </w:tcPr>
          <w:p w14:paraId="640DFAB1" w14:textId="1763AEC6"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w:t>
            </w:r>
            <w:r w:rsidR="5AC96697" w:rsidRPr="00AB06F3">
              <w:rPr>
                <w:rFonts w:ascii="Verdana" w:eastAsia="Verdana" w:hAnsi="Verdana" w:cs="Arial"/>
                <w:sz w:val="18"/>
                <w:szCs w:val="18"/>
              </w:rPr>
              <w:t>9</w:t>
            </w:r>
          </w:p>
        </w:tc>
        <w:tc>
          <w:tcPr>
            <w:tcW w:w="1220" w:type="dxa"/>
            <w:shd w:val="clear" w:color="auto" w:fill="FFFFFF" w:themeFill="background1"/>
            <w:vAlign w:val="center"/>
          </w:tcPr>
          <w:p w14:paraId="3F7E6E33" w14:textId="4FDBD2CB"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2026</w:t>
            </w:r>
          </w:p>
        </w:tc>
        <w:tc>
          <w:tcPr>
            <w:tcW w:w="1272" w:type="dxa"/>
          </w:tcPr>
          <w:p w14:paraId="722B5211" w14:textId="046406D1"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001987C4" w14:textId="34E03578" w:rsidR="48836A97"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5B383BBB" w14:textId="77777777" w:rsidR="00F649AF" w:rsidRPr="00AB06F3" w:rsidRDefault="00F649AF"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44B65E08" w14:textId="52740246" w:rsidR="7BD23BE6" w:rsidRPr="00AB06F3" w:rsidRDefault="7BD23BE6"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r w:rsidRPr="00AB06F3">
              <w:rPr>
                <w:rFonts w:ascii="Verdana" w:hAnsi="Verdana" w:cs="Arial"/>
                <w:color w:val="000000" w:themeColor="text1"/>
                <w:sz w:val="18"/>
                <w:szCs w:val="18"/>
              </w:rPr>
              <w:t>1</w:t>
            </w:r>
            <w:r w:rsidR="48836A97" w:rsidRPr="00AB06F3">
              <w:rPr>
                <w:rFonts w:ascii="Verdana" w:hAnsi="Verdana" w:cs="Arial"/>
                <w:color w:val="000000" w:themeColor="text1"/>
                <w:sz w:val="18"/>
                <w:szCs w:val="18"/>
              </w:rPr>
              <w:t xml:space="preserve">00% </w:t>
            </w:r>
          </w:p>
        </w:tc>
      </w:tr>
    </w:tbl>
    <w:p w14:paraId="1F52590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372F6425" w14:textId="77777777" w:rsidR="00460A3B" w:rsidRPr="00157B16" w:rsidRDefault="00460A3B" w:rsidP="00C25586">
      <w:pPr>
        <w:pStyle w:val="Prrafodelista"/>
        <w:spacing w:after="0" w:line="276" w:lineRule="auto"/>
        <w:rPr>
          <w:rFonts w:ascii="Verdana" w:hAnsi="Verdana" w:cs="Arial"/>
        </w:rPr>
      </w:pPr>
    </w:p>
    <w:p w14:paraId="34BC5522" w14:textId="43F3C04B" w:rsidR="00B709EF" w:rsidRPr="00AB06F3" w:rsidRDefault="039258D7" w:rsidP="00C25586">
      <w:pPr>
        <w:pStyle w:val="Ttulo5"/>
        <w:numPr>
          <w:ilvl w:val="0"/>
          <w:numId w:val="1"/>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¿Cómo lo hicimos y con qué recursos?  </w:t>
      </w:r>
    </w:p>
    <w:p w14:paraId="7A73E571" w14:textId="58834784" w:rsidR="00B709EF" w:rsidRPr="00AB06F3" w:rsidRDefault="00B709EF" w:rsidP="00C25586">
      <w:pPr>
        <w:spacing w:after="0" w:line="276" w:lineRule="auto"/>
        <w:jc w:val="both"/>
        <w:rPr>
          <w:rFonts w:ascii="Verdana" w:hAnsi="Verdana" w:cs="Arial"/>
          <w:color w:val="000000" w:themeColor="text1"/>
          <w:sz w:val="24"/>
          <w:szCs w:val="24"/>
          <w:highlight w:val="darkGray"/>
        </w:rPr>
      </w:pPr>
    </w:p>
    <w:p w14:paraId="6C5C99CC" w14:textId="716FFBF2" w:rsidR="00C47AC5" w:rsidRPr="00AB06F3" w:rsidRDefault="00C47AC5" w:rsidP="00650B57">
      <w:pPr>
        <w:spacing w:after="0" w:line="276" w:lineRule="auto"/>
        <w:rPr>
          <w:rFonts w:ascii="Verdana" w:hAnsi="Verdana" w:cs="Arial"/>
          <w:sz w:val="24"/>
          <w:szCs w:val="24"/>
        </w:rPr>
      </w:pPr>
      <w:r w:rsidRPr="00AB06F3">
        <w:rPr>
          <w:rFonts w:ascii="Verdana" w:hAnsi="Verdana" w:cs="Arial"/>
          <w:sz w:val="24"/>
          <w:szCs w:val="24"/>
        </w:rPr>
        <w:t xml:space="preserve">La Asignación </w:t>
      </w:r>
      <w:r w:rsidR="1A9BCED2" w:rsidRPr="00AB06F3">
        <w:rPr>
          <w:rFonts w:ascii="Verdana" w:hAnsi="Verdana" w:cs="Arial"/>
          <w:sz w:val="24"/>
          <w:szCs w:val="24"/>
        </w:rPr>
        <w:t>M</w:t>
      </w:r>
      <w:r w:rsidRPr="00AB06F3">
        <w:rPr>
          <w:rFonts w:ascii="Verdana" w:hAnsi="Verdana" w:cs="Arial"/>
          <w:sz w:val="24"/>
          <w:szCs w:val="24"/>
        </w:rPr>
        <w:t>ensual</w:t>
      </w:r>
      <w:r w:rsidR="00FB1894">
        <w:rPr>
          <w:rFonts w:ascii="Verdana" w:hAnsi="Verdana" w:cs="Arial"/>
          <w:sz w:val="24"/>
          <w:szCs w:val="24"/>
        </w:rPr>
        <w:t xml:space="preserve">, </w:t>
      </w:r>
      <w:r w:rsidRPr="00AB06F3">
        <w:rPr>
          <w:rFonts w:ascii="Verdana" w:hAnsi="Verdana" w:cs="Arial"/>
          <w:sz w:val="24"/>
          <w:szCs w:val="24"/>
        </w:rPr>
        <w:t xml:space="preserve">está establecida en el </w:t>
      </w:r>
      <w:r w:rsidR="7BC22CD7" w:rsidRPr="00AB06F3">
        <w:rPr>
          <w:rFonts w:ascii="Verdana" w:hAnsi="Verdana" w:cs="Arial"/>
          <w:sz w:val="24"/>
          <w:szCs w:val="24"/>
        </w:rPr>
        <w:t>inciso segundo del</w:t>
      </w:r>
      <w:r w:rsidRPr="00AB06F3">
        <w:rPr>
          <w:rFonts w:ascii="Verdana" w:hAnsi="Verdana" w:cs="Arial"/>
          <w:sz w:val="24"/>
          <w:szCs w:val="24"/>
        </w:rPr>
        <w:t xml:space="preserve"> artículo 8 del Decreto Ley 899 de 2017, modificado por el artículo 284 de la Ley 1955 de 2019 y reglamentada por la Resolución </w:t>
      </w:r>
      <w:r w:rsidR="638D9894" w:rsidRPr="00AB06F3">
        <w:rPr>
          <w:rFonts w:ascii="Verdana" w:hAnsi="Verdana" w:cs="Arial"/>
          <w:sz w:val="24"/>
          <w:szCs w:val="24"/>
        </w:rPr>
        <w:t xml:space="preserve">2319 de 2024, </w:t>
      </w:r>
      <w:r w:rsidRPr="00AB06F3">
        <w:rPr>
          <w:rFonts w:ascii="Verdana" w:hAnsi="Verdana" w:cs="Arial"/>
          <w:sz w:val="24"/>
          <w:szCs w:val="24"/>
        </w:rPr>
        <w:t>normatividad vigente periodo diciembre 202</w:t>
      </w:r>
      <w:r w:rsidR="00591A4D" w:rsidRPr="00AB06F3">
        <w:rPr>
          <w:rFonts w:ascii="Verdana" w:hAnsi="Verdana" w:cs="Arial"/>
          <w:sz w:val="24"/>
          <w:szCs w:val="24"/>
        </w:rPr>
        <w:t>4</w:t>
      </w:r>
      <w:r w:rsidRPr="00AB06F3">
        <w:rPr>
          <w:rFonts w:ascii="Verdana" w:hAnsi="Verdana" w:cs="Arial"/>
          <w:sz w:val="24"/>
          <w:szCs w:val="24"/>
        </w:rPr>
        <w:t>.</w:t>
      </w:r>
    </w:p>
    <w:p w14:paraId="37850765" w14:textId="77777777" w:rsidR="00C47AC5" w:rsidRPr="00AB06F3" w:rsidRDefault="00C47AC5" w:rsidP="00650B57">
      <w:pPr>
        <w:spacing w:after="0" w:line="276" w:lineRule="auto"/>
        <w:rPr>
          <w:rFonts w:ascii="Verdana" w:hAnsi="Verdana" w:cs="Arial"/>
        </w:rPr>
      </w:pPr>
    </w:p>
    <w:p w14:paraId="502DEFB1" w14:textId="0294B000" w:rsidR="00FB1894" w:rsidRDefault="00147ACC" w:rsidP="00FB1894">
      <w:pPr>
        <w:spacing w:after="0" w:line="276" w:lineRule="auto"/>
        <w:jc w:val="both"/>
        <w:rPr>
          <w:rFonts w:ascii="Verdana" w:eastAsia="Verdana" w:hAnsi="Verdana" w:cs="Arial"/>
          <w:color w:val="000000" w:themeColor="text1"/>
          <w:sz w:val="24"/>
          <w:szCs w:val="24"/>
        </w:rPr>
      </w:pPr>
      <w:r w:rsidRPr="00147ACC">
        <w:rPr>
          <w:rFonts w:ascii="Verdana" w:eastAsia="Verdana" w:hAnsi="Verdana" w:cs="Arial"/>
          <w:color w:val="000000" w:themeColor="text1"/>
          <w:sz w:val="24"/>
          <w:szCs w:val="24"/>
        </w:rPr>
        <w:lastRenderedPageBreak/>
        <w:t>Para garantizar la entrega de este beneficio económico, la Agencia para la Reincorporación y la Normalización suscribió el Convenio 1066 de 2018 con el Patrimonio Autónomo Fondo Colombia en Paz, el cual tuvo vigencia hasta el 31 de julio de 2024. Posteriormente, el 2 de agosto de 2024 se firmó el Convenio 1488-2024, cuyo objeto es: “Aunar esfuerzos técnicos, administrativos y financieros entre el Fondo Colombia en Paz (FCP) y la ARN para la materialización de los diferentes desembolsos y beneficios que se establezcan para la población sujeto de atención de la ARN”. A través de este operador fiduciario se realiza el proceso de dispersión de los recursos correspondientes a la asignación mensual.</w:t>
      </w:r>
    </w:p>
    <w:p w14:paraId="6EB448B7" w14:textId="77777777" w:rsidR="00147ACC" w:rsidRDefault="00147ACC" w:rsidP="00FB1894">
      <w:pPr>
        <w:spacing w:after="0" w:line="276" w:lineRule="auto"/>
        <w:jc w:val="both"/>
        <w:rPr>
          <w:rFonts w:ascii="Verdana" w:eastAsia="Verdana" w:hAnsi="Verdana" w:cs="Arial"/>
          <w:sz w:val="24"/>
          <w:szCs w:val="24"/>
        </w:rPr>
      </w:pPr>
    </w:p>
    <w:p w14:paraId="0D8FBE38" w14:textId="691F1F03" w:rsidR="00FB1894" w:rsidRDefault="00DB2C82" w:rsidP="00C401E4">
      <w:pPr>
        <w:spacing w:after="0" w:line="276" w:lineRule="auto"/>
        <w:jc w:val="both"/>
        <w:rPr>
          <w:rFonts w:ascii="Verdana" w:eastAsia="Calibri" w:hAnsi="Verdana" w:cs="Arial"/>
          <w:sz w:val="24"/>
          <w:szCs w:val="24"/>
        </w:rPr>
      </w:pPr>
      <w:r w:rsidRPr="00DB2C82">
        <w:rPr>
          <w:rFonts w:ascii="Verdana" w:eastAsia="Calibri" w:hAnsi="Verdana" w:cs="Arial"/>
          <w:sz w:val="24"/>
          <w:szCs w:val="24"/>
        </w:rPr>
        <w:t>Al cierre de 2025, el 100% de los exintegrantes de las FARC-EP que cumplieron con los requisitos accedieron a la asignación mensual. Durante la vigencia se realizaron 130.100 pagos por un valor total de $166.671.612.900, beneficiando a 11.143 personas, distribuidas en 2.990 mujeres y 8.153 hombres. Dentro de la población beneficiaria, 1.125 personas se autorreconocen como parte de comunidades negras, afrocolombianas, raizales y palenqueras, 1.976 como población indígena y 3 como parte del pueblo Rrom.</w:t>
      </w:r>
    </w:p>
    <w:p w14:paraId="570643EB" w14:textId="77777777" w:rsidR="00DB2C82" w:rsidRPr="00AB06F3" w:rsidRDefault="00DB2C82" w:rsidP="00C677D1">
      <w:pPr>
        <w:spacing w:after="0" w:line="276" w:lineRule="auto"/>
        <w:rPr>
          <w:rFonts w:ascii="Verdana" w:hAnsi="Verdana" w:cs="Arial"/>
          <w:color w:val="0033CC"/>
          <w:sz w:val="24"/>
          <w:szCs w:val="24"/>
        </w:rPr>
      </w:pPr>
    </w:p>
    <w:p w14:paraId="7F4BFBF0" w14:textId="24C89FB8" w:rsidR="00FB1894" w:rsidRDefault="00DB2C82" w:rsidP="00FB1894">
      <w:pPr>
        <w:spacing w:after="0" w:line="276" w:lineRule="auto"/>
        <w:jc w:val="both"/>
        <w:rPr>
          <w:rFonts w:ascii="Verdana" w:eastAsia="Verdana" w:hAnsi="Verdana" w:cs="Arial"/>
          <w:color w:val="000000" w:themeColor="text1"/>
          <w:sz w:val="24"/>
          <w:szCs w:val="24"/>
        </w:rPr>
      </w:pPr>
      <w:r w:rsidRPr="00DB2C82">
        <w:rPr>
          <w:rFonts w:ascii="Verdana" w:eastAsia="Verdana" w:hAnsi="Verdana" w:cs="Arial"/>
          <w:color w:val="000000" w:themeColor="text1"/>
          <w:sz w:val="24"/>
          <w:szCs w:val="24"/>
        </w:rPr>
        <w:t>De manera acumulada, desde el inicio de los desembolsos en agosto de 2019 hasta el 31 de diciembre de 2025, se han realizado 853.222 desembolsos de asignación mensual por un valor total de $838.352.866.624, beneficiando a 12.589 personas, distribuidas en 3.103 mujeres y 9.486 hombres.</w:t>
      </w:r>
    </w:p>
    <w:p w14:paraId="292646AD" w14:textId="77777777" w:rsidR="00DB2C82" w:rsidRPr="00AB06F3" w:rsidRDefault="00DB2C82" w:rsidP="00FB1894">
      <w:pPr>
        <w:spacing w:after="0" w:line="276" w:lineRule="auto"/>
        <w:jc w:val="both"/>
        <w:rPr>
          <w:rFonts w:ascii="Verdana" w:eastAsia="Verdana" w:hAnsi="Verdana" w:cs="Arial"/>
          <w:sz w:val="24"/>
          <w:szCs w:val="24"/>
          <w:lang w:val="es"/>
        </w:rPr>
      </w:pPr>
    </w:p>
    <w:p w14:paraId="257F147B" w14:textId="2C857B7F" w:rsidR="009563FE" w:rsidRPr="009563FE" w:rsidRDefault="009563FE" w:rsidP="009563FE">
      <w:pPr>
        <w:pStyle w:val="Descripcin"/>
        <w:keepNext/>
        <w:jc w:val="center"/>
        <w:rPr>
          <w:rFonts w:ascii="Verdana" w:hAnsi="Verdana" w:cs="Arial"/>
          <w:i w:val="0"/>
          <w:iCs w:val="0"/>
          <w:color w:val="000000" w:themeColor="text1"/>
        </w:rPr>
      </w:pPr>
      <w:bookmarkStart w:id="54" w:name="_Toc225283161"/>
      <w:r w:rsidRPr="009563FE">
        <w:rPr>
          <w:rFonts w:ascii="Verdana" w:hAnsi="Verdana" w:cs="Arial"/>
          <w:i w:val="0"/>
          <w:iCs w:val="0"/>
          <w:color w:val="000000" w:themeColor="text1"/>
        </w:rPr>
        <w:t xml:space="preserve">Tabla </w:t>
      </w:r>
      <w:r w:rsidRPr="009563FE">
        <w:rPr>
          <w:rFonts w:ascii="Verdana" w:hAnsi="Verdana" w:cs="Arial"/>
          <w:i w:val="0"/>
          <w:iCs w:val="0"/>
          <w:color w:val="000000" w:themeColor="text1"/>
        </w:rPr>
        <w:fldChar w:fldCharType="begin"/>
      </w:r>
      <w:r w:rsidRPr="009563FE">
        <w:rPr>
          <w:rFonts w:ascii="Verdana" w:hAnsi="Verdana" w:cs="Arial"/>
          <w:i w:val="0"/>
          <w:iCs w:val="0"/>
          <w:color w:val="000000" w:themeColor="text1"/>
        </w:rPr>
        <w:instrText xml:space="preserve"> SEQ Tabla \* ARABIC </w:instrText>
      </w:r>
      <w:r w:rsidRPr="009563FE">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49</w:t>
      </w:r>
      <w:r w:rsidRPr="009563FE">
        <w:rPr>
          <w:rFonts w:ascii="Verdana" w:hAnsi="Verdana" w:cs="Arial"/>
          <w:i w:val="0"/>
          <w:iCs w:val="0"/>
          <w:color w:val="000000" w:themeColor="text1"/>
        </w:rPr>
        <w:fldChar w:fldCharType="end"/>
      </w:r>
      <w:r w:rsidRPr="009563FE">
        <w:rPr>
          <w:rFonts w:ascii="Verdana" w:hAnsi="Verdana" w:cs="Arial"/>
          <w:i w:val="0"/>
          <w:iCs w:val="0"/>
          <w:color w:val="000000" w:themeColor="text1"/>
        </w:rPr>
        <w:t>. Detalle de las principales acciones del indicador C.458</w:t>
      </w:r>
      <w:bookmarkEnd w:id="54"/>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3179"/>
        <w:gridCol w:w="2147"/>
        <w:gridCol w:w="2663"/>
      </w:tblGrid>
      <w:tr w:rsidR="48836A97" w:rsidRPr="00AB06F3" w14:paraId="2C01F4DE" w14:textId="77777777" w:rsidTr="00DB2C82">
        <w:trPr>
          <w:trHeight w:val="300"/>
          <w:tblHeader/>
        </w:trPr>
        <w:tc>
          <w:tcPr>
            <w:tcW w:w="3179" w:type="dxa"/>
          </w:tcPr>
          <w:p w14:paraId="24CFD021" w14:textId="77777777" w:rsidR="48836A97" w:rsidRPr="00FB1894" w:rsidRDefault="48836A97" w:rsidP="00FB1894">
            <w:pPr>
              <w:spacing w:line="276" w:lineRule="auto"/>
              <w:jc w:val="center"/>
              <w:rPr>
                <w:rFonts w:ascii="Verdana" w:hAnsi="Verdana" w:cs="Arial"/>
                <w:b/>
                <w:bCs/>
                <w:color w:val="000000" w:themeColor="text1"/>
                <w:sz w:val="18"/>
                <w:szCs w:val="18"/>
              </w:rPr>
            </w:pPr>
            <w:r w:rsidRPr="00FB1894">
              <w:rPr>
                <w:rFonts w:ascii="Verdana" w:hAnsi="Verdana" w:cs="Arial"/>
                <w:b/>
                <w:bCs/>
                <w:color w:val="000000" w:themeColor="text1"/>
                <w:sz w:val="18"/>
                <w:szCs w:val="18"/>
              </w:rPr>
              <w:t>Indicador del PMI</w:t>
            </w:r>
          </w:p>
        </w:tc>
        <w:tc>
          <w:tcPr>
            <w:tcW w:w="2147" w:type="dxa"/>
          </w:tcPr>
          <w:p w14:paraId="27AEEBBB" w14:textId="77777777" w:rsidR="48836A97" w:rsidRPr="00FB1894" w:rsidRDefault="48836A97" w:rsidP="00FB1894">
            <w:pPr>
              <w:spacing w:line="276" w:lineRule="auto"/>
              <w:jc w:val="center"/>
              <w:rPr>
                <w:rFonts w:ascii="Verdana" w:hAnsi="Verdana" w:cs="Arial"/>
                <w:b/>
                <w:bCs/>
                <w:color w:val="000000" w:themeColor="text1"/>
                <w:sz w:val="18"/>
                <w:szCs w:val="18"/>
              </w:rPr>
            </w:pPr>
            <w:r w:rsidRPr="00FB1894">
              <w:rPr>
                <w:rFonts w:ascii="Verdana" w:hAnsi="Verdana" w:cs="Arial"/>
                <w:b/>
                <w:bCs/>
                <w:color w:val="000000" w:themeColor="text1"/>
                <w:sz w:val="18"/>
                <w:szCs w:val="18"/>
              </w:rPr>
              <w:t>Principales Logros</w:t>
            </w:r>
          </w:p>
        </w:tc>
        <w:tc>
          <w:tcPr>
            <w:tcW w:w="2663" w:type="dxa"/>
          </w:tcPr>
          <w:p w14:paraId="6960854C" w14:textId="135C6414" w:rsidR="48836A97" w:rsidRPr="00FB1894" w:rsidRDefault="48836A97" w:rsidP="00FB1894">
            <w:pPr>
              <w:spacing w:line="276" w:lineRule="auto"/>
              <w:jc w:val="center"/>
              <w:rPr>
                <w:rFonts w:ascii="Verdana" w:hAnsi="Verdana" w:cs="Arial"/>
                <w:b/>
                <w:bCs/>
                <w:color w:val="000000" w:themeColor="text1"/>
                <w:sz w:val="18"/>
                <w:szCs w:val="18"/>
              </w:rPr>
            </w:pPr>
            <w:r w:rsidRPr="00FB1894">
              <w:rPr>
                <w:rFonts w:ascii="Verdana" w:hAnsi="Verdana" w:cs="Arial"/>
                <w:b/>
                <w:bCs/>
                <w:color w:val="000000" w:themeColor="text1"/>
                <w:sz w:val="18"/>
                <w:szCs w:val="18"/>
              </w:rPr>
              <w:t>Recursos 202</w:t>
            </w:r>
            <w:r w:rsidR="00794ADA">
              <w:rPr>
                <w:rFonts w:ascii="Verdana" w:hAnsi="Verdana" w:cs="Arial"/>
                <w:b/>
                <w:bCs/>
                <w:color w:val="000000" w:themeColor="text1"/>
                <w:sz w:val="18"/>
                <w:szCs w:val="18"/>
              </w:rPr>
              <w:t>5</w:t>
            </w:r>
          </w:p>
        </w:tc>
      </w:tr>
      <w:tr w:rsidR="48836A97" w:rsidRPr="00AB06F3" w14:paraId="1CF52589" w14:textId="77777777" w:rsidTr="00DB2C82">
        <w:trPr>
          <w:trHeight w:val="300"/>
        </w:trPr>
        <w:tc>
          <w:tcPr>
            <w:tcW w:w="3179" w:type="dxa"/>
          </w:tcPr>
          <w:p w14:paraId="1974FEBE" w14:textId="7613CCCB" w:rsidR="48836A97" w:rsidRPr="00AB06F3" w:rsidRDefault="0632894B" w:rsidP="00C401E4">
            <w:pPr>
              <w:spacing w:line="276" w:lineRule="auto"/>
              <w:jc w:val="both"/>
              <w:rPr>
                <w:rFonts w:ascii="Verdana" w:hAnsi="Verdana" w:cs="Arial"/>
                <w:color w:val="000000" w:themeColor="text1"/>
                <w:sz w:val="18"/>
                <w:szCs w:val="18"/>
              </w:rPr>
            </w:pPr>
            <w:r w:rsidRPr="00AB06F3">
              <w:rPr>
                <w:rFonts w:ascii="Verdana" w:hAnsi="Verdana" w:cs="Arial"/>
                <w:sz w:val="18"/>
                <w:szCs w:val="18"/>
              </w:rPr>
              <w:t>C.458 Porcentaje de miembros de las FARC-EP acreditados que no tengan vínculo contractual que les genere ingresos y que continúen con su ruta educativa de acuerdo a sus intereses en el proceso de reincorporación, con asignación básica mensual</w:t>
            </w:r>
          </w:p>
        </w:tc>
        <w:tc>
          <w:tcPr>
            <w:tcW w:w="2147" w:type="dxa"/>
          </w:tcPr>
          <w:p w14:paraId="4D576105" w14:textId="12756370" w:rsidR="48836A97" w:rsidRPr="00AB06F3" w:rsidRDefault="48836A97" w:rsidP="00C401E4">
            <w:pPr>
              <w:spacing w:line="276" w:lineRule="auto"/>
              <w:jc w:val="both"/>
              <w:rPr>
                <w:rFonts w:ascii="Verdana" w:hAnsi="Verdana" w:cs="Arial"/>
                <w:color w:val="000000" w:themeColor="text1"/>
                <w:sz w:val="18"/>
                <w:szCs w:val="18"/>
              </w:rPr>
            </w:pPr>
          </w:p>
          <w:p w14:paraId="260D1BF6" w14:textId="40D1E797" w:rsidR="48836A97" w:rsidRPr="00AB06F3" w:rsidRDefault="333EDBE2" w:rsidP="00C401E4">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11.</w:t>
            </w:r>
            <w:r w:rsidR="00300F53">
              <w:rPr>
                <w:rFonts w:ascii="Verdana" w:hAnsi="Verdana" w:cs="Arial"/>
                <w:color w:val="000000" w:themeColor="text1"/>
                <w:sz w:val="18"/>
                <w:szCs w:val="18"/>
              </w:rPr>
              <w:t>143</w:t>
            </w:r>
            <w:r w:rsidRPr="00AB06F3">
              <w:rPr>
                <w:rFonts w:ascii="Verdana" w:hAnsi="Verdana" w:cs="Arial"/>
                <w:color w:val="000000" w:themeColor="text1"/>
                <w:sz w:val="18"/>
                <w:szCs w:val="18"/>
              </w:rPr>
              <w:t xml:space="preserve"> exintegrantes FARC-EP beneficiados</w:t>
            </w:r>
            <w:r w:rsidR="671BD1E3" w:rsidRPr="00AB06F3">
              <w:rPr>
                <w:rFonts w:ascii="Verdana" w:hAnsi="Verdana" w:cs="Arial"/>
                <w:color w:val="000000" w:themeColor="text1"/>
                <w:sz w:val="18"/>
                <w:szCs w:val="18"/>
              </w:rPr>
              <w:t xml:space="preserve">, recibieron </w:t>
            </w:r>
            <w:r w:rsidR="5B8DF719" w:rsidRPr="00AB06F3">
              <w:rPr>
                <w:rFonts w:ascii="Verdana" w:hAnsi="Verdana" w:cs="Arial"/>
                <w:color w:val="000000" w:themeColor="text1"/>
                <w:sz w:val="18"/>
                <w:szCs w:val="18"/>
              </w:rPr>
              <w:t>13</w:t>
            </w:r>
            <w:r w:rsidR="00300F53">
              <w:rPr>
                <w:rFonts w:ascii="Verdana" w:hAnsi="Verdana" w:cs="Arial"/>
                <w:color w:val="000000" w:themeColor="text1"/>
                <w:sz w:val="18"/>
                <w:szCs w:val="18"/>
              </w:rPr>
              <w:t>0</w:t>
            </w:r>
            <w:r w:rsidR="5B8DF719" w:rsidRPr="00AB06F3">
              <w:rPr>
                <w:rFonts w:ascii="Verdana" w:hAnsi="Verdana" w:cs="Arial"/>
                <w:color w:val="000000" w:themeColor="text1"/>
                <w:sz w:val="18"/>
                <w:szCs w:val="18"/>
              </w:rPr>
              <w:t>.</w:t>
            </w:r>
            <w:r w:rsidR="00300F53">
              <w:rPr>
                <w:rFonts w:ascii="Verdana" w:hAnsi="Verdana" w:cs="Arial"/>
                <w:color w:val="000000" w:themeColor="text1"/>
                <w:sz w:val="18"/>
                <w:szCs w:val="18"/>
              </w:rPr>
              <w:t>100</w:t>
            </w:r>
            <w:r w:rsidR="5B8DF719" w:rsidRPr="00AB06F3">
              <w:rPr>
                <w:rFonts w:ascii="Verdana" w:hAnsi="Verdana" w:cs="Arial"/>
                <w:color w:val="000000" w:themeColor="text1"/>
                <w:sz w:val="18"/>
                <w:szCs w:val="18"/>
              </w:rPr>
              <w:t xml:space="preserve"> asignaciones mensuales </w:t>
            </w:r>
          </w:p>
          <w:p w14:paraId="06A16251" w14:textId="77777777" w:rsidR="48836A97" w:rsidRPr="00AB06F3" w:rsidRDefault="48836A97" w:rsidP="00C401E4">
            <w:pPr>
              <w:spacing w:line="276" w:lineRule="auto"/>
              <w:jc w:val="both"/>
              <w:rPr>
                <w:rFonts w:ascii="Verdana" w:hAnsi="Verdana" w:cs="Arial"/>
                <w:color w:val="000000" w:themeColor="text1"/>
                <w:sz w:val="18"/>
                <w:szCs w:val="18"/>
              </w:rPr>
            </w:pPr>
          </w:p>
        </w:tc>
        <w:tc>
          <w:tcPr>
            <w:tcW w:w="2663" w:type="dxa"/>
          </w:tcPr>
          <w:p w14:paraId="3D1495B3" w14:textId="45BD81C6" w:rsidR="48836A97" w:rsidRPr="00AB06F3" w:rsidRDefault="7F18E851" w:rsidP="00C401E4">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w:t>
            </w:r>
            <w:r w:rsidR="00300F53" w:rsidRPr="00300F53">
              <w:rPr>
                <w:rFonts w:ascii="Verdana" w:hAnsi="Verdana" w:cs="Arial"/>
                <w:color w:val="000000" w:themeColor="text1"/>
                <w:sz w:val="18"/>
                <w:szCs w:val="18"/>
              </w:rPr>
              <w:t xml:space="preserve">166.671.612.900 </w:t>
            </w:r>
            <w:r w:rsidR="275375AE" w:rsidRPr="00AB06F3">
              <w:rPr>
                <w:rFonts w:ascii="Verdana" w:hAnsi="Verdana" w:cs="Arial"/>
                <w:color w:val="000000" w:themeColor="text1"/>
                <w:sz w:val="18"/>
                <w:szCs w:val="18"/>
              </w:rPr>
              <w:t>Fuente de recursos de Transferencias</w:t>
            </w:r>
            <w:r w:rsidR="001666AD">
              <w:rPr>
                <w:rFonts w:ascii="Verdana" w:hAnsi="Verdana" w:cs="Arial"/>
                <w:color w:val="000000" w:themeColor="text1"/>
                <w:sz w:val="18"/>
                <w:szCs w:val="18"/>
              </w:rPr>
              <w:t xml:space="preserve">. </w:t>
            </w:r>
            <w:r w:rsidR="275375AE" w:rsidRPr="00AB06F3">
              <w:rPr>
                <w:rFonts w:ascii="Verdana" w:hAnsi="Verdana" w:cs="Arial"/>
                <w:color w:val="000000" w:themeColor="text1"/>
                <w:sz w:val="18"/>
                <w:szCs w:val="18"/>
              </w:rPr>
              <w:t>Recursos de la Nación</w:t>
            </w:r>
          </w:p>
          <w:p w14:paraId="46F51970" w14:textId="55730EA4" w:rsidR="48836A97" w:rsidRPr="00AB06F3" w:rsidRDefault="48836A97" w:rsidP="00C401E4">
            <w:pPr>
              <w:spacing w:line="276" w:lineRule="auto"/>
              <w:jc w:val="both"/>
              <w:rPr>
                <w:rFonts w:ascii="Verdana" w:hAnsi="Verdana" w:cs="Arial"/>
                <w:color w:val="000000" w:themeColor="text1"/>
                <w:sz w:val="18"/>
                <w:szCs w:val="18"/>
              </w:rPr>
            </w:pPr>
          </w:p>
          <w:p w14:paraId="4D50BD72" w14:textId="345557A4" w:rsidR="48836A97" w:rsidRPr="00AB06F3" w:rsidRDefault="275375AE" w:rsidP="00C401E4">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Nota: El Fondo Colombia en Paz realiza el desembolso del beneficio al participante final.</w:t>
            </w:r>
          </w:p>
        </w:tc>
      </w:tr>
    </w:tbl>
    <w:p w14:paraId="0100E3C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69096F1" w14:textId="6E1D66C4" w:rsidR="29E2A6DC" w:rsidRPr="00AB06F3" w:rsidRDefault="29E2A6DC" w:rsidP="00C25586">
      <w:pPr>
        <w:spacing w:after="0" w:line="276" w:lineRule="auto"/>
        <w:rPr>
          <w:rFonts w:ascii="Verdana" w:hAnsi="Verdana" w:cs="Arial"/>
        </w:rPr>
      </w:pPr>
    </w:p>
    <w:p w14:paraId="3B9ED9C0" w14:textId="099C8911" w:rsidR="00B709EF" w:rsidRPr="00AB06F3" w:rsidRDefault="00676A8D" w:rsidP="00031DF5">
      <w:pPr>
        <w:pStyle w:val="Prrafodelista"/>
        <w:numPr>
          <w:ilvl w:val="0"/>
          <w:numId w:val="10"/>
        </w:numPr>
        <w:spacing w:before="1" w:after="0" w:line="276" w:lineRule="auto"/>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Regionalización de las acciones y beneficiarios:</w:t>
      </w:r>
    </w:p>
    <w:p w14:paraId="7699E96A" w14:textId="77777777" w:rsidR="00676A8D" w:rsidRDefault="00676A8D" w:rsidP="002B3CD7">
      <w:pPr>
        <w:spacing w:before="1" w:after="0" w:line="276" w:lineRule="auto"/>
        <w:ind w:left="360"/>
        <w:rPr>
          <w:rFonts w:ascii="Verdana" w:eastAsia="Verdana" w:hAnsi="Verdana" w:cs="Arial"/>
          <w:color w:val="000000" w:themeColor="text1"/>
          <w:sz w:val="24"/>
          <w:szCs w:val="24"/>
          <w:lang w:val="es-ES"/>
        </w:rPr>
      </w:pPr>
    </w:p>
    <w:p w14:paraId="01522B64" w14:textId="77777777" w:rsidR="00FA6857" w:rsidRDefault="00FA6857" w:rsidP="00C401E4">
      <w:pPr>
        <w:spacing w:before="1" w:after="0" w:line="276" w:lineRule="auto"/>
        <w:ind w:left="360"/>
        <w:jc w:val="both"/>
        <w:rPr>
          <w:rFonts w:ascii="Verdana" w:eastAsia="Verdana" w:hAnsi="Verdana" w:cs="Arial"/>
          <w:sz w:val="24"/>
          <w:szCs w:val="24"/>
        </w:rPr>
      </w:pPr>
      <w:r w:rsidRPr="00FA6857">
        <w:rPr>
          <w:rFonts w:ascii="Verdana" w:eastAsia="Verdana" w:hAnsi="Verdana" w:cs="Arial"/>
          <w:sz w:val="24"/>
          <w:szCs w:val="24"/>
        </w:rPr>
        <w:t>Los desembolsos correspondientes al beneficio económico de la Asignación Mensual, establecido en el Decreto Ley 899 de 2017, se realizan mediante abono directo en cuenta bancaria a las personas en proceso de reincorporación que cumplen con los requisitos establecidos.</w:t>
      </w:r>
    </w:p>
    <w:p w14:paraId="506C9F54" w14:textId="77777777" w:rsidR="00FA6857" w:rsidRPr="00FA6857" w:rsidRDefault="00FA6857" w:rsidP="00C401E4">
      <w:pPr>
        <w:spacing w:before="1" w:after="0" w:line="276" w:lineRule="auto"/>
        <w:ind w:left="360"/>
        <w:jc w:val="both"/>
        <w:rPr>
          <w:rFonts w:ascii="Verdana" w:eastAsia="Verdana" w:hAnsi="Verdana" w:cs="Arial"/>
          <w:sz w:val="24"/>
          <w:szCs w:val="24"/>
        </w:rPr>
      </w:pPr>
    </w:p>
    <w:p w14:paraId="48573926" w14:textId="77777777" w:rsidR="00FA6857" w:rsidRPr="00FA6857" w:rsidRDefault="00FA6857" w:rsidP="00C401E4">
      <w:pPr>
        <w:spacing w:before="1" w:after="0" w:line="276" w:lineRule="auto"/>
        <w:ind w:left="360"/>
        <w:jc w:val="both"/>
        <w:rPr>
          <w:rFonts w:ascii="Verdana" w:eastAsia="Verdana" w:hAnsi="Verdana" w:cs="Arial"/>
          <w:sz w:val="24"/>
          <w:szCs w:val="24"/>
        </w:rPr>
      </w:pPr>
      <w:r w:rsidRPr="00FA6857">
        <w:rPr>
          <w:rFonts w:ascii="Verdana" w:eastAsia="Verdana" w:hAnsi="Verdana" w:cs="Arial"/>
          <w:sz w:val="24"/>
          <w:szCs w:val="24"/>
        </w:rPr>
        <w:t>Dado que esta población presenta dinámicas de movilidad dentro del territorio nacional, la implementación de este beneficio no se circunscribe a una región específica, sino que se realiza con cobertura nacional, garantizando el acceso al beneficio para los exintegrantes de las FARC-EP independientemente del lugar del país donde se encuentren.</w:t>
      </w:r>
    </w:p>
    <w:p w14:paraId="20D139E6" w14:textId="77777777" w:rsidR="002B3CD7" w:rsidRPr="002B3CD7" w:rsidRDefault="002B3CD7" w:rsidP="002B3CD7">
      <w:pPr>
        <w:spacing w:before="1" w:after="0" w:line="276" w:lineRule="auto"/>
        <w:ind w:left="360"/>
        <w:rPr>
          <w:rFonts w:ascii="Verdana" w:eastAsia="Verdana" w:hAnsi="Verdana" w:cs="Arial"/>
          <w:color w:val="000000" w:themeColor="text1"/>
          <w:sz w:val="24"/>
          <w:szCs w:val="24"/>
          <w:lang w:val="es-ES"/>
        </w:rPr>
      </w:pPr>
    </w:p>
    <w:p w14:paraId="06DF4CE7" w14:textId="4764F0A8" w:rsidR="00C677D1" w:rsidRPr="00C677D1" w:rsidRDefault="00C677D1" w:rsidP="00C677D1">
      <w:pPr>
        <w:pStyle w:val="Descripcin"/>
        <w:keepNext/>
        <w:jc w:val="center"/>
        <w:rPr>
          <w:rFonts w:ascii="Verdana" w:hAnsi="Verdana" w:cs="Arial"/>
          <w:i w:val="0"/>
          <w:iCs w:val="0"/>
          <w:color w:val="auto"/>
        </w:rPr>
      </w:pPr>
      <w:bookmarkStart w:id="55" w:name="_Toc225283162"/>
      <w:r w:rsidRPr="00C677D1">
        <w:rPr>
          <w:rFonts w:ascii="Verdana" w:hAnsi="Verdana" w:cs="Arial"/>
          <w:i w:val="0"/>
          <w:iCs w:val="0"/>
          <w:color w:val="auto"/>
        </w:rPr>
        <w:t xml:space="preserve">Tabla </w:t>
      </w:r>
      <w:r w:rsidRPr="00C677D1">
        <w:rPr>
          <w:rFonts w:ascii="Verdana" w:hAnsi="Verdana" w:cs="Arial"/>
          <w:i w:val="0"/>
          <w:iCs w:val="0"/>
          <w:color w:val="auto"/>
        </w:rPr>
        <w:fldChar w:fldCharType="begin"/>
      </w:r>
      <w:r w:rsidRPr="00C677D1">
        <w:rPr>
          <w:rFonts w:ascii="Verdana" w:hAnsi="Verdana" w:cs="Arial"/>
          <w:i w:val="0"/>
          <w:iCs w:val="0"/>
          <w:color w:val="auto"/>
        </w:rPr>
        <w:instrText xml:space="preserve"> SEQ Tabla \* ARABIC </w:instrText>
      </w:r>
      <w:r w:rsidRPr="00C677D1">
        <w:rPr>
          <w:rFonts w:ascii="Verdana" w:hAnsi="Verdana" w:cs="Arial"/>
          <w:i w:val="0"/>
          <w:iCs w:val="0"/>
          <w:color w:val="auto"/>
        </w:rPr>
        <w:fldChar w:fldCharType="separate"/>
      </w:r>
      <w:r w:rsidR="0078027F">
        <w:rPr>
          <w:rFonts w:ascii="Verdana" w:hAnsi="Verdana" w:cs="Arial"/>
          <w:i w:val="0"/>
          <w:iCs w:val="0"/>
          <w:noProof/>
          <w:color w:val="auto"/>
        </w:rPr>
        <w:t>50</w:t>
      </w:r>
      <w:r w:rsidRPr="00C677D1">
        <w:rPr>
          <w:rFonts w:ascii="Verdana" w:hAnsi="Verdana" w:cs="Arial"/>
          <w:i w:val="0"/>
          <w:iCs w:val="0"/>
          <w:color w:val="auto"/>
        </w:rPr>
        <w:fldChar w:fldCharType="end"/>
      </w:r>
      <w:r w:rsidRPr="00C677D1">
        <w:rPr>
          <w:rFonts w:ascii="Verdana" w:hAnsi="Verdana" w:cs="Arial"/>
          <w:i w:val="0"/>
          <w:iCs w:val="0"/>
          <w:color w:val="auto"/>
        </w:rPr>
        <w:t>. Regionalización de las acciones del indicador C.458</w:t>
      </w:r>
      <w:bookmarkEnd w:id="55"/>
    </w:p>
    <w:tbl>
      <w:tblPr>
        <w:tblStyle w:val="Tablaconcuadrcula1clara-nfasis4"/>
        <w:tblW w:w="8834" w:type="dxa"/>
        <w:jc w:val="center"/>
        <w:tblBorders>
          <w:insideH w:val="single" w:sz="12" w:space="0" w:color="FFD966" w:themeColor="accent4" w:themeTint="99"/>
        </w:tblBorders>
        <w:tblLook w:val="04A0" w:firstRow="1" w:lastRow="0" w:firstColumn="1" w:lastColumn="0" w:noHBand="0" w:noVBand="1"/>
        <w:tblCaption w:val="Detalle de regionalización del indicador"/>
        <w:tblDescription w:val="Tabla que contiene los siguientes items: indicador del PMI, total población beneficiada y clasificación poblacional.&#10;"/>
      </w:tblPr>
      <w:tblGrid>
        <w:gridCol w:w="3964"/>
        <w:gridCol w:w="1418"/>
        <w:gridCol w:w="3452"/>
      </w:tblGrid>
      <w:tr w:rsidR="48836A97" w:rsidRPr="00AB06F3" w14:paraId="5C41B808" w14:textId="77777777" w:rsidTr="00FA6857">
        <w:trPr>
          <w:cnfStyle w:val="100000000000" w:firstRow="1" w:lastRow="0" w:firstColumn="0" w:lastColumn="0" w:oddVBand="0" w:evenVBand="0" w:oddHBand="0"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3964" w:type="dxa"/>
            <w:tcBorders>
              <w:bottom w:val="none" w:sz="0" w:space="0" w:color="auto"/>
            </w:tcBorders>
          </w:tcPr>
          <w:p w14:paraId="44438F01" w14:textId="423DC87A" w:rsidR="48836A97" w:rsidRPr="001049EE" w:rsidRDefault="48836A97" w:rsidP="00C25586">
            <w:pPr>
              <w:spacing w:line="276" w:lineRule="auto"/>
              <w:jc w:val="center"/>
              <w:rPr>
                <w:rFonts w:ascii="Verdana" w:eastAsia="Verdana" w:hAnsi="Verdana" w:cs="Arial"/>
                <w:bCs w:val="0"/>
                <w:sz w:val="18"/>
                <w:szCs w:val="18"/>
              </w:rPr>
            </w:pPr>
            <w:r w:rsidRPr="001049EE">
              <w:rPr>
                <w:rFonts w:ascii="Verdana" w:eastAsia="Verdana" w:hAnsi="Verdana" w:cs="Arial"/>
                <w:bCs w:val="0"/>
                <w:color w:val="000000" w:themeColor="text1"/>
                <w:sz w:val="18"/>
                <w:szCs w:val="18"/>
              </w:rPr>
              <w:t>Indicador del PMI</w:t>
            </w:r>
          </w:p>
        </w:tc>
        <w:tc>
          <w:tcPr>
            <w:tcW w:w="1418" w:type="dxa"/>
            <w:tcBorders>
              <w:bottom w:val="none" w:sz="0" w:space="0" w:color="auto"/>
            </w:tcBorders>
            <w:vAlign w:val="center"/>
          </w:tcPr>
          <w:p w14:paraId="4B69B34A" w14:textId="0AF2816D" w:rsidR="48836A97" w:rsidRPr="001049EE" w:rsidRDefault="033271B6"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Cs w:val="0"/>
                <w:sz w:val="18"/>
                <w:szCs w:val="18"/>
              </w:rPr>
            </w:pPr>
            <w:r w:rsidRPr="001049EE">
              <w:rPr>
                <w:rFonts w:ascii="Verdana" w:eastAsia="Verdana" w:hAnsi="Verdana" w:cs="Arial"/>
                <w:bCs w:val="0"/>
                <w:sz w:val="18"/>
                <w:szCs w:val="18"/>
              </w:rPr>
              <w:t>Total Población Beneficiada</w:t>
            </w:r>
          </w:p>
        </w:tc>
        <w:tc>
          <w:tcPr>
            <w:tcW w:w="3452" w:type="dxa"/>
            <w:tcBorders>
              <w:bottom w:val="none" w:sz="0" w:space="0" w:color="auto"/>
            </w:tcBorders>
            <w:vAlign w:val="center"/>
          </w:tcPr>
          <w:p w14:paraId="72F91C8E" w14:textId="4C9BD9CA" w:rsidR="48836A97" w:rsidRPr="001049EE"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bCs w:val="0"/>
                <w:sz w:val="18"/>
                <w:szCs w:val="18"/>
              </w:rPr>
            </w:pPr>
            <w:r w:rsidRPr="001049EE">
              <w:rPr>
                <w:rFonts w:ascii="Verdana" w:eastAsia="Verdana" w:hAnsi="Verdana" w:cs="Arial"/>
                <w:bCs w:val="0"/>
                <w:sz w:val="18"/>
                <w:szCs w:val="18"/>
              </w:rPr>
              <w:t>Clasificación poblacional</w:t>
            </w:r>
          </w:p>
        </w:tc>
      </w:tr>
      <w:tr w:rsidR="48836A97" w:rsidRPr="00AB06F3" w14:paraId="1B708CB3" w14:textId="77777777" w:rsidTr="00FA6857">
        <w:trPr>
          <w:trHeight w:val="330"/>
          <w:jc w:val="center"/>
        </w:trPr>
        <w:tc>
          <w:tcPr>
            <w:cnfStyle w:val="001000000000" w:firstRow="0" w:lastRow="0" w:firstColumn="1" w:lastColumn="0" w:oddVBand="0" w:evenVBand="0" w:oddHBand="0" w:evenHBand="0" w:firstRowFirstColumn="0" w:firstRowLastColumn="0" w:lastRowFirstColumn="0" w:lastRowLastColumn="0"/>
            <w:tcW w:w="3964" w:type="dxa"/>
          </w:tcPr>
          <w:p w14:paraId="10F2C5C7" w14:textId="1DD2B5AA" w:rsidR="48836A97" w:rsidRPr="00AB06F3" w:rsidRDefault="3119201E" w:rsidP="001049EE">
            <w:pPr>
              <w:spacing w:line="276" w:lineRule="auto"/>
              <w:jc w:val="both"/>
              <w:rPr>
                <w:rFonts w:ascii="Verdana" w:eastAsia="Verdana" w:hAnsi="Verdana" w:cs="Arial"/>
                <w:b w:val="0"/>
                <w:color w:val="000000" w:themeColor="text1"/>
                <w:sz w:val="18"/>
                <w:szCs w:val="18"/>
              </w:rPr>
            </w:pPr>
            <w:r w:rsidRPr="00AB06F3">
              <w:rPr>
                <w:rFonts w:ascii="Verdana" w:eastAsia="Verdana" w:hAnsi="Verdana" w:cs="Arial"/>
                <w:b w:val="0"/>
                <w:color w:val="000000" w:themeColor="text1"/>
                <w:sz w:val="18"/>
                <w:szCs w:val="18"/>
              </w:rPr>
              <w:t>C.458 Porcentaje de miembros de las FARC-EP acreditados que no tengan vínculo contractual que les genere ingresos y que continúen con su ruta educativa de acuerdo a sus intereses en el proceso de reincorporación, con asignación básica mensual</w:t>
            </w:r>
          </w:p>
        </w:tc>
        <w:tc>
          <w:tcPr>
            <w:tcW w:w="1418" w:type="dxa"/>
            <w:vAlign w:val="center"/>
          </w:tcPr>
          <w:p w14:paraId="29E951D8" w14:textId="77998516" w:rsidR="48836A97" w:rsidRPr="00AB06F3" w:rsidRDefault="3ADE7042"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11.</w:t>
            </w:r>
            <w:r w:rsidR="00AA74AB">
              <w:rPr>
                <w:rFonts w:ascii="Verdana" w:eastAsia="Verdana" w:hAnsi="Verdana" w:cs="Arial"/>
                <w:sz w:val="18"/>
                <w:szCs w:val="18"/>
              </w:rPr>
              <w:t>143</w:t>
            </w:r>
          </w:p>
        </w:tc>
        <w:tc>
          <w:tcPr>
            <w:tcW w:w="3452" w:type="dxa"/>
            <w:vAlign w:val="center"/>
          </w:tcPr>
          <w:p w14:paraId="3EE38957" w14:textId="77777777" w:rsidR="00AA74AB" w:rsidRDefault="00AA74AB"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Pr>
                <w:rFonts w:ascii="Verdana" w:eastAsia="Verdana" w:hAnsi="Verdana" w:cs="Arial"/>
                <w:color w:val="000000" w:themeColor="text1"/>
                <w:sz w:val="18"/>
                <w:szCs w:val="18"/>
              </w:rPr>
              <w:t>2.990</w:t>
            </w:r>
            <w:r w:rsidR="154F3DF9" w:rsidRPr="00AB06F3">
              <w:rPr>
                <w:rFonts w:ascii="Verdana" w:eastAsia="Verdana" w:hAnsi="Verdana" w:cs="Arial"/>
                <w:color w:val="000000" w:themeColor="text1"/>
                <w:sz w:val="18"/>
                <w:szCs w:val="18"/>
              </w:rPr>
              <w:t xml:space="preserve"> mujeres </w:t>
            </w:r>
          </w:p>
          <w:p w14:paraId="0D86909D" w14:textId="08B26544" w:rsidR="48836A97" w:rsidRPr="00AB06F3" w:rsidRDefault="154F3DF9"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color w:val="000000" w:themeColor="text1"/>
                <w:sz w:val="18"/>
                <w:szCs w:val="18"/>
              </w:rPr>
              <w:t>8.</w:t>
            </w:r>
            <w:r w:rsidR="00AA74AB">
              <w:rPr>
                <w:rFonts w:ascii="Verdana" w:eastAsia="Verdana" w:hAnsi="Verdana" w:cs="Arial"/>
                <w:color w:val="000000" w:themeColor="text1"/>
                <w:sz w:val="18"/>
                <w:szCs w:val="18"/>
              </w:rPr>
              <w:t xml:space="preserve">153 </w:t>
            </w:r>
            <w:r w:rsidRPr="00AB06F3">
              <w:rPr>
                <w:rFonts w:ascii="Verdana" w:eastAsia="Verdana" w:hAnsi="Verdana" w:cs="Arial"/>
                <w:color w:val="000000" w:themeColor="text1"/>
                <w:sz w:val="18"/>
                <w:szCs w:val="18"/>
              </w:rPr>
              <w:t xml:space="preserve">hombres </w:t>
            </w:r>
          </w:p>
          <w:p w14:paraId="17C06F4A" w14:textId="384A9B2E" w:rsidR="48836A97" w:rsidRPr="00AB06F3" w:rsidRDefault="48836A97"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7D62832A" w14:textId="38900BB9" w:rsidR="48836A97" w:rsidRPr="00AB06F3" w:rsidRDefault="154F3DF9"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color w:val="000000" w:themeColor="text1"/>
                <w:sz w:val="18"/>
                <w:szCs w:val="18"/>
              </w:rPr>
              <w:t>De e</w:t>
            </w:r>
            <w:r w:rsidR="75F0E3F5" w:rsidRPr="00AB06F3">
              <w:rPr>
                <w:rFonts w:ascii="Verdana" w:eastAsia="Verdana" w:hAnsi="Verdana" w:cs="Arial"/>
                <w:color w:val="000000" w:themeColor="text1"/>
                <w:sz w:val="18"/>
                <w:szCs w:val="18"/>
              </w:rPr>
              <w:t xml:space="preserve">stos, </w:t>
            </w:r>
            <w:r w:rsidRPr="00AB06F3">
              <w:rPr>
                <w:rFonts w:ascii="Verdana" w:eastAsia="Verdana" w:hAnsi="Verdana" w:cs="Arial"/>
                <w:color w:val="000000" w:themeColor="text1"/>
                <w:sz w:val="18"/>
                <w:szCs w:val="18"/>
              </w:rPr>
              <w:t>1.</w:t>
            </w:r>
            <w:r w:rsidR="00F83297">
              <w:rPr>
                <w:rFonts w:ascii="Verdana" w:eastAsia="Verdana" w:hAnsi="Verdana" w:cs="Arial"/>
                <w:color w:val="000000" w:themeColor="text1"/>
                <w:sz w:val="18"/>
                <w:szCs w:val="18"/>
              </w:rPr>
              <w:t>125</w:t>
            </w:r>
            <w:r w:rsidRPr="00AB06F3">
              <w:rPr>
                <w:rFonts w:ascii="Verdana" w:eastAsia="Verdana" w:hAnsi="Verdana" w:cs="Arial"/>
                <w:color w:val="000000" w:themeColor="text1"/>
                <w:sz w:val="18"/>
                <w:szCs w:val="18"/>
              </w:rPr>
              <w:t xml:space="preserve"> personas </w:t>
            </w:r>
            <w:r w:rsidR="17E90597" w:rsidRPr="00AB06F3">
              <w:rPr>
                <w:rFonts w:ascii="Verdana" w:eastAsia="Verdana" w:hAnsi="Verdana" w:cs="Arial"/>
                <w:color w:val="000000" w:themeColor="text1"/>
                <w:sz w:val="18"/>
                <w:szCs w:val="18"/>
              </w:rPr>
              <w:t>de</w:t>
            </w:r>
            <w:r w:rsidRPr="00AB06F3">
              <w:rPr>
                <w:rFonts w:ascii="Verdana" w:eastAsia="Verdana" w:hAnsi="Verdana" w:cs="Arial"/>
                <w:color w:val="000000" w:themeColor="text1"/>
                <w:sz w:val="18"/>
                <w:szCs w:val="18"/>
              </w:rPr>
              <w:t xml:space="preserve"> comunidades negras, afrocolombianas, raizales y palenqueras</w:t>
            </w:r>
          </w:p>
          <w:p w14:paraId="23C5CCC0" w14:textId="6DE7BB14" w:rsidR="48836A97" w:rsidRPr="00AB06F3" w:rsidRDefault="154F3DF9"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color w:val="000000" w:themeColor="text1"/>
                <w:sz w:val="18"/>
                <w:szCs w:val="18"/>
              </w:rPr>
              <w:t>1.</w:t>
            </w:r>
            <w:r w:rsidR="00F83297">
              <w:rPr>
                <w:rFonts w:ascii="Verdana" w:eastAsia="Verdana" w:hAnsi="Verdana" w:cs="Arial"/>
                <w:color w:val="000000" w:themeColor="text1"/>
                <w:sz w:val="18"/>
                <w:szCs w:val="18"/>
              </w:rPr>
              <w:t>976</w:t>
            </w:r>
            <w:r w:rsidRPr="00AB06F3">
              <w:rPr>
                <w:rFonts w:ascii="Verdana" w:eastAsia="Verdana" w:hAnsi="Verdana" w:cs="Arial"/>
                <w:color w:val="000000" w:themeColor="text1"/>
                <w:sz w:val="18"/>
                <w:szCs w:val="18"/>
              </w:rPr>
              <w:t xml:space="preserve"> personas </w:t>
            </w:r>
            <w:r w:rsidR="579C89DF" w:rsidRPr="00AB06F3">
              <w:rPr>
                <w:rFonts w:ascii="Verdana" w:eastAsia="Verdana" w:hAnsi="Verdana" w:cs="Arial"/>
                <w:color w:val="000000" w:themeColor="text1"/>
                <w:sz w:val="18"/>
                <w:szCs w:val="18"/>
              </w:rPr>
              <w:t>son</w:t>
            </w:r>
            <w:r w:rsidRPr="00AB06F3">
              <w:rPr>
                <w:rFonts w:ascii="Verdana" w:eastAsia="Verdana" w:hAnsi="Verdana" w:cs="Arial"/>
                <w:color w:val="000000" w:themeColor="text1"/>
                <w:sz w:val="18"/>
                <w:szCs w:val="18"/>
              </w:rPr>
              <w:t xml:space="preserve"> indígena</w:t>
            </w:r>
            <w:r w:rsidR="39E53240" w:rsidRPr="00AB06F3">
              <w:rPr>
                <w:rFonts w:ascii="Verdana" w:eastAsia="Verdana" w:hAnsi="Verdana" w:cs="Arial"/>
                <w:color w:val="000000" w:themeColor="text1"/>
                <w:sz w:val="18"/>
                <w:szCs w:val="18"/>
              </w:rPr>
              <w:t>s</w:t>
            </w:r>
            <w:r w:rsidRPr="00AB06F3">
              <w:rPr>
                <w:rFonts w:ascii="Verdana" w:eastAsia="Verdana" w:hAnsi="Verdana" w:cs="Arial"/>
                <w:color w:val="000000" w:themeColor="text1"/>
                <w:sz w:val="18"/>
                <w:szCs w:val="18"/>
              </w:rPr>
              <w:t xml:space="preserve"> </w:t>
            </w:r>
          </w:p>
          <w:p w14:paraId="75FA825D" w14:textId="00D267C7" w:rsidR="48836A97" w:rsidRPr="00AB06F3" w:rsidRDefault="50AA2082" w:rsidP="00FA6857">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color w:val="000000" w:themeColor="text1"/>
                <w:sz w:val="18"/>
                <w:szCs w:val="18"/>
              </w:rPr>
              <w:t xml:space="preserve">2 personas </w:t>
            </w:r>
            <w:r w:rsidR="4FAFC709" w:rsidRPr="00AB06F3">
              <w:rPr>
                <w:rFonts w:ascii="Verdana" w:eastAsia="Verdana" w:hAnsi="Verdana" w:cs="Arial"/>
                <w:color w:val="000000" w:themeColor="text1"/>
                <w:sz w:val="18"/>
                <w:szCs w:val="18"/>
              </w:rPr>
              <w:t>son del</w:t>
            </w:r>
            <w:r w:rsidRPr="00AB06F3">
              <w:rPr>
                <w:rFonts w:ascii="Verdana" w:eastAsia="Verdana" w:hAnsi="Verdana" w:cs="Arial"/>
                <w:color w:val="000000" w:themeColor="text1"/>
                <w:sz w:val="18"/>
                <w:szCs w:val="18"/>
              </w:rPr>
              <w:t xml:space="preserve"> pueblo Rrom.</w:t>
            </w:r>
          </w:p>
        </w:tc>
      </w:tr>
    </w:tbl>
    <w:p w14:paraId="576F52D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CE77FBE" w14:textId="77777777" w:rsidR="00F83297" w:rsidRDefault="00F83297" w:rsidP="00C25586">
      <w:pPr>
        <w:spacing w:after="0" w:line="276" w:lineRule="auto"/>
        <w:jc w:val="center"/>
        <w:rPr>
          <w:rFonts w:ascii="Verdana" w:hAnsi="Verdana" w:cs="Arial"/>
          <w:sz w:val="18"/>
          <w:szCs w:val="18"/>
        </w:rPr>
      </w:pPr>
    </w:p>
    <w:p w14:paraId="6165569A" w14:textId="02EB6DFF" w:rsidR="759C1D3D" w:rsidRDefault="767B1FC1" w:rsidP="00C25586">
      <w:pPr>
        <w:spacing w:after="0" w:line="276" w:lineRule="auto"/>
        <w:jc w:val="center"/>
        <w:rPr>
          <w:rFonts w:ascii="Verdana" w:hAnsi="Verdana" w:cs="Arial"/>
          <w:sz w:val="18"/>
          <w:szCs w:val="18"/>
        </w:rPr>
      </w:pPr>
      <w:r w:rsidRPr="00AB06F3">
        <w:rPr>
          <w:rFonts w:ascii="Verdana" w:hAnsi="Verdana" w:cs="Arial"/>
          <w:sz w:val="18"/>
          <w:szCs w:val="18"/>
        </w:rPr>
        <w:t>Ver desagregación territorial que se reporta a SIIPO en el siguiente link</w:t>
      </w:r>
      <w:r w:rsidRPr="00AB06F3">
        <w:rPr>
          <w:rStyle w:val="Hipervnculo"/>
          <w:rFonts w:ascii="Verdana" w:hAnsi="Verdana" w:cs="Arial"/>
          <w:sz w:val="18"/>
          <w:szCs w:val="18"/>
        </w:rPr>
        <w:t xml:space="preserve"> </w:t>
      </w:r>
      <w:hyperlink r:id="rId21">
        <w:r w:rsidR="7F717EC3" w:rsidRPr="00AB06F3">
          <w:rPr>
            <w:rStyle w:val="Hipervnculo"/>
            <w:rFonts w:ascii="Verdana" w:hAnsi="Verdana" w:cs="Arial"/>
            <w:sz w:val="18"/>
            <w:szCs w:val="18"/>
          </w:rPr>
          <w:t>https://siipo.dnp.gov.co/detalleindicador/UQDndKwsZwAbcYqdqLdo</w:t>
        </w:r>
      </w:hyperlink>
      <w:r w:rsidR="7F717EC3" w:rsidRPr="00AB06F3">
        <w:rPr>
          <w:rFonts w:ascii="Verdana" w:hAnsi="Verdana" w:cs="Arial"/>
          <w:sz w:val="18"/>
          <w:szCs w:val="18"/>
        </w:rPr>
        <w:t xml:space="preserve"> </w:t>
      </w:r>
    </w:p>
    <w:p w14:paraId="0F1A60F8" w14:textId="77777777" w:rsidR="002B3CD7" w:rsidRPr="00AB06F3" w:rsidRDefault="002B3CD7" w:rsidP="00C25586">
      <w:pPr>
        <w:spacing w:after="0" w:line="276" w:lineRule="auto"/>
        <w:jc w:val="center"/>
        <w:rPr>
          <w:rFonts w:ascii="Verdana" w:hAnsi="Verdana" w:cs="Arial"/>
          <w:sz w:val="18"/>
          <w:szCs w:val="18"/>
        </w:rPr>
      </w:pPr>
    </w:p>
    <w:p w14:paraId="7194216F" w14:textId="3545406B" w:rsidR="00B709EF" w:rsidRPr="00AB06F3" w:rsidRDefault="039258D7" w:rsidP="00031DF5">
      <w:pPr>
        <w:pStyle w:val="Prrafodelista"/>
        <w:numPr>
          <w:ilvl w:val="0"/>
          <w:numId w:val="10"/>
        </w:numPr>
        <w:spacing w:before="1" w:after="0" w:line="276" w:lineRule="auto"/>
        <w:rPr>
          <w:rFonts w:ascii="Verdana" w:hAnsi="Verdana" w:cs="Arial"/>
          <w:color w:val="000000" w:themeColor="text1"/>
          <w:sz w:val="24"/>
          <w:szCs w:val="24"/>
        </w:rPr>
      </w:pPr>
      <w:r w:rsidRPr="00AB06F3">
        <w:rPr>
          <w:rFonts w:ascii="Verdana" w:hAnsi="Verdana" w:cs="Arial"/>
          <w:color w:val="000000" w:themeColor="text1"/>
          <w:sz w:val="24"/>
          <w:szCs w:val="24"/>
        </w:rPr>
        <w:t>¿Qué desafíos y retos tuvimos para el cumplimiento del indicador PMI?</w:t>
      </w:r>
    </w:p>
    <w:p w14:paraId="0741889B" w14:textId="77777777" w:rsidR="005C76E6" w:rsidRPr="00AB06F3" w:rsidRDefault="005C76E6" w:rsidP="00C25586">
      <w:pPr>
        <w:spacing w:after="0" w:line="276" w:lineRule="auto"/>
        <w:jc w:val="both"/>
        <w:rPr>
          <w:rFonts w:ascii="Verdana" w:hAnsi="Verdana" w:cs="Arial"/>
          <w:color w:val="0033CC"/>
          <w:sz w:val="24"/>
          <w:szCs w:val="24"/>
        </w:rPr>
      </w:pPr>
    </w:p>
    <w:p w14:paraId="718BFA12" w14:textId="77777777" w:rsidR="000C0621" w:rsidRDefault="000C0621" w:rsidP="00C401E4">
      <w:pPr>
        <w:spacing w:after="0" w:line="276" w:lineRule="auto"/>
        <w:jc w:val="both"/>
        <w:rPr>
          <w:rFonts w:ascii="Verdana" w:hAnsi="Verdana" w:cs="Arial"/>
          <w:sz w:val="24"/>
          <w:szCs w:val="24"/>
        </w:rPr>
      </w:pPr>
      <w:r w:rsidRPr="000C0621">
        <w:rPr>
          <w:rFonts w:ascii="Verdana" w:hAnsi="Verdana" w:cs="Arial"/>
          <w:sz w:val="24"/>
          <w:szCs w:val="24"/>
        </w:rPr>
        <w:t>En diciembre de 2025 se identificaron 3.353 exintegrantes de las FARC-EP que no accedieron al beneficio de la asignación mensual debido al incumplimiento de los requisitos establecidos en la normatividad vigente. Esta situación se explica por diferentes condiciones administrativas, jurídicas o personales que afectan la habilitación del beneficio.</w:t>
      </w:r>
    </w:p>
    <w:p w14:paraId="132C3A78" w14:textId="77777777" w:rsidR="000C0621" w:rsidRPr="000C0621" w:rsidRDefault="000C0621" w:rsidP="000C0621">
      <w:pPr>
        <w:spacing w:after="0" w:line="276" w:lineRule="auto"/>
        <w:rPr>
          <w:rFonts w:ascii="Verdana" w:hAnsi="Verdana" w:cs="Arial"/>
          <w:sz w:val="24"/>
          <w:szCs w:val="24"/>
        </w:rPr>
      </w:pPr>
    </w:p>
    <w:p w14:paraId="220577C8" w14:textId="77777777" w:rsidR="000C0621" w:rsidRDefault="000C0621" w:rsidP="00C401E4">
      <w:pPr>
        <w:spacing w:after="0" w:line="276" w:lineRule="auto"/>
        <w:jc w:val="both"/>
        <w:rPr>
          <w:rFonts w:ascii="Verdana" w:hAnsi="Verdana" w:cs="Arial"/>
          <w:sz w:val="24"/>
          <w:szCs w:val="24"/>
        </w:rPr>
      </w:pPr>
      <w:r w:rsidRPr="000C0621">
        <w:rPr>
          <w:rFonts w:ascii="Verdana" w:hAnsi="Verdana" w:cs="Arial"/>
          <w:sz w:val="24"/>
          <w:szCs w:val="24"/>
        </w:rPr>
        <w:lastRenderedPageBreak/>
        <w:t>Del total identificado, 929 personas no cumplieron los requisitos establecidos; 905 personas han fallecido desde la firma del Acuerdo Final; 14 personas registran privación de la libertad en el Instituto Nacional Penitenciario y Carcelario (INPEC); 441 personas presentan limitante temporal, de acuerdo con la Resolución 4309 de 2019; 101 personas registran ingresos superiores a cinco (5) salarios mínimos mensuales legales vigentes; 844 personas presentan limitante definitiva o se encuentran en investigación, conforme a la misma resolución; 100 personas no cumplen con los requisitos de asistencia establecidos; 8 personas registran retiro voluntario del proceso; y 11 personas se encuentran ausentes por desaparición forzada.</w:t>
      </w:r>
    </w:p>
    <w:p w14:paraId="7E4D3A9D" w14:textId="77777777" w:rsidR="000C0621" w:rsidRPr="000C0621" w:rsidRDefault="000C0621" w:rsidP="000C0621">
      <w:pPr>
        <w:spacing w:after="0" w:line="276" w:lineRule="auto"/>
        <w:rPr>
          <w:rFonts w:ascii="Verdana" w:hAnsi="Verdana" w:cs="Arial"/>
          <w:sz w:val="24"/>
          <w:szCs w:val="24"/>
        </w:rPr>
      </w:pPr>
    </w:p>
    <w:p w14:paraId="5B093997" w14:textId="47F1795F" w:rsidR="009373D1" w:rsidRPr="00DE3C2B" w:rsidRDefault="000C0621" w:rsidP="00C401E4">
      <w:pPr>
        <w:spacing w:after="0" w:line="276" w:lineRule="auto"/>
        <w:jc w:val="both"/>
        <w:rPr>
          <w:rFonts w:ascii="Verdana" w:hAnsi="Verdana" w:cs="Arial"/>
          <w:sz w:val="24"/>
          <w:szCs w:val="24"/>
        </w:rPr>
      </w:pPr>
      <w:r w:rsidRPr="000C0621">
        <w:rPr>
          <w:rFonts w:ascii="Verdana" w:hAnsi="Verdana" w:cs="Arial"/>
          <w:sz w:val="24"/>
          <w:szCs w:val="24"/>
        </w:rPr>
        <w:t>Estas situaciones representan un desafío para el seguimiento del indicador, dado que afectan la habilitación y continuidad del beneficio para una parte de la población acreditada en el proceso de reincorporación.</w:t>
      </w:r>
    </w:p>
    <w:p w14:paraId="31EF366D" w14:textId="77777777" w:rsidR="00DE3C2B" w:rsidRPr="00AB06F3" w:rsidRDefault="00DE3C2B" w:rsidP="00C25586">
      <w:pPr>
        <w:spacing w:after="0" w:line="276" w:lineRule="auto"/>
        <w:jc w:val="both"/>
        <w:rPr>
          <w:rFonts w:ascii="Verdana" w:hAnsi="Verdana" w:cs="Arial"/>
          <w:color w:val="0033CC"/>
          <w:sz w:val="24"/>
          <w:szCs w:val="24"/>
        </w:rPr>
      </w:pPr>
    </w:p>
    <w:p w14:paraId="35111D31" w14:textId="4B23E3BA" w:rsidR="00DE3C2B" w:rsidRPr="00DE3C2B" w:rsidRDefault="00DE3C2B" w:rsidP="00DE3C2B">
      <w:pPr>
        <w:pStyle w:val="Descripcin"/>
        <w:keepNext/>
        <w:jc w:val="center"/>
        <w:rPr>
          <w:rStyle w:val="Referenciasutil"/>
          <w:rFonts w:ascii="Verdana" w:hAnsi="Verdana" w:cs="Arial"/>
          <w:i w:val="0"/>
          <w:iCs w:val="0"/>
        </w:rPr>
      </w:pPr>
      <w:bookmarkStart w:id="56" w:name="_Toc225283163"/>
      <w:r w:rsidRPr="00DE3C2B">
        <w:rPr>
          <w:rStyle w:val="Referenciasutil"/>
          <w:rFonts w:ascii="Verdana" w:hAnsi="Verdana" w:cs="Arial"/>
          <w:i w:val="0"/>
          <w:iCs w:val="0"/>
        </w:rPr>
        <w:t xml:space="preserve">Tabla </w:t>
      </w:r>
      <w:r w:rsidRPr="00DE3C2B">
        <w:rPr>
          <w:rStyle w:val="Referenciasutil"/>
          <w:rFonts w:ascii="Verdana" w:hAnsi="Verdana" w:cs="Arial"/>
          <w:i w:val="0"/>
          <w:iCs w:val="0"/>
        </w:rPr>
        <w:fldChar w:fldCharType="begin"/>
      </w:r>
      <w:r w:rsidRPr="00DE3C2B">
        <w:rPr>
          <w:rStyle w:val="Referenciasutil"/>
          <w:rFonts w:ascii="Verdana" w:hAnsi="Verdana" w:cs="Arial"/>
          <w:i w:val="0"/>
          <w:iCs w:val="0"/>
        </w:rPr>
        <w:instrText xml:space="preserve"> SEQ Tabla \* ARABIC </w:instrText>
      </w:r>
      <w:r w:rsidRPr="00DE3C2B">
        <w:rPr>
          <w:rStyle w:val="Referenciasutil"/>
          <w:rFonts w:ascii="Verdana" w:hAnsi="Verdana" w:cs="Arial"/>
          <w:i w:val="0"/>
          <w:iCs w:val="0"/>
        </w:rPr>
        <w:fldChar w:fldCharType="separate"/>
      </w:r>
      <w:r w:rsidR="0078027F">
        <w:rPr>
          <w:rStyle w:val="Referenciasutil"/>
          <w:rFonts w:ascii="Verdana" w:hAnsi="Verdana" w:cs="Arial"/>
          <w:i w:val="0"/>
          <w:iCs w:val="0"/>
          <w:noProof/>
        </w:rPr>
        <w:t>51</w:t>
      </w:r>
      <w:r w:rsidRPr="00DE3C2B">
        <w:rPr>
          <w:rStyle w:val="Referenciasutil"/>
          <w:rFonts w:ascii="Verdana" w:hAnsi="Verdana" w:cs="Arial"/>
          <w:i w:val="0"/>
          <w:iCs w:val="0"/>
        </w:rPr>
        <w:fldChar w:fldCharType="end"/>
      </w:r>
      <w:r w:rsidRPr="00DE3C2B">
        <w:rPr>
          <w:rStyle w:val="Referenciasutil"/>
          <w:rFonts w:ascii="Verdana" w:hAnsi="Verdana" w:cs="Arial"/>
          <w:i w:val="0"/>
          <w:iCs w:val="0"/>
        </w:rPr>
        <w:t>. Desafíos y retos del indicador C.458</w:t>
      </w:r>
      <w:bookmarkEnd w:id="56"/>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Pr>
      <w:tblGrid>
        <w:gridCol w:w="2263"/>
        <w:gridCol w:w="3402"/>
        <w:gridCol w:w="3163"/>
      </w:tblGrid>
      <w:tr w:rsidR="48836A97" w:rsidRPr="006744B9" w14:paraId="225DE479" w14:textId="77777777" w:rsidTr="001049EE">
        <w:trPr>
          <w:trHeight w:val="300"/>
        </w:trPr>
        <w:tc>
          <w:tcPr>
            <w:tcW w:w="2263" w:type="dxa"/>
          </w:tcPr>
          <w:p w14:paraId="532FD775" w14:textId="5E09C7F7" w:rsidR="48836A97" w:rsidRPr="006744B9" w:rsidRDefault="48836A97" w:rsidP="001049EE">
            <w:pPr>
              <w:spacing w:line="276" w:lineRule="auto"/>
              <w:jc w:val="center"/>
              <w:rPr>
                <w:rFonts w:ascii="Verdana" w:hAnsi="Verdana" w:cs="Arial"/>
                <w:b/>
                <w:bCs/>
                <w:color w:val="000000" w:themeColor="text1"/>
                <w:sz w:val="18"/>
                <w:szCs w:val="18"/>
              </w:rPr>
            </w:pPr>
            <w:r w:rsidRPr="006744B9">
              <w:rPr>
                <w:rFonts w:ascii="Verdana" w:hAnsi="Verdana" w:cs="Arial"/>
                <w:b/>
                <w:bCs/>
                <w:color w:val="000000" w:themeColor="text1"/>
                <w:sz w:val="18"/>
                <w:szCs w:val="18"/>
              </w:rPr>
              <w:t>Tipo de Reto</w:t>
            </w:r>
          </w:p>
        </w:tc>
        <w:tc>
          <w:tcPr>
            <w:tcW w:w="3402" w:type="dxa"/>
          </w:tcPr>
          <w:p w14:paraId="7451C008" w14:textId="77777777" w:rsidR="48836A97" w:rsidRPr="006744B9" w:rsidRDefault="48836A97" w:rsidP="001049EE">
            <w:pPr>
              <w:spacing w:line="276" w:lineRule="auto"/>
              <w:jc w:val="center"/>
              <w:rPr>
                <w:rFonts w:ascii="Verdana" w:hAnsi="Verdana" w:cs="Arial"/>
                <w:b/>
                <w:bCs/>
                <w:color w:val="000000" w:themeColor="text1"/>
                <w:sz w:val="18"/>
                <w:szCs w:val="18"/>
              </w:rPr>
            </w:pPr>
            <w:r w:rsidRPr="006744B9">
              <w:rPr>
                <w:rFonts w:ascii="Verdana" w:hAnsi="Verdana" w:cs="Arial"/>
                <w:b/>
                <w:bCs/>
                <w:color w:val="000000" w:themeColor="text1"/>
                <w:sz w:val="18"/>
                <w:szCs w:val="18"/>
              </w:rPr>
              <w:t>Descripción del Reto</w:t>
            </w:r>
          </w:p>
        </w:tc>
        <w:tc>
          <w:tcPr>
            <w:tcW w:w="3163" w:type="dxa"/>
          </w:tcPr>
          <w:p w14:paraId="7E3FAEF7" w14:textId="77777777" w:rsidR="48836A97" w:rsidRPr="006744B9" w:rsidRDefault="48836A97" w:rsidP="001049EE">
            <w:pPr>
              <w:spacing w:line="276" w:lineRule="auto"/>
              <w:jc w:val="center"/>
              <w:rPr>
                <w:rFonts w:ascii="Verdana" w:hAnsi="Verdana" w:cs="Arial"/>
                <w:b/>
                <w:bCs/>
                <w:color w:val="000000" w:themeColor="text1"/>
                <w:sz w:val="18"/>
                <w:szCs w:val="18"/>
              </w:rPr>
            </w:pPr>
            <w:r w:rsidRPr="006744B9">
              <w:rPr>
                <w:rFonts w:ascii="Verdana" w:hAnsi="Verdana" w:cs="Arial"/>
                <w:b/>
                <w:bCs/>
                <w:color w:val="000000" w:themeColor="text1"/>
                <w:sz w:val="18"/>
                <w:szCs w:val="18"/>
              </w:rPr>
              <w:t>Medidas para mitigar el Reto</w:t>
            </w:r>
          </w:p>
        </w:tc>
      </w:tr>
      <w:tr w:rsidR="00F16525" w:rsidRPr="006744B9" w14:paraId="634B76D6" w14:textId="77777777" w:rsidTr="001049EE">
        <w:trPr>
          <w:trHeight w:val="300"/>
        </w:trPr>
        <w:tc>
          <w:tcPr>
            <w:tcW w:w="2263" w:type="dxa"/>
          </w:tcPr>
          <w:p w14:paraId="2C39537C" w14:textId="1F12F2A2" w:rsidR="00F16525" w:rsidRPr="006744B9" w:rsidRDefault="00F16525" w:rsidP="00C401E4">
            <w:pPr>
              <w:spacing w:line="276" w:lineRule="auto"/>
              <w:jc w:val="both"/>
              <w:rPr>
                <w:rFonts w:ascii="Verdana" w:hAnsi="Verdana" w:cs="Arial"/>
                <w:sz w:val="18"/>
                <w:szCs w:val="18"/>
              </w:rPr>
            </w:pPr>
            <w:r w:rsidRPr="006744B9">
              <w:rPr>
                <w:rStyle w:val="normaltextrun"/>
                <w:rFonts w:ascii="Verdana" w:hAnsi="Verdana" w:cs="Segoe UI"/>
                <w:sz w:val="18"/>
                <w:szCs w:val="18"/>
              </w:rPr>
              <w:t>Decisiones de Alto Gobierno- Gobernanza</w:t>
            </w:r>
          </w:p>
        </w:tc>
        <w:tc>
          <w:tcPr>
            <w:tcW w:w="3402" w:type="dxa"/>
          </w:tcPr>
          <w:p w14:paraId="4E49E9FC" w14:textId="5D142B6B" w:rsidR="00C24E8E"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Style w:val="eop"/>
                <w:rFonts w:ascii="Verdana" w:hAnsi="Verdana" w:cs="Segoe UI"/>
                <w:sz w:val="18"/>
                <w:szCs w:val="18"/>
              </w:rPr>
            </w:pPr>
            <w:r w:rsidRPr="006744B9">
              <w:rPr>
                <w:rStyle w:val="normaltextrun"/>
                <w:rFonts w:ascii="Verdana" w:hAnsi="Verdana" w:cs="Segoe UI"/>
                <w:sz w:val="18"/>
                <w:szCs w:val="18"/>
              </w:rPr>
              <w:t xml:space="preserve">Fortalecer el seguimiento y acompañamiento </w:t>
            </w:r>
            <w:r w:rsidR="0029235C" w:rsidRPr="0029235C">
              <w:rPr>
                <w:rFonts w:ascii="Verdana" w:hAnsi="Verdana" w:cs="Segoe UI"/>
                <w:sz w:val="18"/>
                <w:szCs w:val="18"/>
              </w:rPr>
              <w:t>a las personas beneficiarias para garantizar el cumplimiento de la Ruta de Reincorporación.</w:t>
            </w:r>
          </w:p>
          <w:p w14:paraId="6D2F752C" w14:textId="5D92D9C8" w:rsidR="00C24E8E"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Style w:val="eop"/>
                <w:rFonts w:ascii="Verdana" w:hAnsi="Verdana" w:cs="Segoe UI"/>
                <w:sz w:val="18"/>
                <w:szCs w:val="18"/>
              </w:rPr>
            </w:pPr>
            <w:r w:rsidRPr="006744B9">
              <w:rPr>
                <w:rStyle w:val="normaltextrun"/>
                <w:rFonts w:ascii="Verdana" w:hAnsi="Verdana" w:cs="Segoe UI"/>
                <w:sz w:val="18"/>
                <w:szCs w:val="18"/>
              </w:rPr>
              <w:t xml:space="preserve">Agilizar </w:t>
            </w:r>
            <w:r w:rsidR="00FC1350" w:rsidRPr="00FC1350">
              <w:rPr>
                <w:rFonts w:ascii="Verdana" w:hAnsi="Verdana" w:cs="Segoe UI"/>
                <w:sz w:val="18"/>
                <w:szCs w:val="18"/>
              </w:rPr>
              <w:t>os procesos de verificación y depuración de los casos que presentan limitaciones o novedades en los registros administrativos.</w:t>
            </w:r>
          </w:p>
          <w:p w14:paraId="15A8BBA6" w14:textId="4C25A0E8" w:rsidR="00C24E8E"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Style w:val="eop"/>
                <w:rFonts w:ascii="Verdana" w:hAnsi="Verdana" w:cs="Segoe UI"/>
                <w:sz w:val="18"/>
                <w:szCs w:val="18"/>
              </w:rPr>
            </w:pPr>
            <w:r w:rsidRPr="006744B9">
              <w:rPr>
                <w:rStyle w:val="normaltextrun"/>
                <w:rFonts w:ascii="Verdana" w:hAnsi="Verdana" w:cs="Segoe UI"/>
                <w:sz w:val="18"/>
                <w:szCs w:val="18"/>
              </w:rPr>
              <w:t xml:space="preserve">Implementar </w:t>
            </w:r>
            <w:r w:rsidR="00FC1350" w:rsidRPr="00FC1350">
              <w:rPr>
                <w:rFonts w:ascii="Verdana" w:hAnsi="Verdana" w:cs="Segoe UI"/>
                <w:sz w:val="18"/>
                <w:szCs w:val="18"/>
              </w:rPr>
              <w:t>estrategias diferenciadas que permitan la inclusión de personas con limitantes temporales o definitivas para el acceso a los beneficios.</w:t>
            </w:r>
          </w:p>
          <w:p w14:paraId="707C8DB1" w14:textId="3FA3783D" w:rsidR="00C24E8E"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Style w:val="eop"/>
                <w:rFonts w:ascii="Verdana" w:hAnsi="Verdana" w:cs="Segoe UI"/>
                <w:sz w:val="18"/>
                <w:szCs w:val="18"/>
              </w:rPr>
            </w:pPr>
            <w:r w:rsidRPr="006744B9">
              <w:rPr>
                <w:rStyle w:val="normaltextrun"/>
                <w:rFonts w:ascii="Verdana" w:hAnsi="Verdana" w:cs="Segoe UI"/>
                <w:sz w:val="18"/>
                <w:szCs w:val="18"/>
              </w:rPr>
              <w:t xml:space="preserve">Reforzar </w:t>
            </w:r>
            <w:r w:rsidR="00FC1350" w:rsidRPr="00FC1350">
              <w:rPr>
                <w:rFonts w:ascii="Verdana" w:hAnsi="Verdana" w:cs="Segoe UI"/>
                <w:sz w:val="18"/>
                <w:szCs w:val="18"/>
              </w:rPr>
              <w:t>la articulación interinstitucional con entidades como la Registraduría Nacional del Estado Civil, el INPEC y otras instancias que inciden en la validación de requisitos.</w:t>
            </w:r>
            <w:r w:rsidRPr="006744B9">
              <w:rPr>
                <w:rStyle w:val="eop"/>
                <w:rFonts w:ascii="Verdana" w:hAnsi="Verdana" w:cs="Segoe UI"/>
                <w:sz w:val="18"/>
                <w:szCs w:val="18"/>
              </w:rPr>
              <w:t> </w:t>
            </w:r>
          </w:p>
          <w:p w14:paraId="26FC9B71" w14:textId="54A7DDC8" w:rsidR="00F16525" w:rsidRPr="006744B9" w:rsidRDefault="00F16525" w:rsidP="00C401E4">
            <w:pPr>
              <w:pStyle w:val="paragraph"/>
              <w:numPr>
                <w:ilvl w:val="0"/>
                <w:numId w:val="28"/>
              </w:numPr>
              <w:tabs>
                <w:tab w:val="clear" w:pos="720"/>
                <w:tab w:val="left" w:pos="172"/>
              </w:tabs>
              <w:spacing w:before="0" w:beforeAutospacing="0" w:after="0" w:afterAutospacing="0"/>
              <w:ind w:left="0" w:firstLine="0"/>
              <w:jc w:val="both"/>
              <w:textAlignment w:val="baseline"/>
              <w:divId w:val="2115202890"/>
              <w:rPr>
                <w:rFonts w:ascii="Verdana" w:hAnsi="Verdana" w:cs="Segoe UI"/>
                <w:sz w:val="18"/>
                <w:szCs w:val="18"/>
              </w:rPr>
            </w:pPr>
            <w:r w:rsidRPr="006744B9">
              <w:rPr>
                <w:rStyle w:val="normaltextrun"/>
                <w:rFonts w:ascii="Verdana" w:hAnsi="Verdana" w:cs="Segoe UI"/>
                <w:sz w:val="18"/>
                <w:szCs w:val="18"/>
              </w:rPr>
              <w:t xml:space="preserve">Garantizar </w:t>
            </w:r>
            <w:r w:rsidR="00047004" w:rsidRPr="00047004">
              <w:rPr>
                <w:rFonts w:ascii="Verdana" w:hAnsi="Verdana" w:cs="Segoe UI"/>
                <w:sz w:val="18"/>
                <w:szCs w:val="18"/>
              </w:rPr>
              <w:t>procesos permanentes de actualización y depuración de la información, con el fin de evitar retrasos en la asignación de los beneficios.</w:t>
            </w:r>
            <w:r w:rsidRPr="006744B9">
              <w:rPr>
                <w:rStyle w:val="eop"/>
                <w:rFonts w:ascii="Verdana" w:hAnsi="Verdana" w:cs="Segoe UI"/>
                <w:sz w:val="18"/>
                <w:szCs w:val="18"/>
              </w:rPr>
              <w:t> </w:t>
            </w:r>
          </w:p>
          <w:p w14:paraId="43E40289" w14:textId="77777777" w:rsidR="00F16525" w:rsidRPr="006744B9" w:rsidRDefault="00F16525" w:rsidP="00C401E4">
            <w:pPr>
              <w:pStyle w:val="paragraph"/>
              <w:spacing w:before="0" w:beforeAutospacing="0" w:after="0" w:afterAutospacing="0"/>
              <w:jc w:val="both"/>
              <w:textAlignment w:val="baseline"/>
              <w:divId w:val="902300242"/>
              <w:rPr>
                <w:rFonts w:ascii="Verdana" w:hAnsi="Verdana" w:cs="Segoe UI"/>
                <w:sz w:val="18"/>
                <w:szCs w:val="18"/>
              </w:rPr>
            </w:pPr>
            <w:r w:rsidRPr="006744B9">
              <w:rPr>
                <w:rStyle w:val="eop"/>
                <w:rFonts w:ascii="Verdana" w:hAnsi="Verdana" w:cs="Segoe UI"/>
                <w:sz w:val="18"/>
                <w:szCs w:val="18"/>
              </w:rPr>
              <w:t> </w:t>
            </w:r>
          </w:p>
          <w:p w14:paraId="1E76346C" w14:textId="55FF9EC7" w:rsidR="00F16525" w:rsidRPr="006744B9" w:rsidRDefault="00047004" w:rsidP="00C401E4">
            <w:pPr>
              <w:spacing w:line="276" w:lineRule="auto"/>
              <w:jc w:val="both"/>
              <w:rPr>
                <w:rFonts w:ascii="Verdana" w:eastAsiaTheme="minorEastAsia" w:hAnsi="Verdana" w:cs="Arial"/>
                <w:sz w:val="18"/>
                <w:szCs w:val="18"/>
              </w:rPr>
            </w:pPr>
            <w:r w:rsidRPr="00047004">
              <w:rPr>
                <w:rFonts w:ascii="Verdana" w:eastAsia="Times New Roman" w:hAnsi="Verdana" w:cs="Segoe UI"/>
                <w:kern w:val="0"/>
                <w:sz w:val="18"/>
                <w:szCs w:val="18"/>
                <w:lang w:eastAsia="es-CO"/>
                <w14:ligatures w14:val="none"/>
              </w:rPr>
              <w:t xml:space="preserve">Adicionalmente, si bien la ARN remitió oportunamente las autorizaciones para el trámite de </w:t>
            </w:r>
            <w:r w:rsidRPr="00047004">
              <w:rPr>
                <w:rFonts w:ascii="Verdana" w:eastAsia="Times New Roman" w:hAnsi="Verdana" w:cs="Segoe UI"/>
                <w:kern w:val="0"/>
                <w:sz w:val="18"/>
                <w:szCs w:val="18"/>
                <w:lang w:eastAsia="es-CO"/>
                <w14:ligatures w14:val="none"/>
              </w:rPr>
              <w:lastRenderedPageBreak/>
              <w:t>pago de la Asignación Mensual durante 2025 (en los meses de enero, febrero, mayo, septiembre y octubre), el Fondo Colombia en Paz —entidad responsable de efectuar los desembolsos a los beneficiarios— ha presentado retrasos en la ejecución de dichos pagos. Esta situación obedece a que los desembolsos están sujetos al flujo de caja del Programa Anual Mensualizado de Caja (PAC) asignado por el Ministerio de Hacienda y Crédito Público, en el marco de la coyuntura presupuestal que ha enfrentado el país.</w:t>
            </w:r>
          </w:p>
        </w:tc>
        <w:tc>
          <w:tcPr>
            <w:tcW w:w="3163" w:type="dxa"/>
          </w:tcPr>
          <w:p w14:paraId="3D8D10CF" w14:textId="276DE533" w:rsidR="00F16525" w:rsidRPr="006744B9" w:rsidRDefault="00047004" w:rsidP="00C401E4">
            <w:pPr>
              <w:spacing w:line="276" w:lineRule="auto"/>
              <w:jc w:val="both"/>
              <w:rPr>
                <w:rFonts w:ascii="Verdana" w:eastAsiaTheme="minorEastAsia" w:hAnsi="Verdana" w:cs="Arial"/>
                <w:sz w:val="18"/>
                <w:szCs w:val="18"/>
              </w:rPr>
            </w:pPr>
            <w:r w:rsidRPr="00047004">
              <w:rPr>
                <w:rFonts w:ascii="Verdana" w:eastAsia="Times New Roman" w:hAnsi="Verdana" w:cs="Segoe UI"/>
                <w:kern w:val="0"/>
                <w:sz w:val="18"/>
                <w:szCs w:val="18"/>
                <w:lang w:eastAsia="es-CO"/>
                <w14:ligatures w14:val="none"/>
              </w:rPr>
              <w:lastRenderedPageBreak/>
              <w:t>Se adelantan acciones de coordinación con el Departamento Administrativo de la Presidencia de la República (DAPRE) y el Ministerio de Hacienda y Crédito Público para viabilizar el traslado oportuno de recursos al Patrimonio Autónomo – Fondo Colombia en Paz, con el fin de que esta entidad pueda ejecutar de manera oportuna el proceso de desembolso de la Asignación Mensual a los beneficiarios.</w:t>
            </w:r>
          </w:p>
        </w:tc>
      </w:tr>
    </w:tbl>
    <w:p w14:paraId="6D2EF09F"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7796934" w14:textId="7B6D1F6E" w:rsidR="00B709EF" w:rsidRPr="00AB06F3" w:rsidRDefault="00B709EF" w:rsidP="00C25586">
      <w:pPr>
        <w:shd w:val="clear" w:color="auto" w:fill="FFFFFF" w:themeFill="background1"/>
        <w:spacing w:after="0" w:line="276" w:lineRule="auto"/>
        <w:jc w:val="both"/>
        <w:rPr>
          <w:rFonts w:ascii="Verdana" w:eastAsiaTheme="minorEastAsia" w:hAnsi="Verdana" w:cs="Arial"/>
          <w:sz w:val="18"/>
          <w:szCs w:val="18"/>
          <w:highlight w:val="darkGray"/>
        </w:rPr>
      </w:pPr>
    </w:p>
    <w:p w14:paraId="03FB96D7" w14:textId="6FA5202D" w:rsidR="00B709EF" w:rsidRPr="00B2677D" w:rsidRDefault="7B64AD80" w:rsidP="00031DF5">
      <w:pPr>
        <w:pStyle w:val="Prrafodelista"/>
        <w:numPr>
          <w:ilvl w:val="2"/>
          <w:numId w:val="13"/>
        </w:numPr>
        <w:spacing w:before="240" w:after="0" w:line="276" w:lineRule="auto"/>
        <w:jc w:val="both"/>
        <w:rPr>
          <w:rFonts w:ascii="Verdana" w:eastAsia="Verdana" w:hAnsi="Verdana" w:cs="Arial"/>
          <w:b/>
          <w:bCs/>
          <w:color w:val="000000" w:themeColor="text1"/>
          <w:sz w:val="24"/>
          <w:szCs w:val="24"/>
        </w:rPr>
      </w:pPr>
      <w:r w:rsidRPr="00B2677D">
        <w:rPr>
          <w:rFonts w:ascii="Verdana" w:eastAsia="Verdana" w:hAnsi="Verdana" w:cs="Arial"/>
          <w:b/>
          <w:bCs/>
          <w:color w:val="000000" w:themeColor="text1"/>
          <w:sz w:val="24"/>
          <w:szCs w:val="24"/>
        </w:rPr>
        <w:t>Producto: Apoyo al proceso de reincorporación a los integrantes de las FARC-EP acreditados en los Espacios Transitorios de Capacitación y Reincorporación</w:t>
      </w:r>
    </w:p>
    <w:p w14:paraId="410FF180" w14:textId="77777777" w:rsidR="00FE61B0" w:rsidRDefault="00FE61B0" w:rsidP="00FE61B0">
      <w:pPr>
        <w:spacing w:after="0" w:line="276" w:lineRule="auto"/>
        <w:jc w:val="both"/>
        <w:rPr>
          <w:rFonts w:ascii="Verdana" w:eastAsia="Verdana" w:hAnsi="Verdana" w:cs="Arial"/>
          <w:b/>
          <w:bCs/>
          <w:sz w:val="24"/>
          <w:szCs w:val="24"/>
        </w:rPr>
      </w:pPr>
    </w:p>
    <w:p w14:paraId="532F9602" w14:textId="4D655A7F" w:rsidR="00B709EF" w:rsidRPr="00047004" w:rsidRDefault="7B64AD80" w:rsidP="00047004">
      <w:pPr>
        <w:spacing w:after="0" w:line="276" w:lineRule="auto"/>
        <w:rPr>
          <w:rFonts w:ascii="Verdana" w:eastAsia="Verdana" w:hAnsi="Verdana" w:cs="Arial"/>
          <w:b/>
          <w:bCs/>
          <w:sz w:val="24"/>
          <w:szCs w:val="24"/>
        </w:rPr>
      </w:pPr>
      <w:r w:rsidRPr="00AB06F3">
        <w:rPr>
          <w:rFonts w:ascii="Verdana" w:eastAsia="Verdana" w:hAnsi="Verdana" w:cs="Arial"/>
          <w:b/>
          <w:bCs/>
          <w:sz w:val="24"/>
          <w:szCs w:val="24"/>
        </w:rPr>
        <w:t xml:space="preserve">C.459 </w:t>
      </w:r>
      <w:r w:rsidRPr="00AB06F3">
        <w:rPr>
          <w:rFonts w:ascii="Verdana" w:eastAsia="Verdana" w:hAnsi="Verdana" w:cs="Arial"/>
          <w:sz w:val="24"/>
          <w:szCs w:val="24"/>
        </w:rPr>
        <w:t>Espacios Transitorios de Capacitación y Reincorporación, dispuestos y en funcionamiento según lo establecido en el decreto 1274 de 2017</w:t>
      </w:r>
      <w:r w:rsidRPr="00AB06F3">
        <w:rPr>
          <w:rFonts w:ascii="Verdana" w:eastAsia="Verdana" w:hAnsi="Verdana" w:cs="Arial"/>
          <w:b/>
          <w:bCs/>
          <w:color w:val="000000" w:themeColor="text1"/>
          <w:sz w:val="24"/>
          <w:szCs w:val="24"/>
        </w:rPr>
        <w:t xml:space="preserve"> </w:t>
      </w:r>
    </w:p>
    <w:p w14:paraId="4A362FAE" w14:textId="5CC27409" w:rsidR="00EC1DC8" w:rsidRPr="00EC1DC8" w:rsidRDefault="00EC1DC8" w:rsidP="00EC1DC8">
      <w:pPr>
        <w:pStyle w:val="Descripcin"/>
        <w:keepNext/>
        <w:jc w:val="center"/>
        <w:rPr>
          <w:rFonts w:ascii="Verdana" w:eastAsia="Verdana" w:hAnsi="Verdana" w:cs="Arial"/>
          <w:i w:val="0"/>
          <w:iCs w:val="0"/>
          <w:color w:val="000000" w:themeColor="text1"/>
        </w:rPr>
      </w:pPr>
      <w:bookmarkStart w:id="57" w:name="_Toc225283164"/>
      <w:r w:rsidRPr="00EC1DC8">
        <w:rPr>
          <w:rFonts w:ascii="Verdana" w:eastAsia="Verdana" w:hAnsi="Verdana" w:cs="Arial"/>
          <w:i w:val="0"/>
          <w:iCs w:val="0"/>
          <w:color w:val="000000" w:themeColor="text1"/>
        </w:rPr>
        <w:t xml:space="preserve">Tabla </w:t>
      </w:r>
      <w:r w:rsidRPr="00EC1DC8">
        <w:rPr>
          <w:rFonts w:ascii="Verdana" w:eastAsia="Verdana" w:hAnsi="Verdana" w:cs="Arial"/>
          <w:i w:val="0"/>
          <w:iCs w:val="0"/>
          <w:color w:val="000000" w:themeColor="text1"/>
        </w:rPr>
        <w:fldChar w:fldCharType="begin"/>
      </w:r>
      <w:r w:rsidRPr="00EC1DC8">
        <w:rPr>
          <w:rFonts w:ascii="Verdana" w:eastAsia="Verdana" w:hAnsi="Verdana" w:cs="Arial"/>
          <w:i w:val="0"/>
          <w:iCs w:val="0"/>
          <w:color w:val="000000" w:themeColor="text1"/>
        </w:rPr>
        <w:instrText xml:space="preserve"> SEQ Tabla \* ARABIC </w:instrText>
      </w:r>
      <w:r w:rsidRPr="00EC1DC8">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52</w:t>
      </w:r>
      <w:r w:rsidRPr="00EC1DC8">
        <w:rPr>
          <w:rFonts w:ascii="Verdana" w:eastAsia="Verdana" w:hAnsi="Verdana" w:cs="Arial"/>
          <w:i w:val="0"/>
          <w:iCs w:val="0"/>
          <w:color w:val="000000" w:themeColor="text1"/>
        </w:rPr>
        <w:fldChar w:fldCharType="end"/>
      </w:r>
      <w:r w:rsidRPr="00EC1DC8">
        <w:rPr>
          <w:rFonts w:ascii="Verdana" w:eastAsia="Verdana" w:hAnsi="Verdana" w:cs="Arial"/>
          <w:i w:val="0"/>
          <w:iCs w:val="0"/>
          <w:color w:val="000000" w:themeColor="text1"/>
        </w:rPr>
        <w:t>. Detalle de avance en el indicador C.459</w:t>
      </w:r>
      <w:bookmarkEnd w:id="57"/>
    </w:p>
    <w:tbl>
      <w:tblPr>
        <w:tblStyle w:val="Tablaconcuadrcula1clara-nfasis4"/>
        <w:tblW w:w="0" w:type="auto"/>
        <w:jc w:val="center"/>
        <w:tblBorders>
          <w:insideH w:val="single" w:sz="12" w:space="0" w:color="FFD966" w:themeColor="accent4" w:themeTint="99"/>
        </w:tblBorders>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64"/>
        <w:gridCol w:w="1147"/>
        <w:gridCol w:w="1228"/>
        <w:gridCol w:w="1219"/>
        <w:gridCol w:w="1270"/>
      </w:tblGrid>
      <w:tr w:rsidR="48836A97" w:rsidRPr="00FE61B0" w14:paraId="3A51CBD5" w14:textId="77777777" w:rsidTr="000470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964" w:type="dxa"/>
            <w:tcBorders>
              <w:bottom w:val="none" w:sz="0" w:space="0" w:color="auto"/>
            </w:tcBorders>
            <w:vAlign w:val="center"/>
          </w:tcPr>
          <w:p w14:paraId="58DA960C" w14:textId="77777777" w:rsidR="48836A97" w:rsidRPr="00FE61B0" w:rsidRDefault="48836A97" w:rsidP="00C25586">
            <w:pPr>
              <w:spacing w:line="276" w:lineRule="auto"/>
              <w:jc w:val="center"/>
              <w:rPr>
                <w:rFonts w:ascii="Verdana" w:hAnsi="Verdana" w:cs="Arial"/>
                <w:sz w:val="18"/>
                <w:szCs w:val="18"/>
              </w:rPr>
            </w:pPr>
            <w:r w:rsidRPr="00FE61B0">
              <w:rPr>
                <w:rFonts w:ascii="Verdana" w:hAnsi="Verdana" w:cs="Arial"/>
                <w:sz w:val="18"/>
                <w:szCs w:val="18"/>
              </w:rPr>
              <w:t>Indicador</w:t>
            </w:r>
          </w:p>
        </w:tc>
        <w:tc>
          <w:tcPr>
            <w:tcW w:w="1147" w:type="dxa"/>
            <w:tcBorders>
              <w:bottom w:val="none" w:sz="0" w:space="0" w:color="auto"/>
            </w:tcBorders>
            <w:vAlign w:val="center"/>
          </w:tcPr>
          <w:p w14:paraId="63B26FE7" w14:textId="77777777" w:rsidR="48836A97" w:rsidRPr="00FE61B0"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FE61B0">
              <w:rPr>
                <w:rFonts w:ascii="Verdana" w:hAnsi="Verdana" w:cs="Arial"/>
                <w:sz w:val="18"/>
                <w:szCs w:val="18"/>
              </w:rPr>
              <w:t>Tipo</w:t>
            </w:r>
          </w:p>
        </w:tc>
        <w:tc>
          <w:tcPr>
            <w:tcW w:w="1228" w:type="dxa"/>
            <w:tcBorders>
              <w:bottom w:val="none" w:sz="0" w:space="0" w:color="auto"/>
            </w:tcBorders>
            <w:vAlign w:val="center"/>
          </w:tcPr>
          <w:p w14:paraId="2598593B" w14:textId="77777777" w:rsidR="48836A97" w:rsidRPr="00FE61B0"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FE61B0">
              <w:rPr>
                <w:rFonts w:ascii="Verdana" w:hAnsi="Verdana" w:cs="Arial"/>
                <w:sz w:val="18"/>
                <w:szCs w:val="18"/>
              </w:rPr>
              <w:t>Inicio</w:t>
            </w:r>
          </w:p>
        </w:tc>
        <w:tc>
          <w:tcPr>
            <w:tcW w:w="1219" w:type="dxa"/>
            <w:tcBorders>
              <w:bottom w:val="none" w:sz="0" w:space="0" w:color="auto"/>
            </w:tcBorders>
            <w:vAlign w:val="center"/>
          </w:tcPr>
          <w:p w14:paraId="1EF04EE1" w14:textId="77777777" w:rsidR="48836A97" w:rsidRPr="00FE61B0"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FE61B0">
              <w:rPr>
                <w:rFonts w:ascii="Verdana" w:hAnsi="Verdana" w:cs="Arial"/>
                <w:sz w:val="18"/>
                <w:szCs w:val="18"/>
              </w:rPr>
              <w:t>Fin</w:t>
            </w:r>
          </w:p>
        </w:tc>
        <w:tc>
          <w:tcPr>
            <w:tcW w:w="1270" w:type="dxa"/>
            <w:tcBorders>
              <w:bottom w:val="none" w:sz="0" w:space="0" w:color="auto"/>
            </w:tcBorders>
          </w:tcPr>
          <w:p w14:paraId="59A1F4EF" w14:textId="026AF95C" w:rsidR="48836A97" w:rsidRPr="00FE61B0"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FE61B0">
              <w:rPr>
                <w:rFonts w:ascii="Verdana" w:hAnsi="Verdana" w:cs="Arial"/>
                <w:color w:val="000000" w:themeColor="text1"/>
                <w:sz w:val="18"/>
                <w:szCs w:val="18"/>
              </w:rPr>
              <w:t>Avance al 202</w:t>
            </w:r>
            <w:r w:rsidR="00794ADA">
              <w:rPr>
                <w:rFonts w:ascii="Verdana" w:hAnsi="Verdana" w:cs="Arial"/>
                <w:color w:val="000000" w:themeColor="text1"/>
                <w:sz w:val="18"/>
                <w:szCs w:val="18"/>
              </w:rPr>
              <w:t>5</w:t>
            </w:r>
          </w:p>
        </w:tc>
      </w:tr>
      <w:tr w:rsidR="48836A97" w:rsidRPr="00AB06F3" w14:paraId="529E9E2B" w14:textId="77777777" w:rsidTr="00047004">
        <w:trPr>
          <w:trHeight w:val="300"/>
          <w:jc w:val="center"/>
        </w:trPr>
        <w:tc>
          <w:tcPr>
            <w:cnfStyle w:val="001000000000" w:firstRow="0" w:lastRow="0" w:firstColumn="1" w:lastColumn="0" w:oddVBand="0" w:evenVBand="0" w:oddHBand="0" w:evenHBand="0" w:firstRowFirstColumn="0" w:firstRowLastColumn="0" w:lastRowFirstColumn="0" w:lastRowLastColumn="0"/>
            <w:tcW w:w="3964" w:type="dxa"/>
            <w:vAlign w:val="center"/>
          </w:tcPr>
          <w:p w14:paraId="6C6D0B28" w14:textId="107F05F8" w:rsidR="0ED4D6FC" w:rsidRPr="00AB06F3" w:rsidRDefault="0ED4D6FC" w:rsidP="001049EE">
            <w:pPr>
              <w:spacing w:line="276" w:lineRule="auto"/>
              <w:jc w:val="both"/>
              <w:rPr>
                <w:rFonts w:ascii="Verdana" w:hAnsi="Verdana" w:cs="Arial"/>
                <w:b w:val="0"/>
                <w:bCs w:val="0"/>
                <w:sz w:val="18"/>
                <w:szCs w:val="18"/>
              </w:rPr>
            </w:pPr>
            <w:r w:rsidRPr="00AB06F3">
              <w:rPr>
                <w:rFonts w:ascii="Verdana" w:hAnsi="Verdana" w:cs="Arial"/>
                <w:b w:val="0"/>
                <w:bCs w:val="0"/>
                <w:sz w:val="18"/>
                <w:szCs w:val="18"/>
              </w:rPr>
              <w:t xml:space="preserve">C.459 Espacios Transitorios de Capacitación y Reincorporación, dispuestos y en funcionamiento según lo establecido en el decreto 1274 de 2017   </w:t>
            </w:r>
          </w:p>
        </w:tc>
        <w:tc>
          <w:tcPr>
            <w:tcW w:w="1147" w:type="dxa"/>
            <w:vAlign w:val="center"/>
          </w:tcPr>
          <w:p w14:paraId="75F85FFF" w14:textId="7777777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Temático</w:t>
            </w:r>
          </w:p>
        </w:tc>
        <w:tc>
          <w:tcPr>
            <w:tcW w:w="1228" w:type="dxa"/>
            <w:shd w:val="clear" w:color="auto" w:fill="FFFFFF" w:themeFill="background1"/>
            <w:vAlign w:val="center"/>
          </w:tcPr>
          <w:p w14:paraId="7200923F" w14:textId="546317C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2017</w:t>
            </w:r>
          </w:p>
        </w:tc>
        <w:tc>
          <w:tcPr>
            <w:tcW w:w="1219" w:type="dxa"/>
            <w:shd w:val="clear" w:color="auto" w:fill="FFFFFF" w:themeFill="background1"/>
            <w:vAlign w:val="center"/>
          </w:tcPr>
          <w:p w14:paraId="71CFE7B1" w14:textId="33E11A26"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w:t>
            </w:r>
            <w:r w:rsidR="00B2677D">
              <w:rPr>
                <w:rFonts w:ascii="Verdana" w:eastAsia="Verdana" w:hAnsi="Verdana" w:cs="Arial"/>
                <w:sz w:val="18"/>
                <w:szCs w:val="18"/>
              </w:rPr>
              <w:t>26</w:t>
            </w:r>
          </w:p>
        </w:tc>
        <w:tc>
          <w:tcPr>
            <w:tcW w:w="1270" w:type="dxa"/>
          </w:tcPr>
          <w:p w14:paraId="1082DC96" w14:textId="046406D1"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4267FD80" w14:textId="2B11C47D"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p>
          <w:p w14:paraId="305491D8" w14:textId="7C67BCD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r w:rsidRPr="00AB06F3">
              <w:rPr>
                <w:rFonts w:ascii="Verdana" w:hAnsi="Verdana" w:cs="Arial"/>
                <w:color w:val="000000" w:themeColor="text1"/>
                <w:sz w:val="18"/>
                <w:szCs w:val="18"/>
              </w:rPr>
              <w:t xml:space="preserve">100% </w:t>
            </w:r>
          </w:p>
        </w:tc>
      </w:tr>
    </w:tbl>
    <w:p w14:paraId="74059287"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5448915" w14:textId="77777777" w:rsidR="001049EE" w:rsidRPr="00157B16" w:rsidRDefault="001049EE" w:rsidP="00C25586">
      <w:pPr>
        <w:pStyle w:val="Prrafodelista"/>
        <w:spacing w:after="0" w:line="276" w:lineRule="auto"/>
        <w:rPr>
          <w:rFonts w:ascii="Verdana" w:hAnsi="Verdana" w:cs="Arial"/>
        </w:rPr>
      </w:pPr>
    </w:p>
    <w:p w14:paraId="172BC217" w14:textId="43F3C04B" w:rsidR="00B709EF" w:rsidRPr="00AB06F3" w:rsidRDefault="05B90BA4" w:rsidP="00031DF5">
      <w:pPr>
        <w:pStyle w:val="Ttulo5"/>
        <w:numPr>
          <w:ilvl w:val="0"/>
          <w:numId w:val="11"/>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¿Cómo lo hicimos y con qué recursos?  </w:t>
      </w:r>
    </w:p>
    <w:p w14:paraId="59DBACF5" w14:textId="059D1AF7" w:rsidR="00B709EF" w:rsidRPr="00AB06F3" w:rsidRDefault="00B709EF" w:rsidP="00C25586">
      <w:pPr>
        <w:spacing w:after="0" w:line="276" w:lineRule="auto"/>
        <w:jc w:val="both"/>
        <w:rPr>
          <w:rFonts w:ascii="Verdana" w:hAnsi="Verdana" w:cs="Arial"/>
          <w:color w:val="000000" w:themeColor="text1"/>
          <w:sz w:val="24"/>
          <w:szCs w:val="24"/>
          <w:highlight w:val="darkGray"/>
        </w:rPr>
      </w:pPr>
    </w:p>
    <w:p w14:paraId="5F30A17B" w14:textId="77777777" w:rsidR="00395F23" w:rsidRDefault="00395F23" w:rsidP="00C401E4">
      <w:pPr>
        <w:spacing w:after="0" w:line="276" w:lineRule="auto"/>
        <w:jc w:val="both"/>
        <w:rPr>
          <w:rFonts w:ascii="Verdana" w:hAnsi="Verdana" w:cs="Arial"/>
          <w:color w:val="000000" w:themeColor="text1"/>
          <w:sz w:val="24"/>
          <w:szCs w:val="24"/>
        </w:rPr>
      </w:pPr>
      <w:r w:rsidRPr="00395F23">
        <w:rPr>
          <w:rFonts w:ascii="Verdana" w:hAnsi="Verdana" w:cs="Arial"/>
          <w:color w:val="000000" w:themeColor="text1"/>
          <w:sz w:val="24"/>
          <w:szCs w:val="24"/>
        </w:rPr>
        <w:t xml:space="preserve">Mediante el artículo 6 del Decreto 2026 de 2017, se asignó a la Agencia para la Reincorporación y la Normalización (ARN) la función de administrar los Espacios Territoriales de Capacitación y Reincorporación (ETCR). Esta responsabilidad fue asumida por la entidad a partir del 1 de agosto de </w:t>
      </w:r>
      <w:r w:rsidRPr="00395F23">
        <w:rPr>
          <w:rFonts w:ascii="Verdana" w:hAnsi="Verdana" w:cs="Arial"/>
          <w:color w:val="000000" w:themeColor="text1"/>
          <w:sz w:val="24"/>
          <w:szCs w:val="24"/>
        </w:rPr>
        <w:lastRenderedPageBreak/>
        <w:t>2018, una vez finalizado el proceso de transferencia realizado por el Fondo de Programas Especiales para la Paz (FONDOPAZ).</w:t>
      </w:r>
    </w:p>
    <w:p w14:paraId="224838AE" w14:textId="77777777" w:rsidR="00395F23" w:rsidRPr="00395F23" w:rsidRDefault="00395F23" w:rsidP="00395F23">
      <w:pPr>
        <w:spacing w:after="0" w:line="276" w:lineRule="auto"/>
        <w:rPr>
          <w:rFonts w:ascii="Verdana" w:hAnsi="Verdana" w:cs="Arial"/>
          <w:color w:val="000000" w:themeColor="text1"/>
          <w:sz w:val="24"/>
          <w:szCs w:val="24"/>
        </w:rPr>
      </w:pPr>
    </w:p>
    <w:p w14:paraId="67AFD1E2" w14:textId="3988AFB8" w:rsidR="00395F23" w:rsidRPr="00395F23" w:rsidRDefault="00395F23" w:rsidP="00C401E4">
      <w:pPr>
        <w:spacing w:after="0" w:line="276" w:lineRule="auto"/>
        <w:jc w:val="both"/>
        <w:rPr>
          <w:rFonts w:ascii="Verdana" w:hAnsi="Verdana" w:cs="Arial"/>
          <w:color w:val="000000" w:themeColor="text1"/>
          <w:sz w:val="24"/>
          <w:szCs w:val="24"/>
        </w:rPr>
      </w:pPr>
      <w:r w:rsidRPr="00395F23">
        <w:rPr>
          <w:rFonts w:ascii="Verdana" w:hAnsi="Verdana" w:cs="Arial"/>
          <w:color w:val="000000" w:themeColor="text1"/>
          <w:sz w:val="24"/>
          <w:szCs w:val="24"/>
        </w:rPr>
        <w:t>Posteriormente, de conformidad con el Decreto 1230 del 25 de julio de 2023, mediante el cual se modifica el numeral 23 del artículo 5 del Decreto Ley 4138 de 2011, se ratifica que la Agencia para la Reincorporación y la Normalización tiene dentro de sus funciones</w:t>
      </w:r>
    </w:p>
    <w:p w14:paraId="5259B356" w14:textId="77777777" w:rsidR="00451401" w:rsidRPr="00451401" w:rsidRDefault="00451401" w:rsidP="00451401">
      <w:pPr>
        <w:spacing w:after="0" w:line="276" w:lineRule="auto"/>
        <w:rPr>
          <w:rFonts w:ascii="Verdana" w:hAnsi="Verdana" w:cs="Arial"/>
          <w:color w:val="000000" w:themeColor="text1"/>
          <w:sz w:val="24"/>
          <w:szCs w:val="24"/>
        </w:rPr>
      </w:pPr>
    </w:p>
    <w:p w14:paraId="5641BC4A" w14:textId="2AA602A9" w:rsidR="00451401" w:rsidRPr="00B979FC" w:rsidRDefault="00451401" w:rsidP="00C401E4">
      <w:pPr>
        <w:spacing w:after="0" w:line="276" w:lineRule="auto"/>
        <w:ind w:left="709"/>
        <w:jc w:val="both"/>
        <w:rPr>
          <w:rFonts w:ascii="Verdana" w:hAnsi="Verdana" w:cs="Arial"/>
          <w:i/>
          <w:iCs/>
          <w:color w:val="000000" w:themeColor="text1"/>
          <w:sz w:val="24"/>
          <w:szCs w:val="24"/>
        </w:rPr>
      </w:pPr>
      <w:r w:rsidRPr="00B979FC">
        <w:rPr>
          <w:rFonts w:ascii="Verdana" w:hAnsi="Verdana" w:cs="Arial"/>
          <w:i/>
          <w:iCs/>
          <w:color w:val="000000" w:themeColor="text1"/>
          <w:sz w:val="24"/>
          <w:szCs w:val="24"/>
        </w:rPr>
        <w:t xml:space="preserve">“23. Administrar los bienes y servicios, así” como establecer los suministros para alimentación, económicos o en especie, necesarios para el proceso de reincorporación, en el marco de sus competencias legales, para lo cual el(la) Director(a) de la </w:t>
      </w:r>
      <w:r w:rsidR="00FF5173">
        <w:rPr>
          <w:rFonts w:ascii="Verdana" w:hAnsi="Verdana" w:cs="Arial"/>
          <w:i/>
          <w:iCs/>
          <w:color w:val="000000" w:themeColor="text1"/>
          <w:sz w:val="24"/>
          <w:szCs w:val="24"/>
        </w:rPr>
        <w:t xml:space="preserve">Agencia para la Reincorporación y la Normalización </w:t>
      </w:r>
      <w:r w:rsidRPr="00B979FC">
        <w:rPr>
          <w:rFonts w:ascii="Verdana" w:hAnsi="Verdana" w:cs="Arial"/>
          <w:i/>
          <w:iCs/>
          <w:color w:val="000000" w:themeColor="text1"/>
          <w:sz w:val="24"/>
          <w:szCs w:val="24"/>
        </w:rPr>
        <w:t>(ARN), adoptará el acto administrativo de reglamento. Lo anterior podrá ser ejecutado a través del Fondo Colombia en Paz (FCP)”.</w:t>
      </w:r>
    </w:p>
    <w:p w14:paraId="32E138C0" w14:textId="77777777" w:rsidR="00451401" w:rsidRPr="00451401" w:rsidRDefault="00451401" w:rsidP="00451401">
      <w:pPr>
        <w:spacing w:after="0" w:line="276" w:lineRule="auto"/>
        <w:rPr>
          <w:rFonts w:ascii="Verdana" w:hAnsi="Verdana" w:cs="Arial"/>
          <w:color w:val="000000" w:themeColor="text1"/>
          <w:sz w:val="24"/>
          <w:szCs w:val="24"/>
        </w:rPr>
      </w:pPr>
    </w:p>
    <w:p w14:paraId="28F4E2ED" w14:textId="43223044" w:rsidR="00451401" w:rsidRDefault="00610BBA" w:rsidP="00C401E4">
      <w:pPr>
        <w:spacing w:after="0" w:line="276" w:lineRule="auto"/>
        <w:jc w:val="both"/>
        <w:rPr>
          <w:rFonts w:ascii="Verdana" w:hAnsi="Verdana" w:cs="Arial"/>
          <w:color w:val="000000" w:themeColor="text1"/>
          <w:sz w:val="24"/>
          <w:szCs w:val="24"/>
        </w:rPr>
      </w:pPr>
      <w:r w:rsidRPr="00610BBA">
        <w:rPr>
          <w:rFonts w:ascii="Verdana" w:hAnsi="Verdana" w:cs="Arial"/>
          <w:color w:val="000000" w:themeColor="text1"/>
          <w:sz w:val="24"/>
          <w:szCs w:val="24"/>
        </w:rPr>
        <w:t>Para la administración de los 23 Espacios Territoriales de Capacitación y Reincorporación (ETCR), la Agencia para la Reincorporación y la Normalización suscribió con el Programa de las Naciones Unidas para el Desarrollo (PNUD) el Acuerdo de Financiación No. 1628 de 2021. En el marco de este acuerdo se han continuado atendiendo las necesidades de los ETCR en funcionamiento en materia de infraestructura, saneamiento básico, energía y conectividad. Cabe resaltar que, en noviembre de 2025, el ETCR Los Monos, también conocido como “Carlos Perdomo”, ubicado en el municipio de Caldono (Cauca), cesó sus actividades administrativas.</w:t>
      </w:r>
    </w:p>
    <w:p w14:paraId="23C4FB55" w14:textId="77777777" w:rsidR="00610BBA" w:rsidRPr="00451401" w:rsidRDefault="00610BBA" w:rsidP="00451401">
      <w:pPr>
        <w:spacing w:after="0" w:line="276" w:lineRule="auto"/>
        <w:rPr>
          <w:rFonts w:ascii="Verdana" w:hAnsi="Verdana" w:cs="Arial"/>
          <w:color w:val="000000" w:themeColor="text1"/>
          <w:sz w:val="24"/>
          <w:szCs w:val="24"/>
        </w:rPr>
      </w:pPr>
    </w:p>
    <w:p w14:paraId="35F8BA2D" w14:textId="61488CBF" w:rsidR="00451401" w:rsidRPr="00451401" w:rsidRDefault="004F6C17" w:rsidP="00C401E4">
      <w:pPr>
        <w:spacing w:after="0" w:line="276" w:lineRule="auto"/>
        <w:jc w:val="both"/>
        <w:rPr>
          <w:rFonts w:ascii="Verdana" w:hAnsi="Verdana" w:cs="Arial"/>
          <w:color w:val="000000" w:themeColor="text1"/>
          <w:sz w:val="24"/>
          <w:szCs w:val="24"/>
        </w:rPr>
      </w:pPr>
      <w:r w:rsidRPr="004F6C17">
        <w:rPr>
          <w:rFonts w:ascii="Verdana" w:hAnsi="Verdana" w:cs="Arial"/>
          <w:color w:val="000000" w:themeColor="text1"/>
          <w:sz w:val="24"/>
          <w:szCs w:val="24"/>
        </w:rPr>
        <w:t>Desde el inicio del convenio y hasta diciembre de 2025 se han suscrito doce (12) enmiendas y se han desembolsado recursos por un valor de $116.580.345.271,71. Se encuentra pendiente un desembolso por $2.780.290.000 correspondiente al valor adicionado mediante la Enmienda No. 12, con lo cual se garantiza el cumplimiento de las cinco actividades contempladas en el convenio:</w:t>
      </w:r>
    </w:p>
    <w:p w14:paraId="220B2E3C" w14:textId="7D24A777" w:rsidR="00451401" w:rsidRPr="00451401" w:rsidRDefault="00451401" w:rsidP="00C401E4">
      <w:pPr>
        <w:spacing w:after="0" w:line="276" w:lineRule="auto"/>
        <w:jc w:val="both"/>
        <w:rPr>
          <w:rFonts w:ascii="Verdana" w:hAnsi="Verdana" w:cs="Arial"/>
          <w:color w:val="000000" w:themeColor="text1"/>
          <w:sz w:val="24"/>
          <w:szCs w:val="24"/>
        </w:rPr>
      </w:pPr>
      <w:r w:rsidRPr="00451401">
        <w:rPr>
          <w:rFonts w:ascii="Verdana" w:hAnsi="Verdana" w:cs="Arial"/>
          <w:color w:val="000000" w:themeColor="text1"/>
          <w:sz w:val="24"/>
          <w:szCs w:val="24"/>
        </w:rPr>
        <w:t>1.</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Realizar la gestión operativa a través de la contratación del talento humano requerido en cada uno de los lugares, lo cual implica atender los gastos relacionados con el pago de salarios, viáticos y gastos de viaje.</w:t>
      </w:r>
    </w:p>
    <w:p w14:paraId="21F97E21" w14:textId="700FD5F4" w:rsidR="00451401" w:rsidRPr="00451401" w:rsidRDefault="00451401" w:rsidP="00451401">
      <w:pPr>
        <w:spacing w:after="0" w:line="276" w:lineRule="auto"/>
        <w:rPr>
          <w:rFonts w:ascii="Verdana" w:hAnsi="Verdana" w:cs="Arial"/>
          <w:color w:val="000000" w:themeColor="text1"/>
          <w:sz w:val="24"/>
          <w:szCs w:val="24"/>
        </w:rPr>
      </w:pPr>
      <w:r w:rsidRPr="00451401">
        <w:rPr>
          <w:rFonts w:ascii="Verdana" w:hAnsi="Verdana" w:cs="Arial"/>
          <w:color w:val="000000" w:themeColor="text1"/>
          <w:sz w:val="24"/>
          <w:szCs w:val="24"/>
        </w:rPr>
        <w:t>2.</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Gestionar los contratos de arrendamiento de los predios requeridos para adelantar el proceso de reincorporación.</w:t>
      </w:r>
    </w:p>
    <w:p w14:paraId="7B6872A7" w14:textId="6B4CE19C" w:rsidR="00451401" w:rsidRPr="00451401" w:rsidRDefault="00451401" w:rsidP="00C401E4">
      <w:pPr>
        <w:spacing w:after="0" w:line="276" w:lineRule="auto"/>
        <w:jc w:val="both"/>
        <w:rPr>
          <w:rFonts w:ascii="Verdana" w:hAnsi="Verdana" w:cs="Arial"/>
          <w:color w:val="000000" w:themeColor="text1"/>
          <w:sz w:val="24"/>
          <w:szCs w:val="24"/>
        </w:rPr>
      </w:pPr>
      <w:r w:rsidRPr="00451401">
        <w:rPr>
          <w:rFonts w:ascii="Verdana" w:hAnsi="Verdana" w:cs="Arial"/>
          <w:color w:val="000000" w:themeColor="text1"/>
          <w:sz w:val="24"/>
          <w:szCs w:val="24"/>
        </w:rPr>
        <w:lastRenderedPageBreak/>
        <w:t>3.</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Gestionar los contratos de arrendamiento de los predios requeridos por la Fuerza Pública para brindar las garantías de seguridad a la población en proceso de reincorporación.</w:t>
      </w:r>
    </w:p>
    <w:p w14:paraId="7103797C" w14:textId="3C0B241F" w:rsidR="00451401" w:rsidRPr="00451401" w:rsidRDefault="00451401" w:rsidP="00C401E4">
      <w:pPr>
        <w:spacing w:after="0" w:line="276" w:lineRule="auto"/>
        <w:jc w:val="both"/>
        <w:rPr>
          <w:rFonts w:ascii="Verdana" w:hAnsi="Verdana" w:cs="Arial"/>
          <w:color w:val="000000" w:themeColor="text1"/>
          <w:sz w:val="24"/>
          <w:szCs w:val="24"/>
        </w:rPr>
      </w:pPr>
      <w:r w:rsidRPr="00451401">
        <w:rPr>
          <w:rFonts w:ascii="Verdana" w:hAnsi="Verdana" w:cs="Arial"/>
          <w:color w:val="000000" w:themeColor="text1"/>
          <w:sz w:val="24"/>
          <w:szCs w:val="24"/>
        </w:rPr>
        <w:t>4.</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Garantizar la gestión administrativa para atender las necesidades relacionadas con el suministro de bienes y servicios, saneamiento básico y demás necesidades sobrevinientes.</w:t>
      </w:r>
    </w:p>
    <w:p w14:paraId="1F0D41E8" w14:textId="44E68F1E" w:rsidR="00451401" w:rsidRDefault="00451401" w:rsidP="00C401E4">
      <w:pPr>
        <w:spacing w:after="0" w:line="276" w:lineRule="auto"/>
        <w:jc w:val="both"/>
        <w:rPr>
          <w:rFonts w:ascii="Verdana" w:hAnsi="Verdana" w:cs="Arial"/>
          <w:color w:val="000000" w:themeColor="text1"/>
          <w:sz w:val="24"/>
          <w:szCs w:val="24"/>
        </w:rPr>
      </w:pPr>
      <w:r w:rsidRPr="00451401">
        <w:rPr>
          <w:rFonts w:ascii="Verdana" w:hAnsi="Verdana" w:cs="Arial"/>
          <w:color w:val="000000" w:themeColor="text1"/>
          <w:sz w:val="24"/>
          <w:szCs w:val="24"/>
        </w:rPr>
        <w:t>5.</w:t>
      </w:r>
      <w:r w:rsidR="003F1734">
        <w:rPr>
          <w:rFonts w:ascii="Verdana" w:hAnsi="Verdana" w:cs="Arial"/>
          <w:color w:val="000000" w:themeColor="text1"/>
          <w:sz w:val="24"/>
          <w:szCs w:val="24"/>
        </w:rPr>
        <w:t xml:space="preserve"> </w:t>
      </w:r>
      <w:r w:rsidRPr="00451401">
        <w:rPr>
          <w:rFonts w:ascii="Verdana" w:hAnsi="Verdana" w:cs="Arial"/>
          <w:color w:val="000000" w:themeColor="text1"/>
          <w:sz w:val="24"/>
          <w:szCs w:val="24"/>
        </w:rPr>
        <w:t>Atender los traslados de los ETCR a áreas especiales de reincorporación en el marco de su consolidación o por razones de seguridad, riesgos ambientales o afectaciones sociales.</w:t>
      </w:r>
    </w:p>
    <w:p w14:paraId="0DFB56B5" w14:textId="77777777" w:rsidR="00B979FC" w:rsidRDefault="00B979FC" w:rsidP="00C401E4">
      <w:pPr>
        <w:spacing w:after="0" w:line="276" w:lineRule="auto"/>
        <w:jc w:val="both"/>
        <w:rPr>
          <w:rFonts w:ascii="Verdana" w:hAnsi="Verdana" w:cs="Arial"/>
          <w:color w:val="000000" w:themeColor="text1"/>
          <w:sz w:val="24"/>
          <w:szCs w:val="24"/>
        </w:rPr>
      </w:pPr>
    </w:p>
    <w:p w14:paraId="6CA37768" w14:textId="77777777" w:rsidR="004F6C17" w:rsidRDefault="004F6C17" w:rsidP="00C401E4">
      <w:pPr>
        <w:spacing w:after="0" w:line="276" w:lineRule="auto"/>
        <w:jc w:val="both"/>
        <w:rPr>
          <w:rFonts w:ascii="Verdana" w:hAnsi="Verdana" w:cs="Arial"/>
          <w:color w:val="000000" w:themeColor="text1"/>
          <w:sz w:val="24"/>
          <w:szCs w:val="24"/>
        </w:rPr>
      </w:pPr>
      <w:r w:rsidRPr="004F6C17">
        <w:rPr>
          <w:rFonts w:ascii="Verdana" w:hAnsi="Verdana" w:cs="Arial"/>
          <w:color w:val="000000" w:themeColor="text1"/>
          <w:sz w:val="24"/>
          <w:szCs w:val="24"/>
        </w:rPr>
        <w:t>Al cierre de 2025, la ARN gestionó la administración de 22 ETCR (anteriormente 23, hasta el cierre del ETCR Los Monos) mediante el convenio con el PNUD (Proyecto No. 138230). Durante la vigencia se realizaron pagos por valor de $33.755.827.054, distribuidos así: $1.662.783.547 para arrendamientos; $4.271.659.234 para la administración (salarios de administradores y campamenteros); y $27.821.384.273 para suministros, incluyendo saneamiento básico, servicios públicos y traslados.</w:t>
      </w:r>
    </w:p>
    <w:p w14:paraId="41EF86F4" w14:textId="77777777" w:rsidR="004F6C17" w:rsidRPr="004F6C17" w:rsidRDefault="004F6C17" w:rsidP="004F6C17">
      <w:pPr>
        <w:spacing w:after="0" w:line="276" w:lineRule="auto"/>
        <w:jc w:val="both"/>
        <w:rPr>
          <w:rFonts w:ascii="Verdana" w:hAnsi="Verdana" w:cs="Arial"/>
          <w:color w:val="000000" w:themeColor="text1"/>
          <w:sz w:val="24"/>
          <w:szCs w:val="24"/>
        </w:rPr>
      </w:pPr>
    </w:p>
    <w:p w14:paraId="5628C931" w14:textId="77777777" w:rsidR="004F6C17" w:rsidRPr="004F6C17" w:rsidRDefault="004F6C17" w:rsidP="004F6C17">
      <w:pPr>
        <w:spacing w:after="0" w:line="276" w:lineRule="auto"/>
        <w:jc w:val="both"/>
        <w:rPr>
          <w:rFonts w:ascii="Verdana" w:hAnsi="Verdana" w:cs="Arial"/>
          <w:color w:val="000000" w:themeColor="text1"/>
          <w:sz w:val="24"/>
          <w:szCs w:val="24"/>
        </w:rPr>
      </w:pPr>
      <w:r w:rsidRPr="004F6C17">
        <w:rPr>
          <w:rFonts w:ascii="Verdana" w:hAnsi="Verdana" w:cs="Arial"/>
          <w:color w:val="000000" w:themeColor="text1"/>
          <w:sz w:val="24"/>
          <w:szCs w:val="24"/>
        </w:rPr>
        <w:t>De esta manera, la ARN garantizó el adecuado funcionamiento de los ETCR, incluyendo la administración de los predios requeridos por la Fuerza Pública para brindar condiciones de seguridad a las comunidades en proceso de reincorporación.</w:t>
      </w:r>
    </w:p>
    <w:p w14:paraId="7B5FAB5D" w14:textId="77777777" w:rsidR="00402262" w:rsidRPr="00AB06F3" w:rsidRDefault="00402262" w:rsidP="00C25586">
      <w:pPr>
        <w:spacing w:after="0" w:line="276" w:lineRule="auto"/>
        <w:jc w:val="both"/>
        <w:rPr>
          <w:rFonts w:ascii="Verdana" w:hAnsi="Verdana" w:cs="Arial"/>
          <w:color w:val="000000" w:themeColor="text1"/>
          <w:sz w:val="24"/>
          <w:szCs w:val="24"/>
          <w:highlight w:val="darkGray"/>
        </w:rPr>
      </w:pPr>
    </w:p>
    <w:p w14:paraId="46C2A38E" w14:textId="5DD7909A" w:rsidR="00EC1DC8" w:rsidRPr="00EC1DC8" w:rsidRDefault="00EC1DC8" w:rsidP="00EC1DC8">
      <w:pPr>
        <w:pStyle w:val="Descripcin"/>
        <w:keepNext/>
        <w:jc w:val="center"/>
        <w:rPr>
          <w:rFonts w:ascii="Verdana" w:hAnsi="Verdana" w:cs="Arial"/>
          <w:i w:val="0"/>
          <w:iCs w:val="0"/>
          <w:color w:val="000000" w:themeColor="text1"/>
        </w:rPr>
      </w:pPr>
      <w:bookmarkStart w:id="58" w:name="_Toc225283165"/>
      <w:r w:rsidRPr="00EC1DC8">
        <w:rPr>
          <w:rFonts w:ascii="Verdana" w:hAnsi="Verdana" w:cs="Arial"/>
          <w:i w:val="0"/>
          <w:iCs w:val="0"/>
          <w:color w:val="000000" w:themeColor="text1"/>
        </w:rPr>
        <w:t xml:space="preserve">Tabla </w:t>
      </w:r>
      <w:r w:rsidRPr="00EC1DC8">
        <w:rPr>
          <w:rFonts w:ascii="Verdana" w:hAnsi="Verdana" w:cs="Arial"/>
          <w:i w:val="0"/>
          <w:iCs w:val="0"/>
          <w:color w:val="000000" w:themeColor="text1"/>
        </w:rPr>
        <w:fldChar w:fldCharType="begin"/>
      </w:r>
      <w:r w:rsidRPr="00EC1DC8">
        <w:rPr>
          <w:rFonts w:ascii="Verdana" w:hAnsi="Verdana" w:cs="Arial"/>
          <w:i w:val="0"/>
          <w:iCs w:val="0"/>
          <w:color w:val="000000" w:themeColor="text1"/>
        </w:rPr>
        <w:instrText xml:space="preserve"> SEQ Tabla \* ARABIC </w:instrText>
      </w:r>
      <w:r w:rsidRPr="00EC1DC8">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53</w:t>
      </w:r>
      <w:r w:rsidRPr="00EC1DC8">
        <w:rPr>
          <w:rFonts w:ascii="Verdana" w:hAnsi="Verdana" w:cs="Arial"/>
          <w:i w:val="0"/>
          <w:iCs w:val="0"/>
          <w:color w:val="000000" w:themeColor="text1"/>
        </w:rPr>
        <w:fldChar w:fldCharType="end"/>
      </w:r>
      <w:r w:rsidRPr="00EC1DC8">
        <w:rPr>
          <w:rFonts w:ascii="Verdana" w:hAnsi="Verdana" w:cs="Arial"/>
          <w:i w:val="0"/>
          <w:iCs w:val="0"/>
          <w:color w:val="000000" w:themeColor="text1"/>
        </w:rPr>
        <w:t>. Detalle de avance en el indicador C.459</w:t>
      </w:r>
      <w:bookmarkEnd w:id="58"/>
    </w:p>
    <w:tbl>
      <w:tblPr>
        <w:tblStyle w:val="Tablaconcuadrcula"/>
        <w:tblW w:w="0" w:type="auto"/>
        <w:tblInd w:w="-5"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3028"/>
        <w:gridCol w:w="3493"/>
        <w:gridCol w:w="2268"/>
      </w:tblGrid>
      <w:tr w:rsidR="48836A97" w:rsidRPr="00AB06F3" w14:paraId="0407497E" w14:textId="77777777" w:rsidTr="007E43A8">
        <w:trPr>
          <w:trHeight w:val="300"/>
        </w:trPr>
        <w:tc>
          <w:tcPr>
            <w:tcW w:w="3028" w:type="dxa"/>
          </w:tcPr>
          <w:p w14:paraId="21BC3828" w14:textId="77777777" w:rsidR="48836A97" w:rsidRPr="002B6F15" w:rsidRDefault="48836A97" w:rsidP="002B6F15">
            <w:pPr>
              <w:spacing w:line="276" w:lineRule="auto"/>
              <w:jc w:val="center"/>
              <w:rPr>
                <w:rFonts w:ascii="Verdana" w:hAnsi="Verdana" w:cs="Arial"/>
                <w:b/>
                <w:bCs/>
                <w:color w:val="000000" w:themeColor="text1"/>
                <w:sz w:val="18"/>
                <w:szCs w:val="18"/>
              </w:rPr>
            </w:pPr>
            <w:r w:rsidRPr="002B6F15">
              <w:rPr>
                <w:rFonts w:ascii="Verdana" w:hAnsi="Verdana" w:cs="Arial"/>
                <w:b/>
                <w:bCs/>
                <w:color w:val="000000" w:themeColor="text1"/>
                <w:sz w:val="18"/>
                <w:szCs w:val="18"/>
              </w:rPr>
              <w:t>Indicador del PMI</w:t>
            </w:r>
          </w:p>
        </w:tc>
        <w:tc>
          <w:tcPr>
            <w:tcW w:w="3493" w:type="dxa"/>
          </w:tcPr>
          <w:p w14:paraId="2D914E5D" w14:textId="77777777" w:rsidR="48836A97" w:rsidRPr="002B6F15" w:rsidRDefault="48836A97" w:rsidP="002B6F15">
            <w:pPr>
              <w:spacing w:line="276" w:lineRule="auto"/>
              <w:jc w:val="center"/>
              <w:rPr>
                <w:rFonts w:ascii="Verdana" w:hAnsi="Verdana" w:cs="Arial"/>
                <w:b/>
                <w:bCs/>
                <w:color w:val="000000" w:themeColor="text1"/>
                <w:sz w:val="18"/>
                <w:szCs w:val="18"/>
              </w:rPr>
            </w:pPr>
            <w:r w:rsidRPr="002B6F15">
              <w:rPr>
                <w:rFonts w:ascii="Verdana" w:hAnsi="Verdana" w:cs="Arial"/>
                <w:b/>
                <w:bCs/>
                <w:color w:val="000000" w:themeColor="text1"/>
                <w:sz w:val="18"/>
                <w:szCs w:val="18"/>
              </w:rPr>
              <w:t>Principales Logros</w:t>
            </w:r>
          </w:p>
        </w:tc>
        <w:tc>
          <w:tcPr>
            <w:tcW w:w="2268" w:type="dxa"/>
          </w:tcPr>
          <w:p w14:paraId="61D5CF6C" w14:textId="385D01DA" w:rsidR="48836A97" w:rsidRPr="002B6F15" w:rsidRDefault="48836A97" w:rsidP="002B6F15">
            <w:pPr>
              <w:spacing w:line="276" w:lineRule="auto"/>
              <w:jc w:val="center"/>
              <w:rPr>
                <w:rFonts w:ascii="Verdana" w:hAnsi="Verdana" w:cs="Arial"/>
                <w:b/>
                <w:bCs/>
                <w:color w:val="000000" w:themeColor="text1"/>
                <w:sz w:val="18"/>
                <w:szCs w:val="18"/>
              </w:rPr>
            </w:pPr>
            <w:r w:rsidRPr="002B6F15">
              <w:rPr>
                <w:rFonts w:ascii="Verdana" w:hAnsi="Verdana" w:cs="Arial"/>
                <w:b/>
                <w:bCs/>
                <w:color w:val="000000" w:themeColor="text1"/>
                <w:sz w:val="18"/>
                <w:szCs w:val="18"/>
              </w:rPr>
              <w:t>Recursos 202</w:t>
            </w:r>
            <w:r w:rsidR="00794ADA">
              <w:rPr>
                <w:rFonts w:ascii="Verdana" w:hAnsi="Verdana" w:cs="Arial"/>
                <w:b/>
                <w:bCs/>
                <w:color w:val="000000" w:themeColor="text1"/>
                <w:sz w:val="18"/>
                <w:szCs w:val="18"/>
              </w:rPr>
              <w:t>5</w:t>
            </w:r>
          </w:p>
        </w:tc>
      </w:tr>
      <w:tr w:rsidR="48836A97" w:rsidRPr="00AB06F3" w14:paraId="125D07AE" w14:textId="77777777" w:rsidTr="007E43A8">
        <w:trPr>
          <w:trHeight w:val="300"/>
        </w:trPr>
        <w:tc>
          <w:tcPr>
            <w:tcW w:w="3028" w:type="dxa"/>
          </w:tcPr>
          <w:p w14:paraId="5B02826E" w14:textId="2ECBEC93" w:rsidR="48836A97" w:rsidRPr="00AB06F3" w:rsidRDefault="00D5151A" w:rsidP="002B6F15">
            <w:pPr>
              <w:spacing w:line="276" w:lineRule="auto"/>
              <w:jc w:val="both"/>
              <w:rPr>
                <w:rFonts w:ascii="Verdana" w:hAnsi="Verdana" w:cs="Arial"/>
                <w:color w:val="000000" w:themeColor="text1"/>
                <w:sz w:val="18"/>
                <w:szCs w:val="18"/>
              </w:rPr>
            </w:pPr>
            <w:r w:rsidRPr="00AB06F3">
              <w:rPr>
                <w:rFonts w:ascii="Verdana" w:hAnsi="Verdana" w:cs="Arial"/>
                <w:sz w:val="18"/>
                <w:szCs w:val="18"/>
              </w:rPr>
              <w:t>C.459 Espacios Transitorios de Capacitación y Reincorporación, dispuestos y en funcionamiento según lo establecido en el decreto 1274 de 2017</w:t>
            </w:r>
          </w:p>
        </w:tc>
        <w:tc>
          <w:tcPr>
            <w:tcW w:w="3493" w:type="dxa"/>
          </w:tcPr>
          <w:p w14:paraId="7750021E" w14:textId="5C8750AB" w:rsidR="48836A97" w:rsidRPr="00AB06F3" w:rsidRDefault="00E350A3" w:rsidP="002B6F15">
            <w:pPr>
              <w:spacing w:line="276" w:lineRule="auto"/>
              <w:jc w:val="both"/>
              <w:rPr>
                <w:rFonts w:ascii="Verdana" w:hAnsi="Verdana" w:cs="Arial"/>
                <w:color w:val="000000" w:themeColor="text1"/>
                <w:sz w:val="18"/>
                <w:szCs w:val="18"/>
              </w:rPr>
            </w:pPr>
            <w:r w:rsidRPr="00E350A3">
              <w:rPr>
                <w:rFonts w:ascii="Verdana" w:hAnsi="Verdana" w:cs="Arial"/>
                <w:sz w:val="18"/>
                <w:szCs w:val="18"/>
              </w:rPr>
              <w:t>Se garantizó la atención de las necesidades operativas para el funcionamiento de los Espacios Territoriales de Capacitación y Reincorporación, mediante la gestión de arrendamientos, el suministro de servicios públicos, la implementación de soluciones de saneamiento básico y la realización de traslados cuando fue requerido, entre otras acciones orientadas a asegurar condiciones adecuadas para el proceso de reincorporación de las personas firmantes del Acuerdo de Paz.</w:t>
            </w:r>
          </w:p>
        </w:tc>
        <w:tc>
          <w:tcPr>
            <w:tcW w:w="2268" w:type="dxa"/>
          </w:tcPr>
          <w:p w14:paraId="5E848222" w14:textId="77777777" w:rsidR="00E350A3" w:rsidRDefault="5B5FCDB0" w:rsidP="002B6F15">
            <w:pPr>
              <w:spacing w:line="276" w:lineRule="auto"/>
              <w:jc w:val="both"/>
              <w:rPr>
                <w:rFonts w:ascii="Verdana" w:hAnsi="Verdana" w:cs="Arial"/>
                <w:sz w:val="18"/>
                <w:szCs w:val="18"/>
              </w:rPr>
            </w:pPr>
            <w:r w:rsidRPr="00AB06F3">
              <w:rPr>
                <w:rFonts w:ascii="Verdana" w:hAnsi="Verdana" w:cs="Arial"/>
                <w:sz w:val="18"/>
                <w:szCs w:val="18"/>
              </w:rPr>
              <w:t>$</w:t>
            </w:r>
            <w:r w:rsidR="00A34DC5">
              <w:t xml:space="preserve"> </w:t>
            </w:r>
            <w:r w:rsidR="00A34DC5" w:rsidRPr="00A34DC5">
              <w:rPr>
                <w:rFonts w:ascii="Verdana" w:hAnsi="Verdana" w:cs="Arial"/>
                <w:sz w:val="18"/>
                <w:szCs w:val="18"/>
              </w:rPr>
              <w:t>33.755.827.054</w:t>
            </w:r>
            <w:r w:rsidR="00E350A3">
              <w:rPr>
                <w:rFonts w:ascii="Verdana" w:hAnsi="Verdana" w:cs="Arial"/>
                <w:sz w:val="18"/>
                <w:szCs w:val="18"/>
              </w:rPr>
              <w:t xml:space="preserve"> </w:t>
            </w:r>
            <w:r w:rsidR="0003276B">
              <w:rPr>
                <w:rFonts w:ascii="Verdana" w:hAnsi="Verdana" w:cs="Arial"/>
                <w:sz w:val="18"/>
                <w:szCs w:val="18"/>
              </w:rPr>
              <w:t>pagos realizados</w:t>
            </w:r>
            <w:r w:rsidR="00E350A3">
              <w:rPr>
                <w:rFonts w:ascii="Verdana" w:hAnsi="Verdana" w:cs="Arial"/>
                <w:sz w:val="18"/>
                <w:szCs w:val="18"/>
              </w:rPr>
              <w:t xml:space="preserve"> </w:t>
            </w:r>
          </w:p>
          <w:p w14:paraId="23E98BBB" w14:textId="1C7928A0" w:rsidR="48836A97" w:rsidRPr="00AB06F3" w:rsidRDefault="007D64A1" w:rsidP="002B6F15">
            <w:pPr>
              <w:spacing w:line="276" w:lineRule="auto"/>
              <w:jc w:val="both"/>
              <w:rPr>
                <w:rFonts w:ascii="Verdana" w:hAnsi="Verdana" w:cs="Arial"/>
                <w:sz w:val="18"/>
                <w:szCs w:val="18"/>
              </w:rPr>
            </w:pPr>
            <w:r w:rsidRPr="00AB06F3">
              <w:rPr>
                <w:rFonts w:ascii="Verdana" w:hAnsi="Verdana" w:cs="Arial"/>
                <w:sz w:val="18"/>
                <w:szCs w:val="18"/>
              </w:rPr>
              <w:t>Fuente</w:t>
            </w:r>
            <w:r w:rsidR="00C401E4">
              <w:rPr>
                <w:rFonts w:ascii="Verdana" w:hAnsi="Verdana" w:cs="Arial"/>
                <w:sz w:val="18"/>
                <w:szCs w:val="18"/>
              </w:rPr>
              <w:t xml:space="preserve">: </w:t>
            </w:r>
            <w:r w:rsidR="00C358F8" w:rsidRPr="00AB06F3">
              <w:rPr>
                <w:rFonts w:ascii="Verdana" w:hAnsi="Verdana" w:cs="Arial"/>
                <w:sz w:val="18"/>
                <w:szCs w:val="18"/>
              </w:rPr>
              <w:t xml:space="preserve">recursos </w:t>
            </w:r>
            <w:r w:rsidR="00C401E4">
              <w:rPr>
                <w:rFonts w:ascii="Verdana" w:hAnsi="Verdana" w:cs="Arial"/>
                <w:sz w:val="18"/>
                <w:szCs w:val="18"/>
              </w:rPr>
              <w:t xml:space="preserve">de </w:t>
            </w:r>
            <w:r w:rsidR="00C358F8" w:rsidRPr="00AB06F3">
              <w:rPr>
                <w:rFonts w:ascii="Verdana" w:hAnsi="Verdana" w:cs="Arial"/>
                <w:sz w:val="18"/>
                <w:szCs w:val="18"/>
              </w:rPr>
              <w:t>funcionamiento</w:t>
            </w:r>
          </w:p>
        </w:tc>
      </w:tr>
    </w:tbl>
    <w:p w14:paraId="44B23A86"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520D7BC" w14:textId="508606FA" w:rsidR="00B709EF" w:rsidRDefault="00B709EF" w:rsidP="002B6F15">
      <w:pPr>
        <w:spacing w:after="0" w:line="276" w:lineRule="auto"/>
        <w:jc w:val="both"/>
        <w:rPr>
          <w:rFonts w:ascii="Verdana" w:hAnsi="Verdana" w:cs="Arial"/>
          <w:sz w:val="24"/>
          <w:szCs w:val="24"/>
          <w:highlight w:val="darkGray"/>
        </w:rPr>
      </w:pPr>
    </w:p>
    <w:p w14:paraId="51E0BEEE" w14:textId="638F6994" w:rsidR="00B709EF" w:rsidRPr="00AB06F3" w:rsidRDefault="05B90BA4" w:rsidP="00031DF5">
      <w:pPr>
        <w:pStyle w:val="Ttulo5"/>
        <w:numPr>
          <w:ilvl w:val="0"/>
          <w:numId w:val="11"/>
        </w:numPr>
        <w:spacing w:after="0" w:line="276" w:lineRule="auto"/>
        <w:jc w:val="both"/>
        <w:rPr>
          <w:rFonts w:ascii="Verdana" w:hAnsi="Verdana" w:cs="Arial"/>
          <w:color w:val="000000" w:themeColor="text1"/>
          <w:sz w:val="24"/>
          <w:szCs w:val="24"/>
        </w:rPr>
      </w:pPr>
      <w:r w:rsidRPr="00AB06F3">
        <w:rPr>
          <w:rFonts w:ascii="Verdana" w:hAnsi="Verdana" w:cs="Arial"/>
          <w:color w:val="000000" w:themeColor="text1"/>
          <w:sz w:val="24"/>
          <w:szCs w:val="24"/>
        </w:rPr>
        <w:t xml:space="preserve">Regionalización de las acciones y beneficiarios: </w:t>
      </w:r>
      <w:r w:rsidR="002B6F15">
        <w:rPr>
          <w:rFonts w:ascii="Verdana" w:hAnsi="Verdana" w:cs="Arial"/>
          <w:color w:val="000000" w:themeColor="text1"/>
          <w:sz w:val="24"/>
          <w:szCs w:val="24"/>
        </w:rPr>
        <w:t xml:space="preserve"> </w:t>
      </w:r>
    </w:p>
    <w:p w14:paraId="4919A4EA" w14:textId="77777777" w:rsidR="00C00A18" w:rsidRPr="00AB06F3" w:rsidRDefault="00C00A18" w:rsidP="00C25586">
      <w:pPr>
        <w:spacing w:after="0" w:line="276" w:lineRule="auto"/>
        <w:jc w:val="center"/>
        <w:rPr>
          <w:rFonts w:ascii="Verdana" w:hAnsi="Verdana" w:cs="Arial"/>
          <w:color w:val="000000" w:themeColor="text1"/>
          <w:sz w:val="18"/>
          <w:szCs w:val="18"/>
        </w:rPr>
      </w:pPr>
    </w:p>
    <w:p w14:paraId="371A8B17" w14:textId="4F775197" w:rsidR="00EC1DC8" w:rsidRPr="00EC1DC8" w:rsidRDefault="00EC1DC8" w:rsidP="00EC1DC8">
      <w:pPr>
        <w:pStyle w:val="Descripcin"/>
        <w:keepNext/>
        <w:jc w:val="center"/>
        <w:rPr>
          <w:rFonts w:ascii="Verdana" w:eastAsia="Verdana" w:hAnsi="Verdana" w:cs="Arial"/>
          <w:i w:val="0"/>
          <w:iCs w:val="0"/>
          <w:color w:val="000000" w:themeColor="text1"/>
        </w:rPr>
      </w:pPr>
      <w:bookmarkStart w:id="59" w:name="_Toc225283166"/>
      <w:r w:rsidRPr="00EC1DC8">
        <w:rPr>
          <w:rFonts w:ascii="Verdana" w:eastAsia="Verdana" w:hAnsi="Verdana" w:cs="Arial"/>
          <w:i w:val="0"/>
          <w:iCs w:val="0"/>
          <w:color w:val="000000" w:themeColor="text1"/>
        </w:rPr>
        <w:t xml:space="preserve">Tabla </w:t>
      </w:r>
      <w:r w:rsidRPr="00EC1DC8">
        <w:rPr>
          <w:rFonts w:ascii="Verdana" w:eastAsia="Verdana" w:hAnsi="Verdana" w:cs="Arial"/>
          <w:i w:val="0"/>
          <w:iCs w:val="0"/>
          <w:color w:val="000000" w:themeColor="text1"/>
        </w:rPr>
        <w:fldChar w:fldCharType="begin"/>
      </w:r>
      <w:r w:rsidRPr="00EC1DC8">
        <w:rPr>
          <w:rFonts w:ascii="Verdana" w:eastAsia="Verdana" w:hAnsi="Verdana" w:cs="Arial"/>
          <w:i w:val="0"/>
          <w:iCs w:val="0"/>
          <w:color w:val="000000" w:themeColor="text1"/>
        </w:rPr>
        <w:instrText xml:space="preserve"> SEQ Tabla \* ARABIC </w:instrText>
      </w:r>
      <w:r w:rsidRPr="00EC1DC8">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54</w:t>
      </w:r>
      <w:r w:rsidRPr="00EC1DC8">
        <w:rPr>
          <w:rFonts w:ascii="Verdana" w:eastAsia="Verdana" w:hAnsi="Verdana" w:cs="Arial"/>
          <w:i w:val="0"/>
          <w:iCs w:val="0"/>
          <w:color w:val="000000" w:themeColor="text1"/>
        </w:rPr>
        <w:fldChar w:fldCharType="end"/>
      </w:r>
      <w:r w:rsidRPr="00EC1DC8">
        <w:rPr>
          <w:rFonts w:ascii="Verdana" w:eastAsia="Verdana" w:hAnsi="Verdana" w:cs="Arial"/>
          <w:i w:val="0"/>
          <w:iCs w:val="0"/>
          <w:color w:val="000000" w:themeColor="text1"/>
        </w:rPr>
        <w:t>. Espacios Transitorios de Capacitación y Reincorporación, dispuestos y en funcionamiento</w:t>
      </w:r>
      <w:bookmarkEnd w:id="59"/>
    </w:p>
    <w:tbl>
      <w:tblPr>
        <w:tblW w:w="7914" w:type="dxa"/>
        <w:jc w:val="cente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left w:w="70" w:type="dxa"/>
          <w:right w:w="70" w:type="dxa"/>
        </w:tblCellMar>
        <w:tblLook w:val="04A0" w:firstRow="1" w:lastRow="0" w:firstColumn="1" w:lastColumn="0" w:noHBand="0" w:noVBand="1"/>
        <w:tblCaption w:val="Detalle de regionalización del indicador"/>
        <w:tblDescription w:val="Tabla que contiene los siguientes items: indicador del PMI, departamento, Municipio, PDET y ETCR.&#10;"/>
      </w:tblPr>
      <w:tblGrid>
        <w:gridCol w:w="1654"/>
        <w:gridCol w:w="1929"/>
        <w:gridCol w:w="2150"/>
        <w:gridCol w:w="1119"/>
        <w:gridCol w:w="1062"/>
      </w:tblGrid>
      <w:tr w:rsidR="00097E3D" w:rsidRPr="00AB06F3" w14:paraId="19595037" w14:textId="77777777" w:rsidTr="007B56EC">
        <w:trPr>
          <w:trHeight w:val="450"/>
          <w:tblHeader/>
          <w:jc w:val="center"/>
        </w:trPr>
        <w:tc>
          <w:tcPr>
            <w:tcW w:w="1654" w:type="dxa"/>
            <w:vMerge w:val="restart"/>
            <w:vAlign w:val="center"/>
            <w:hideMark/>
          </w:tcPr>
          <w:p w14:paraId="0146DB35"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themeColor="text1"/>
                <w:kern w:val="0"/>
                <w:sz w:val="18"/>
                <w:szCs w:val="18"/>
                <w:lang w:eastAsia="es-CO"/>
                <w14:ligatures w14:val="none"/>
              </w:rPr>
              <w:t>Indicador del PMI</w:t>
            </w:r>
          </w:p>
        </w:tc>
        <w:tc>
          <w:tcPr>
            <w:tcW w:w="1929" w:type="dxa"/>
            <w:vMerge w:val="restart"/>
            <w:vAlign w:val="center"/>
            <w:hideMark/>
          </w:tcPr>
          <w:p w14:paraId="16543648"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kern w:val="0"/>
                <w:sz w:val="18"/>
                <w:szCs w:val="18"/>
                <w:lang w:eastAsia="es-CO"/>
                <w14:ligatures w14:val="none"/>
              </w:rPr>
              <w:t>Departamento</w:t>
            </w:r>
          </w:p>
        </w:tc>
        <w:tc>
          <w:tcPr>
            <w:tcW w:w="2150" w:type="dxa"/>
            <w:vMerge w:val="restart"/>
            <w:vAlign w:val="center"/>
            <w:hideMark/>
          </w:tcPr>
          <w:p w14:paraId="37B31A36"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kern w:val="0"/>
                <w:sz w:val="18"/>
                <w:szCs w:val="18"/>
                <w:lang w:eastAsia="es-CO"/>
                <w14:ligatures w14:val="none"/>
              </w:rPr>
              <w:t>Municipio</w:t>
            </w:r>
          </w:p>
        </w:tc>
        <w:tc>
          <w:tcPr>
            <w:tcW w:w="1119" w:type="dxa"/>
            <w:vMerge w:val="restart"/>
            <w:vAlign w:val="center"/>
            <w:hideMark/>
          </w:tcPr>
          <w:p w14:paraId="6D01557B"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kern w:val="0"/>
                <w:sz w:val="18"/>
                <w:szCs w:val="18"/>
                <w:lang w:eastAsia="es-CO"/>
                <w14:ligatures w14:val="none"/>
              </w:rPr>
              <w:t>PDET</w:t>
            </w:r>
          </w:p>
        </w:tc>
        <w:tc>
          <w:tcPr>
            <w:tcW w:w="1062" w:type="dxa"/>
            <w:vMerge w:val="restart"/>
            <w:vAlign w:val="center"/>
            <w:hideMark/>
          </w:tcPr>
          <w:p w14:paraId="67393955" w14:textId="77777777" w:rsidR="00097E3D" w:rsidRPr="002B6F15" w:rsidRDefault="00097E3D" w:rsidP="00C25586">
            <w:pPr>
              <w:spacing w:after="0" w:line="276" w:lineRule="auto"/>
              <w:jc w:val="center"/>
              <w:rPr>
                <w:rFonts w:ascii="Verdana" w:eastAsia="Times New Roman" w:hAnsi="Verdana" w:cs="Arial"/>
                <w:b/>
                <w:bCs/>
                <w:color w:val="000000"/>
                <w:kern w:val="0"/>
                <w:sz w:val="18"/>
                <w:szCs w:val="18"/>
                <w:lang w:eastAsia="es-CO"/>
                <w14:ligatures w14:val="none"/>
              </w:rPr>
            </w:pPr>
            <w:r w:rsidRPr="002B6F15">
              <w:rPr>
                <w:rFonts w:ascii="Verdana" w:eastAsia="Times New Roman" w:hAnsi="Verdana" w:cs="Arial"/>
                <w:b/>
                <w:bCs/>
                <w:color w:val="000000"/>
                <w:kern w:val="0"/>
                <w:sz w:val="18"/>
                <w:szCs w:val="18"/>
                <w:lang w:eastAsia="es-CO"/>
                <w14:ligatures w14:val="none"/>
              </w:rPr>
              <w:t>ETCR</w:t>
            </w:r>
          </w:p>
        </w:tc>
      </w:tr>
      <w:tr w:rsidR="00097E3D" w:rsidRPr="00AB06F3" w14:paraId="684DB2E2" w14:textId="77777777" w:rsidTr="00C71D0A">
        <w:trPr>
          <w:trHeight w:val="450"/>
          <w:jc w:val="center"/>
        </w:trPr>
        <w:tc>
          <w:tcPr>
            <w:tcW w:w="1654" w:type="dxa"/>
            <w:vMerge/>
            <w:vAlign w:val="center"/>
            <w:hideMark/>
          </w:tcPr>
          <w:p w14:paraId="12671BC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Merge/>
            <w:vAlign w:val="center"/>
            <w:hideMark/>
          </w:tcPr>
          <w:p w14:paraId="18A0A9C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2150" w:type="dxa"/>
            <w:vMerge/>
            <w:vAlign w:val="center"/>
            <w:hideMark/>
          </w:tcPr>
          <w:p w14:paraId="669E425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119" w:type="dxa"/>
            <w:vMerge/>
            <w:vAlign w:val="center"/>
            <w:hideMark/>
          </w:tcPr>
          <w:p w14:paraId="6064A20E"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062" w:type="dxa"/>
            <w:vMerge/>
            <w:vAlign w:val="center"/>
            <w:hideMark/>
          </w:tcPr>
          <w:p w14:paraId="0FA9DCBD"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r>
      <w:tr w:rsidR="00097E3D" w:rsidRPr="00AB06F3" w14:paraId="4B6EE0FD" w14:textId="77777777" w:rsidTr="00097E3D">
        <w:trPr>
          <w:trHeight w:val="342"/>
          <w:jc w:val="center"/>
        </w:trPr>
        <w:tc>
          <w:tcPr>
            <w:tcW w:w="1654" w:type="dxa"/>
            <w:vMerge w:val="restart"/>
            <w:vAlign w:val="center"/>
            <w:hideMark/>
          </w:tcPr>
          <w:p w14:paraId="07D47F0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C.459 Espacios Transitorios de Capacitación y Reincorporación, dispuestos y en funcionamiento según lo establecido en el decreto 1274 de 2017</w:t>
            </w:r>
          </w:p>
        </w:tc>
        <w:tc>
          <w:tcPr>
            <w:tcW w:w="1929" w:type="dxa"/>
            <w:hideMark/>
          </w:tcPr>
          <w:p w14:paraId="7E19910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Antioquia</w:t>
            </w:r>
          </w:p>
        </w:tc>
        <w:tc>
          <w:tcPr>
            <w:tcW w:w="2150" w:type="dxa"/>
            <w:vAlign w:val="center"/>
            <w:hideMark/>
          </w:tcPr>
          <w:p w14:paraId="35DE55F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Anorí</w:t>
            </w:r>
          </w:p>
        </w:tc>
        <w:tc>
          <w:tcPr>
            <w:tcW w:w="1119" w:type="dxa"/>
            <w:vAlign w:val="center"/>
            <w:hideMark/>
          </w:tcPr>
          <w:p w14:paraId="2D94F86A"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470AD4D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4E0F5FA" w14:textId="77777777" w:rsidTr="00097E3D">
        <w:trPr>
          <w:trHeight w:val="342"/>
          <w:jc w:val="center"/>
        </w:trPr>
        <w:tc>
          <w:tcPr>
            <w:tcW w:w="1654" w:type="dxa"/>
            <w:vMerge/>
            <w:vAlign w:val="center"/>
            <w:hideMark/>
          </w:tcPr>
          <w:p w14:paraId="77BA1AC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hideMark/>
          </w:tcPr>
          <w:p w14:paraId="39A15DF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Antioquia</w:t>
            </w:r>
          </w:p>
        </w:tc>
        <w:tc>
          <w:tcPr>
            <w:tcW w:w="2150" w:type="dxa"/>
            <w:vAlign w:val="center"/>
            <w:hideMark/>
          </w:tcPr>
          <w:p w14:paraId="7E9DBBE4"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Dabeiba</w:t>
            </w:r>
          </w:p>
        </w:tc>
        <w:tc>
          <w:tcPr>
            <w:tcW w:w="1119" w:type="dxa"/>
            <w:vAlign w:val="center"/>
            <w:hideMark/>
          </w:tcPr>
          <w:p w14:paraId="043E15C3"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5CD59E1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46DA57B8" w14:textId="77777777" w:rsidTr="00097E3D">
        <w:trPr>
          <w:trHeight w:val="342"/>
          <w:jc w:val="center"/>
        </w:trPr>
        <w:tc>
          <w:tcPr>
            <w:tcW w:w="1654" w:type="dxa"/>
            <w:vMerge/>
            <w:vAlign w:val="center"/>
            <w:hideMark/>
          </w:tcPr>
          <w:p w14:paraId="2549739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hideMark/>
          </w:tcPr>
          <w:p w14:paraId="0DE4B77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Antioquia</w:t>
            </w:r>
          </w:p>
        </w:tc>
        <w:tc>
          <w:tcPr>
            <w:tcW w:w="2150" w:type="dxa"/>
            <w:vAlign w:val="center"/>
            <w:hideMark/>
          </w:tcPr>
          <w:p w14:paraId="1A5FD00A"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Mutatá</w:t>
            </w:r>
          </w:p>
        </w:tc>
        <w:tc>
          <w:tcPr>
            <w:tcW w:w="1119" w:type="dxa"/>
            <w:vAlign w:val="center"/>
            <w:hideMark/>
          </w:tcPr>
          <w:p w14:paraId="68BCC7C0"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2D4812D4"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A5273B3" w14:textId="77777777" w:rsidTr="00097E3D">
        <w:trPr>
          <w:trHeight w:val="342"/>
          <w:jc w:val="center"/>
        </w:trPr>
        <w:tc>
          <w:tcPr>
            <w:tcW w:w="1654" w:type="dxa"/>
            <w:vMerge/>
            <w:vAlign w:val="center"/>
            <w:hideMark/>
          </w:tcPr>
          <w:p w14:paraId="4164056F"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hideMark/>
          </w:tcPr>
          <w:p w14:paraId="35315A2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Antioquia</w:t>
            </w:r>
          </w:p>
        </w:tc>
        <w:tc>
          <w:tcPr>
            <w:tcW w:w="2150" w:type="dxa"/>
            <w:vAlign w:val="center"/>
            <w:hideMark/>
          </w:tcPr>
          <w:p w14:paraId="415B5F8E" w14:textId="1CF09270" w:rsidR="00097E3D" w:rsidRPr="00AB06F3" w:rsidRDefault="00C9666B" w:rsidP="00C25586">
            <w:pPr>
              <w:spacing w:after="0" w:line="276" w:lineRule="auto"/>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Yalí</w:t>
            </w:r>
          </w:p>
        </w:tc>
        <w:tc>
          <w:tcPr>
            <w:tcW w:w="1119" w:type="dxa"/>
            <w:vAlign w:val="center"/>
            <w:hideMark/>
          </w:tcPr>
          <w:p w14:paraId="696DB3E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309CC080"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BEC2AD0" w14:textId="77777777" w:rsidTr="00097E3D">
        <w:trPr>
          <w:trHeight w:val="342"/>
          <w:jc w:val="center"/>
        </w:trPr>
        <w:tc>
          <w:tcPr>
            <w:tcW w:w="1654" w:type="dxa"/>
            <w:vMerge/>
            <w:vAlign w:val="center"/>
            <w:hideMark/>
          </w:tcPr>
          <w:p w14:paraId="282D8C1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663538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Caquetá</w:t>
            </w:r>
          </w:p>
        </w:tc>
        <w:tc>
          <w:tcPr>
            <w:tcW w:w="2150" w:type="dxa"/>
            <w:vAlign w:val="center"/>
            <w:hideMark/>
          </w:tcPr>
          <w:p w14:paraId="5B8906DD"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El Doncello</w:t>
            </w:r>
          </w:p>
        </w:tc>
        <w:tc>
          <w:tcPr>
            <w:tcW w:w="1119" w:type="dxa"/>
            <w:vAlign w:val="center"/>
            <w:hideMark/>
          </w:tcPr>
          <w:p w14:paraId="32D9206E"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4EBDF520" w14:textId="01C5EB1B" w:rsidR="00097E3D" w:rsidRPr="00AB06F3" w:rsidRDefault="007E3AD5" w:rsidP="00C25586">
            <w:pPr>
              <w:spacing w:after="0" w:line="276" w:lineRule="auto"/>
              <w:jc w:val="center"/>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2</w:t>
            </w:r>
          </w:p>
        </w:tc>
      </w:tr>
      <w:tr w:rsidR="00097E3D" w:rsidRPr="00AB06F3" w14:paraId="05A4C4D0" w14:textId="77777777" w:rsidTr="00097E3D">
        <w:trPr>
          <w:trHeight w:val="342"/>
          <w:jc w:val="center"/>
        </w:trPr>
        <w:tc>
          <w:tcPr>
            <w:tcW w:w="1654" w:type="dxa"/>
            <w:vMerge/>
            <w:vAlign w:val="center"/>
            <w:hideMark/>
          </w:tcPr>
          <w:p w14:paraId="5E335EC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3C7E3D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Caquetá</w:t>
            </w:r>
          </w:p>
        </w:tc>
        <w:tc>
          <w:tcPr>
            <w:tcW w:w="2150" w:type="dxa"/>
            <w:vAlign w:val="center"/>
            <w:hideMark/>
          </w:tcPr>
          <w:p w14:paraId="567B9580" w14:textId="485A0D5E"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La Montañita</w:t>
            </w:r>
          </w:p>
        </w:tc>
        <w:tc>
          <w:tcPr>
            <w:tcW w:w="1119" w:type="dxa"/>
            <w:vAlign w:val="center"/>
            <w:hideMark/>
          </w:tcPr>
          <w:p w14:paraId="5E2341EA"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09A495DD"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101750E4" w14:textId="77777777" w:rsidTr="00097E3D">
        <w:trPr>
          <w:trHeight w:val="342"/>
          <w:jc w:val="center"/>
        </w:trPr>
        <w:tc>
          <w:tcPr>
            <w:tcW w:w="1654" w:type="dxa"/>
            <w:vMerge/>
            <w:vAlign w:val="center"/>
            <w:hideMark/>
          </w:tcPr>
          <w:p w14:paraId="1AD4E75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4BC142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Cauca</w:t>
            </w:r>
          </w:p>
        </w:tc>
        <w:tc>
          <w:tcPr>
            <w:tcW w:w="2150" w:type="dxa"/>
            <w:vAlign w:val="center"/>
            <w:hideMark/>
          </w:tcPr>
          <w:p w14:paraId="6E5D04CF"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Caldono</w:t>
            </w:r>
          </w:p>
        </w:tc>
        <w:tc>
          <w:tcPr>
            <w:tcW w:w="1119" w:type="dxa"/>
            <w:vAlign w:val="center"/>
            <w:hideMark/>
          </w:tcPr>
          <w:p w14:paraId="018E7CB4"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5252B07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33D75D02" w14:textId="77777777" w:rsidTr="00097E3D">
        <w:trPr>
          <w:trHeight w:val="342"/>
          <w:jc w:val="center"/>
        </w:trPr>
        <w:tc>
          <w:tcPr>
            <w:tcW w:w="1654" w:type="dxa"/>
            <w:vMerge/>
            <w:vAlign w:val="center"/>
            <w:hideMark/>
          </w:tcPr>
          <w:p w14:paraId="6986FD7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AB59DE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Cauca</w:t>
            </w:r>
          </w:p>
        </w:tc>
        <w:tc>
          <w:tcPr>
            <w:tcW w:w="2150" w:type="dxa"/>
            <w:vAlign w:val="center"/>
            <w:hideMark/>
          </w:tcPr>
          <w:p w14:paraId="2476CC08"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Miranda</w:t>
            </w:r>
          </w:p>
        </w:tc>
        <w:tc>
          <w:tcPr>
            <w:tcW w:w="1119" w:type="dxa"/>
            <w:vAlign w:val="center"/>
            <w:hideMark/>
          </w:tcPr>
          <w:p w14:paraId="7C7E1C27"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0D0B0ECA"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7F48153" w14:textId="77777777" w:rsidTr="00097E3D">
        <w:trPr>
          <w:trHeight w:val="342"/>
          <w:jc w:val="center"/>
        </w:trPr>
        <w:tc>
          <w:tcPr>
            <w:tcW w:w="1654" w:type="dxa"/>
            <w:vMerge/>
            <w:vAlign w:val="center"/>
            <w:hideMark/>
          </w:tcPr>
          <w:p w14:paraId="6817E99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86869B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Cauca</w:t>
            </w:r>
          </w:p>
        </w:tc>
        <w:tc>
          <w:tcPr>
            <w:tcW w:w="2150" w:type="dxa"/>
            <w:vAlign w:val="center"/>
            <w:hideMark/>
          </w:tcPr>
          <w:p w14:paraId="58AB9B78" w14:textId="7A46F2C3" w:rsidR="00097E3D" w:rsidRPr="00AB06F3" w:rsidRDefault="007B56EC" w:rsidP="00C25586">
            <w:pPr>
              <w:spacing w:after="0" w:line="276" w:lineRule="auto"/>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El Bordo</w:t>
            </w:r>
          </w:p>
        </w:tc>
        <w:tc>
          <w:tcPr>
            <w:tcW w:w="1119" w:type="dxa"/>
            <w:vAlign w:val="center"/>
            <w:hideMark/>
          </w:tcPr>
          <w:p w14:paraId="4A78214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7DA1CD6D"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4A0AAC07" w14:textId="77777777" w:rsidTr="00097E3D">
        <w:trPr>
          <w:trHeight w:val="342"/>
          <w:jc w:val="center"/>
        </w:trPr>
        <w:tc>
          <w:tcPr>
            <w:tcW w:w="1654" w:type="dxa"/>
            <w:vMerge/>
            <w:vAlign w:val="center"/>
            <w:hideMark/>
          </w:tcPr>
          <w:p w14:paraId="5A1240B1"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0948A39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Cesar</w:t>
            </w:r>
          </w:p>
        </w:tc>
        <w:tc>
          <w:tcPr>
            <w:tcW w:w="2150" w:type="dxa"/>
            <w:vAlign w:val="center"/>
            <w:hideMark/>
          </w:tcPr>
          <w:p w14:paraId="42B890CD"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La Paz</w:t>
            </w:r>
          </w:p>
        </w:tc>
        <w:tc>
          <w:tcPr>
            <w:tcW w:w="1119" w:type="dxa"/>
            <w:vAlign w:val="center"/>
            <w:hideMark/>
          </w:tcPr>
          <w:p w14:paraId="3D97E41C"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0716E5A2"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081165F3" w14:textId="77777777" w:rsidTr="00097E3D">
        <w:trPr>
          <w:trHeight w:val="342"/>
          <w:jc w:val="center"/>
        </w:trPr>
        <w:tc>
          <w:tcPr>
            <w:tcW w:w="1654" w:type="dxa"/>
            <w:vMerge/>
            <w:vAlign w:val="center"/>
            <w:hideMark/>
          </w:tcPr>
          <w:p w14:paraId="167672DE"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59217ED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Chocó</w:t>
            </w:r>
          </w:p>
        </w:tc>
        <w:tc>
          <w:tcPr>
            <w:tcW w:w="2150" w:type="dxa"/>
            <w:vAlign w:val="center"/>
            <w:hideMark/>
          </w:tcPr>
          <w:p w14:paraId="750B25C3"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Riosucio</w:t>
            </w:r>
          </w:p>
        </w:tc>
        <w:tc>
          <w:tcPr>
            <w:tcW w:w="1119" w:type="dxa"/>
            <w:noWrap/>
            <w:vAlign w:val="bottom"/>
            <w:hideMark/>
          </w:tcPr>
          <w:p w14:paraId="47B4A41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780923E2"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13F45CCA" w14:textId="77777777" w:rsidTr="00097E3D">
        <w:trPr>
          <w:trHeight w:val="342"/>
          <w:jc w:val="center"/>
        </w:trPr>
        <w:tc>
          <w:tcPr>
            <w:tcW w:w="1654" w:type="dxa"/>
            <w:vMerge/>
            <w:vAlign w:val="center"/>
            <w:hideMark/>
          </w:tcPr>
          <w:p w14:paraId="1E80D84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4FF5A35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Guajira</w:t>
            </w:r>
          </w:p>
        </w:tc>
        <w:tc>
          <w:tcPr>
            <w:tcW w:w="2150" w:type="dxa"/>
            <w:vAlign w:val="center"/>
            <w:hideMark/>
          </w:tcPr>
          <w:p w14:paraId="1D88E78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Fonseca</w:t>
            </w:r>
          </w:p>
        </w:tc>
        <w:tc>
          <w:tcPr>
            <w:tcW w:w="1119" w:type="dxa"/>
            <w:noWrap/>
            <w:vAlign w:val="bottom"/>
            <w:hideMark/>
          </w:tcPr>
          <w:p w14:paraId="2826D71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75179920"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3A84E30" w14:textId="77777777" w:rsidTr="00097E3D">
        <w:trPr>
          <w:trHeight w:val="342"/>
          <w:jc w:val="center"/>
        </w:trPr>
        <w:tc>
          <w:tcPr>
            <w:tcW w:w="1654" w:type="dxa"/>
            <w:vMerge/>
            <w:vAlign w:val="center"/>
            <w:hideMark/>
          </w:tcPr>
          <w:p w14:paraId="20985B58"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0FF50E0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Meta</w:t>
            </w:r>
          </w:p>
        </w:tc>
        <w:tc>
          <w:tcPr>
            <w:tcW w:w="2150" w:type="dxa"/>
            <w:vAlign w:val="center"/>
            <w:hideMark/>
          </w:tcPr>
          <w:p w14:paraId="4727A17E" w14:textId="1A3C8363" w:rsidR="00097E3D" w:rsidRPr="00AB06F3" w:rsidRDefault="007E3AD5" w:rsidP="00C25586">
            <w:pPr>
              <w:spacing w:after="0" w:line="276" w:lineRule="auto"/>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 xml:space="preserve">Acacias </w:t>
            </w:r>
          </w:p>
        </w:tc>
        <w:tc>
          <w:tcPr>
            <w:tcW w:w="1119" w:type="dxa"/>
            <w:noWrap/>
            <w:vAlign w:val="bottom"/>
            <w:hideMark/>
          </w:tcPr>
          <w:p w14:paraId="566B4A25"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6D085271"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15E8017D" w14:textId="77777777" w:rsidTr="00097E3D">
        <w:trPr>
          <w:trHeight w:val="342"/>
          <w:jc w:val="center"/>
        </w:trPr>
        <w:tc>
          <w:tcPr>
            <w:tcW w:w="1654" w:type="dxa"/>
            <w:vMerge/>
            <w:vAlign w:val="center"/>
            <w:hideMark/>
          </w:tcPr>
          <w:p w14:paraId="7ACC6E2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0FAB1C3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Meta</w:t>
            </w:r>
          </w:p>
        </w:tc>
        <w:tc>
          <w:tcPr>
            <w:tcW w:w="2150" w:type="dxa"/>
            <w:vAlign w:val="center"/>
            <w:hideMark/>
          </w:tcPr>
          <w:p w14:paraId="32667DF7" w14:textId="79610851" w:rsidR="00097E3D" w:rsidRPr="00AB06F3" w:rsidRDefault="0068260F" w:rsidP="00C25586">
            <w:pPr>
              <w:spacing w:after="0" w:line="276" w:lineRule="auto"/>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San Juan de Arama</w:t>
            </w:r>
          </w:p>
        </w:tc>
        <w:tc>
          <w:tcPr>
            <w:tcW w:w="1119" w:type="dxa"/>
            <w:noWrap/>
            <w:vAlign w:val="bottom"/>
            <w:hideMark/>
          </w:tcPr>
          <w:p w14:paraId="20FB3C9B"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6150D1E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42634415" w14:textId="77777777" w:rsidTr="00097E3D">
        <w:trPr>
          <w:trHeight w:val="342"/>
          <w:jc w:val="center"/>
        </w:trPr>
        <w:tc>
          <w:tcPr>
            <w:tcW w:w="1654" w:type="dxa"/>
            <w:vMerge/>
            <w:vAlign w:val="center"/>
            <w:hideMark/>
          </w:tcPr>
          <w:p w14:paraId="008DC5E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59ED9F7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Nariño</w:t>
            </w:r>
          </w:p>
        </w:tc>
        <w:tc>
          <w:tcPr>
            <w:tcW w:w="2150" w:type="dxa"/>
            <w:vAlign w:val="center"/>
            <w:hideMark/>
          </w:tcPr>
          <w:p w14:paraId="0C0C21D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San Andrés de Tumaco</w:t>
            </w:r>
          </w:p>
        </w:tc>
        <w:tc>
          <w:tcPr>
            <w:tcW w:w="1119" w:type="dxa"/>
            <w:noWrap/>
            <w:vAlign w:val="bottom"/>
            <w:hideMark/>
          </w:tcPr>
          <w:p w14:paraId="487B8A47"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467496B7"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2CB1CE0E" w14:textId="77777777" w:rsidTr="00097E3D">
        <w:trPr>
          <w:trHeight w:val="342"/>
          <w:jc w:val="center"/>
        </w:trPr>
        <w:tc>
          <w:tcPr>
            <w:tcW w:w="1654" w:type="dxa"/>
            <w:vMerge/>
            <w:vAlign w:val="center"/>
            <w:hideMark/>
          </w:tcPr>
          <w:p w14:paraId="7537A1A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7240CA0C"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Norte de Santander</w:t>
            </w:r>
          </w:p>
        </w:tc>
        <w:tc>
          <w:tcPr>
            <w:tcW w:w="2150" w:type="dxa"/>
            <w:vAlign w:val="center"/>
            <w:hideMark/>
          </w:tcPr>
          <w:p w14:paraId="3A94147D"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Tibú</w:t>
            </w:r>
          </w:p>
        </w:tc>
        <w:tc>
          <w:tcPr>
            <w:tcW w:w="1119" w:type="dxa"/>
            <w:noWrap/>
            <w:vAlign w:val="bottom"/>
            <w:hideMark/>
          </w:tcPr>
          <w:p w14:paraId="5DE2C910"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604859DB"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D930CC2" w14:textId="77777777" w:rsidTr="00097E3D">
        <w:trPr>
          <w:trHeight w:val="342"/>
          <w:jc w:val="center"/>
        </w:trPr>
        <w:tc>
          <w:tcPr>
            <w:tcW w:w="1654" w:type="dxa"/>
            <w:vMerge/>
            <w:vAlign w:val="center"/>
            <w:hideMark/>
          </w:tcPr>
          <w:p w14:paraId="3C3AB43F"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3321A17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Tolima</w:t>
            </w:r>
          </w:p>
        </w:tc>
        <w:tc>
          <w:tcPr>
            <w:tcW w:w="2150" w:type="dxa"/>
            <w:vAlign w:val="center"/>
            <w:hideMark/>
          </w:tcPr>
          <w:p w14:paraId="2C3C1E22"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Icononzo</w:t>
            </w:r>
          </w:p>
        </w:tc>
        <w:tc>
          <w:tcPr>
            <w:tcW w:w="1119" w:type="dxa"/>
            <w:noWrap/>
            <w:vAlign w:val="bottom"/>
            <w:hideMark/>
          </w:tcPr>
          <w:p w14:paraId="195CD845"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 </w:t>
            </w:r>
          </w:p>
        </w:tc>
        <w:tc>
          <w:tcPr>
            <w:tcW w:w="1062" w:type="dxa"/>
            <w:vAlign w:val="center"/>
            <w:hideMark/>
          </w:tcPr>
          <w:p w14:paraId="19E18159"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B4E9318" w14:textId="77777777" w:rsidTr="00097E3D">
        <w:trPr>
          <w:trHeight w:val="342"/>
          <w:jc w:val="center"/>
        </w:trPr>
        <w:tc>
          <w:tcPr>
            <w:tcW w:w="1654" w:type="dxa"/>
            <w:vMerge/>
            <w:vAlign w:val="center"/>
            <w:hideMark/>
          </w:tcPr>
          <w:p w14:paraId="6D5D5D2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31CB3925"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Tolima</w:t>
            </w:r>
          </w:p>
        </w:tc>
        <w:tc>
          <w:tcPr>
            <w:tcW w:w="2150" w:type="dxa"/>
            <w:vAlign w:val="center"/>
            <w:hideMark/>
          </w:tcPr>
          <w:p w14:paraId="5C5C1F13"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Planadas</w:t>
            </w:r>
          </w:p>
        </w:tc>
        <w:tc>
          <w:tcPr>
            <w:tcW w:w="1119" w:type="dxa"/>
            <w:noWrap/>
            <w:vAlign w:val="bottom"/>
            <w:hideMark/>
          </w:tcPr>
          <w:p w14:paraId="5521058D"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6EDED068"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5E08CF1F" w14:textId="77777777" w:rsidTr="00097E3D">
        <w:trPr>
          <w:trHeight w:val="342"/>
          <w:jc w:val="center"/>
        </w:trPr>
        <w:tc>
          <w:tcPr>
            <w:tcW w:w="1654" w:type="dxa"/>
            <w:vMerge/>
            <w:vAlign w:val="center"/>
            <w:hideMark/>
          </w:tcPr>
          <w:p w14:paraId="406DE3C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52C7031B"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Arauca</w:t>
            </w:r>
          </w:p>
        </w:tc>
        <w:tc>
          <w:tcPr>
            <w:tcW w:w="2150" w:type="dxa"/>
            <w:vAlign w:val="center"/>
            <w:hideMark/>
          </w:tcPr>
          <w:p w14:paraId="37CF1227"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Arauquita</w:t>
            </w:r>
          </w:p>
        </w:tc>
        <w:tc>
          <w:tcPr>
            <w:tcW w:w="1119" w:type="dxa"/>
            <w:noWrap/>
            <w:vAlign w:val="bottom"/>
            <w:hideMark/>
          </w:tcPr>
          <w:p w14:paraId="1DF838DD"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56AA2FD4"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9301344" w14:textId="77777777" w:rsidTr="00097E3D">
        <w:trPr>
          <w:trHeight w:val="342"/>
          <w:jc w:val="center"/>
        </w:trPr>
        <w:tc>
          <w:tcPr>
            <w:tcW w:w="1654" w:type="dxa"/>
            <w:vMerge/>
            <w:vAlign w:val="center"/>
            <w:hideMark/>
          </w:tcPr>
          <w:p w14:paraId="12FEC4D6"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52D200C9"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Putumayo</w:t>
            </w:r>
          </w:p>
        </w:tc>
        <w:tc>
          <w:tcPr>
            <w:tcW w:w="2150" w:type="dxa"/>
            <w:vAlign w:val="center"/>
            <w:hideMark/>
          </w:tcPr>
          <w:p w14:paraId="5D74FDF4"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Puerto Asís</w:t>
            </w:r>
          </w:p>
        </w:tc>
        <w:tc>
          <w:tcPr>
            <w:tcW w:w="1119" w:type="dxa"/>
            <w:noWrap/>
            <w:vAlign w:val="bottom"/>
            <w:hideMark/>
          </w:tcPr>
          <w:p w14:paraId="6C3F58CC"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553E7E2C"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r>
      <w:tr w:rsidR="00097E3D" w:rsidRPr="00AB06F3" w14:paraId="61BE8D42" w14:textId="77777777" w:rsidTr="00097E3D">
        <w:trPr>
          <w:trHeight w:val="342"/>
          <w:jc w:val="center"/>
        </w:trPr>
        <w:tc>
          <w:tcPr>
            <w:tcW w:w="1654" w:type="dxa"/>
            <w:vMerge/>
            <w:vAlign w:val="center"/>
            <w:hideMark/>
          </w:tcPr>
          <w:p w14:paraId="74601834"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p>
        </w:tc>
        <w:tc>
          <w:tcPr>
            <w:tcW w:w="1929" w:type="dxa"/>
            <w:vAlign w:val="center"/>
            <w:hideMark/>
          </w:tcPr>
          <w:p w14:paraId="258D7070"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Guaviare</w:t>
            </w:r>
          </w:p>
        </w:tc>
        <w:tc>
          <w:tcPr>
            <w:tcW w:w="2150" w:type="dxa"/>
            <w:vAlign w:val="center"/>
            <w:hideMark/>
          </w:tcPr>
          <w:p w14:paraId="3E1F41BE" w14:textId="77777777" w:rsidR="00097E3D" w:rsidRPr="00AB06F3" w:rsidRDefault="00097E3D" w:rsidP="00C25586">
            <w:pPr>
              <w:spacing w:after="0" w:line="276" w:lineRule="auto"/>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San José del Guaviare</w:t>
            </w:r>
          </w:p>
        </w:tc>
        <w:tc>
          <w:tcPr>
            <w:tcW w:w="1119" w:type="dxa"/>
            <w:noWrap/>
            <w:vAlign w:val="bottom"/>
            <w:hideMark/>
          </w:tcPr>
          <w:p w14:paraId="5029F3AF" w14:textId="77777777" w:rsidR="00097E3D" w:rsidRPr="00AB06F3" w:rsidRDefault="00097E3D" w:rsidP="00C25586">
            <w:pPr>
              <w:spacing w:after="0" w:line="276" w:lineRule="auto"/>
              <w:jc w:val="center"/>
              <w:rPr>
                <w:rFonts w:ascii="Verdana" w:eastAsia="Times New Roman" w:hAnsi="Verdana" w:cs="Arial"/>
                <w:color w:val="000000"/>
                <w:kern w:val="0"/>
                <w:sz w:val="18"/>
                <w:szCs w:val="18"/>
                <w:lang w:eastAsia="es-CO"/>
                <w14:ligatures w14:val="none"/>
              </w:rPr>
            </w:pPr>
            <w:r w:rsidRPr="00AB06F3">
              <w:rPr>
                <w:rFonts w:ascii="Verdana" w:eastAsia="Times New Roman" w:hAnsi="Verdana" w:cs="Arial"/>
                <w:color w:val="000000"/>
                <w:kern w:val="0"/>
                <w:sz w:val="18"/>
                <w:szCs w:val="18"/>
                <w:lang w:eastAsia="es-CO"/>
                <w14:ligatures w14:val="none"/>
              </w:rPr>
              <w:t>1</w:t>
            </w:r>
          </w:p>
        </w:tc>
        <w:tc>
          <w:tcPr>
            <w:tcW w:w="1062" w:type="dxa"/>
            <w:vAlign w:val="center"/>
            <w:hideMark/>
          </w:tcPr>
          <w:p w14:paraId="74765C5C" w14:textId="409FC436" w:rsidR="00097E3D" w:rsidRPr="00AB06F3" w:rsidRDefault="00A421BC" w:rsidP="00C25586">
            <w:pPr>
              <w:spacing w:after="0" w:line="276" w:lineRule="auto"/>
              <w:jc w:val="center"/>
              <w:rPr>
                <w:rFonts w:ascii="Verdana" w:eastAsia="Times New Roman" w:hAnsi="Verdana" w:cs="Arial"/>
                <w:color w:val="000000"/>
                <w:kern w:val="0"/>
                <w:sz w:val="18"/>
                <w:szCs w:val="18"/>
                <w:lang w:eastAsia="es-CO"/>
                <w14:ligatures w14:val="none"/>
              </w:rPr>
            </w:pPr>
            <w:r>
              <w:rPr>
                <w:rFonts w:ascii="Verdana" w:eastAsia="Times New Roman" w:hAnsi="Verdana" w:cs="Arial"/>
                <w:color w:val="000000"/>
                <w:kern w:val="0"/>
                <w:sz w:val="18"/>
                <w:szCs w:val="18"/>
                <w:lang w:eastAsia="es-CO"/>
                <w14:ligatures w14:val="none"/>
              </w:rPr>
              <w:t>2</w:t>
            </w:r>
          </w:p>
        </w:tc>
      </w:tr>
    </w:tbl>
    <w:p w14:paraId="4A7FA3BF"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5336A78" w14:textId="77777777" w:rsidR="00A34DC5" w:rsidRDefault="00A34DC5" w:rsidP="00C25586">
      <w:pPr>
        <w:spacing w:after="0" w:line="276" w:lineRule="auto"/>
        <w:jc w:val="center"/>
        <w:rPr>
          <w:rFonts w:ascii="Verdana" w:hAnsi="Verdana" w:cs="Arial"/>
          <w:sz w:val="18"/>
          <w:szCs w:val="18"/>
        </w:rPr>
      </w:pPr>
    </w:p>
    <w:p w14:paraId="7E44A3FD" w14:textId="7B6678C0" w:rsidR="008C3401" w:rsidRPr="00AB06F3" w:rsidRDefault="73F656FE" w:rsidP="00C25586">
      <w:pPr>
        <w:spacing w:after="0" w:line="276" w:lineRule="auto"/>
        <w:jc w:val="center"/>
        <w:rPr>
          <w:rFonts w:ascii="Verdana" w:hAnsi="Verdana" w:cs="Arial"/>
          <w:sz w:val="18"/>
          <w:szCs w:val="18"/>
        </w:rPr>
      </w:pPr>
      <w:r w:rsidRPr="00AB06F3">
        <w:rPr>
          <w:rFonts w:ascii="Verdana" w:hAnsi="Verdana" w:cs="Arial"/>
          <w:sz w:val="18"/>
          <w:szCs w:val="18"/>
        </w:rPr>
        <w:t>Ver desagregación territorial que se reporta a SIIPO en el siguiente link</w:t>
      </w:r>
      <w:r w:rsidRPr="00AB06F3">
        <w:rPr>
          <w:rStyle w:val="Hipervnculo"/>
          <w:rFonts w:ascii="Verdana" w:hAnsi="Verdana" w:cs="Arial"/>
          <w:sz w:val="18"/>
          <w:szCs w:val="18"/>
        </w:rPr>
        <w:t xml:space="preserve"> </w:t>
      </w:r>
      <w:hyperlink r:id="rId22">
        <w:r w:rsidR="214797C8" w:rsidRPr="00AB06F3">
          <w:rPr>
            <w:rStyle w:val="Hipervnculo"/>
            <w:rFonts w:ascii="Verdana" w:hAnsi="Verdana" w:cs="Arial"/>
            <w:sz w:val="18"/>
            <w:szCs w:val="18"/>
          </w:rPr>
          <w:t>https://siipo.dnp.gov.co/detalleindicador/VEnuYKwsZwqM6Klg</w:t>
        </w:r>
      </w:hyperlink>
    </w:p>
    <w:p w14:paraId="448748EF" w14:textId="77777777" w:rsidR="00A34DC5" w:rsidRDefault="00A34DC5" w:rsidP="00C25586">
      <w:pPr>
        <w:pStyle w:val="Ttulo5"/>
        <w:spacing w:after="0" w:line="276" w:lineRule="auto"/>
        <w:ind w:left="1080"/>
        <w:jc w:val="both"/>
        <w:rPr>
          <w:rFonts w:ascii="Verdana" w:hAnsi="Verdana" w:cs="Arial"/>
          <w:color w:val="000000" w:themeColor="text1"/>
          <w:sz w:val="24"/>
          <w:szCs w:val="24"/>
        </w:rPr>
      </w:pPr>
    </w:p>
    <w:p w14:paraId="4D35A4A7" w14:textId="408835DD" w:rsidR="00B709EF" w:rsidRPr="00AB06F3" w:rsidRDefault="05B90BA4" w:rsidP="00C25586">
      <w:pPr>
        <w:pStyle w:val="Ttulo5"/>
        <w:spacing w:after="0" w:line="276" w:lineRule="auto"/>
        <w:ind w:left="1080"/>
        <w:jc w:val="both"/>
        <w:rPr>
          <w:rFonts w:ascii="Verdana" w:hAnsi="Verdana" w:cs="Arial"/>
          <w:color w:val="000000" w:themeColor="text1"/>
          <w:sz w:val="24"/>
          <w:szCs w:val="24"/>
        </w:rPr>
      </w:pPr>
      <w:r w:rsidRPr="00AB06F3">
        <w:rPr>
          <w:rFonts w:ascii="Verdana" w:hAnsi="Verdana" w:cs="Arial"/>
          <w:color w:val="000000" w:themeColor="text1"/>
          <w:sz w:val="24"/>
          <w:szCs w:val="24"/>
        </w:rPr>
        <w:t>c) ¿Qué desafíos y retos tuvimos para el cumplimiento del indicador PMI?</w:t>
      </w:r>
    </w:p>
    <w:p w14:paraId="17794FF7" w14:textId="185147E9" w:rsidR="00946FC2" w:rsidRPr="00AB06F3" w:rsidRDefault="00946FC2" w:rsidP="00C25586">
      <w:pPr>
        <w:spacing w:after="0" w:line="276" w:lineRule="auto"/>
        <w:rPr>
          <w:rFonts w:ascii="Verdana" w:hAnsi="Verdana" w:cs="Arial"/>
        </w:rPr>
      </w:pPr>
    </w:p>
    <w:p w14:paraId="23FD864E" w14:textId="627615D2" w:rsidR="00946FC2" w:rsidRPr="00AB06F3" w:rsidRDefault="00946FC2" w:rsidP="00C25586">
      <w:pPr>
        <w:spacing w:after="0" w:line="276" w:lineRule="auto"/>
        <w:jc w:val="center"/>
        <w:rPr>
          <w:rFonts w:ascii="Verdana" w:hAnsi="Verdana" w:cs="Arial"/>
          <w:color w:val="000000" w:themeColor="text1"/>
          <w:sz w:val="18"/>
          <w:szCs w:val="18"/>
          <w:highlight w:val="darkGray"/>
        </w:rPr>
      </w:pPr>
      <w:r w:rsidRPr="00AB06F3">
        <w:rPr>
          <w:rStyle w:val="Referenciasutil"/>
          <w:rFonts w:ascii="Verdana" w:hAnsi="Verdana" w:cs="Arial"/>
        </w:rPr>
        <w:t xml:space="preserve">Tabla </w:t>
      </w:r>
      <w:r w:rsidR="00F46742" w:rsidRPr="00AB06F3">
        <w:rPr>
          <w:rStyle w:val="Referenciasutil"/>
          <w:rFonts w:ascii="Verdana" w:hAnsi="Verdana" w:cs="Arial"/>
        </w:rPr>
        <w:t>4</w:t>
      </w:r>
      <w:r w:rsidR="001049EE">
        <w:rPr>
          <w:rStyle w:val="Referenciasutil"/>
          <w:rFonts w:ascii="Verdana" w:hAnsi="Verdana" w:cs="Arial"/>
        </w:rPr>
        <w:t>4</w:t>
      </w:r>
      <w:r w:rsidRPr="00AB06F3">
        <w:rPr>
          <w:rStyle w:val="Referenciasutil"/>
          <w:rFonts w:ascii="Verdana" w:hAnsi="Verdana" w:cs="Arial"/>
        </w:rPr>
        <w:t>. Desafíos y retos del Indicador C.459</w:t>
      </w:r>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Caption w:val="Desafíos y retos del indicador"/>
        <w:tblDescription w:val=" Tabla que contiene los siguientes items: tipo de reto, descripción del reto y medidas para mitigar el reto.&#10;"/>
      </w:tblPr>
      <w:tblGrid>
        <w:gridCol w:w="1555"/>
        <w:gridCol w:w="3402"/>
        <w:gridCol w:w="3871"/>
      </w:tblGrid>
      <w:tr w:rsidR="00946FC2" w:rsidRPr="005914AA" w14:paraId="06AED26B" w14:textId="77777777" w:rsidTr="00E350A3">
        <w:trPr>
          <w:trHeight w:val="300"/>
        </w:trPr>
        <w:tc>
          <w:tcPr>
            <w:tcW w:w="1555" w:type="dxa"/>
          </w:tcPr>
          <w:p w14:paraId="5016346E" w14:textId="74997EA1" w:rsidR="00946FC2" w:rsidRPr="005914AA" w:rsidRDefault="00946FC2" w:rsidP="002B6F15">
            <w:pPr>
              <w:spacing w:line="276" w:lineRule="auto"/>
              <w:jc w:val="center"/>
              <w:rPr>
                <w:rFonts w:ascii="Verdana" w:hAnsi="Verdana" w:cs="Arial"/>
                <w:b/>
                <w:bCs/>
                <w:color w:val="000000" w:themeColor="text1"/>
                <w:sz w:val="18"/>
                <w:szCs w:val="18"/>
              </w:rPr>
            </w:pPr>
            <w:r w:rsidRPr="005914AA">
              <w:rPr>
                <w:rFonts w:ascii="Verdana" w:hAnsi="Verdana" w:cs="Arial"/>
                <w:b/>
                <w:bCs/>
                <w:color w:val="000000" w:themeColor="text1"/>
                <w:sz w:val="18"/>
                <w:szCs w:val="18"/>
              </w:rPr>
              <w:t>Tipo de Reto</w:t>
            </w:r>
          </w:p>
        </w:tc>
        <w:tc>
          <w:tcPr>
            <w:tcW w:w="3402" w:type="dxa"/>
          </w:tcPr>
          <w:p w14:paraId="7EE62E7B" w14:textId="77777777" w:rsidR="00946FC2" w:rsidRPr="005914AA" w:rsidRDefault="00946FC2" w:rsidP="002B6F15">
            <w:pPr>
              <w:spacing w:line="276" w:lineRule="auto"/>
              <w:jc w:val="center"/>
              <w:rPr>
                <w:rFonts w:ascii="Verdana" w:hAnsi="Verdana" w:cs="Arial"/>
                <w:b/>
                <w:bCs/>
                <w:color w:val="000000" w:themeColor="text1"/>
                <w:sz w:val="18"/>
                <w:szCs w:val="18"/>
              </w:rPr>
            </w:pPr>
            <w:r w:rsidRPr="005914AA">
              <w:rPr>
                <w:rFonts w:ascii="Verdana" w:hAnsi="Verdana" w:cs="Arial"/>
                <w:b/>
                <w:bCs/>
                <w:color w:val="000000" w:themeColor="text1"/>
                <w:sz w:val="18"/>
                <w:szCs w:val="18"/>
              </w:rPr>
              <w:t>Descripción del Reto</w:t>
            </w:r>
          </w:p>
        </w:tc>
        <w:tc>
          <w:tcPr>
            <w:tcW w:w="3871" w:type="dxa"/>
          </w:tcPr>
          <w:p w14:paraId="5F9232AC" w14:textId="77777777" w:rsidR="00946FC2" w:rsidRPr="005914AA" w:rsidRDefault="00946FC2" w:rsidP="002B6F15">
            <w:pPr>
              <w:spacing w:line="276" w:lineRule="auto"/>
              <w:jc w:val="center"/>
              <w:rPr>
                <w:rFonts w:ascii="Verdana" w:hAnsi="Verdana" w:cs="Arial"/>
                <w:b/>
                <w:bCs/>
                <w:color w:val="000000" w:themeColor="text1"/>
                <w:sz w:val="18"/>
                <w:szCs w:val="18"/>
              </w:rPr>
            </w:pPr>
            <w:r w:rsidRPr="005914AA">
              <w:rPr>
                <w:rFonts w:ascii="Verdana" w:hAnsi="Verdana" w:cs="Arial"/>
                <w:b/>
                <w:bCs/>
                <w:color w:val="000000" w:themeColor="text1"/>
                <w:sz w:val="18"/>
                <w:szCs w:val="18"/>
              </w:rPr>
              <w:t>Medidas para mitigar el Reto</w:t>
            </w:r>
          </w:p>
        </w:tc>
      </w:tr>
      <w:tr w:rsidR="00946FC2" w:rsidRPr="005914AA" w14:paraId="7E698974" w14:textId="77777777" w:rsidTr="00E350A3">
        <w:trPr>
          <w:trHeight w:val="300"/>
        </w:trPr>
        <w:tc>
          <w:tcPr>
            <w:tcW w:w="1555" w:type="dxa"/>
          </w:tcPr>
          <w:p w14:paraId="7A96DBA1" w14:textId="2E50782D" w:rsidR="00946FC2" w:rsidRPr="005914AA" w:rsidRDefault="00E5508E" w:rsidP="00C25586">
            <w:pPr>
              <w:spacing w:line="276" w:lineRule="auto"/>
              <w:rPr>
                <w:rFonts w:ascii="Verdana" w:hAnsi="Verdana" w:cs="Arial"/>
                <w:color w:val="000000" w:themeColor="text1"/>
                <w:sz w:val="18"/>
                <w:szCs w:val="18"/>
              </w:rPr>
            </w:pPr>
            <w:r w:rsidRPr="005914AA">
              <w:rPr>
                <w:rFonts w:ascii="Verdana" w:hAnsi="Verdana" w:cs="Arial"/>
                <w:color w:val="000000" w:themeColor="text1"/>
                <w:sz w:val="18"/>
                <w:szCs w:val="18"/>
              </w:rPr>
              <w:t>A</w:t>
            </w:r>
            <w:r w:rsidR="00566E17" w:rsidRPr="005914AA">
              <w:rPr>
                <w:rFonts w:ascii="Verdana" w:hAnsi="Verdana" w:cs="Arial"/>
                <w:color w:val="000000" w:themeColor="text1"/>
                <w:sz w:val="18"/>
                <w:szCs w:val="18"/>
              </w:rPr>
              <w:t>d</w:t>
            </w:r>
            <w:r w:rsidRPr="005914AA">
              <w:rPr>
                <w:rFonts w:ascii="Verdana" w:hAnsi="Verdana" w:cs="Arial"/>
                <w:color w:val="000000" w:themeColor="text1"/>
                <w:sz w:val="18"/>
                <w:szCs w:val="18"/>
              </w:rPr>
              <w:t>ministrativo</w:t>
            </w:r>
          </w:p>
        </w:tc>
        <w:tc>
          <w:tcPr>
            <w:tcW w:w="3402" w:type="dxa"/>
          </w:tcPr>
          <w:p w14:paraId="5B23ED64" w14:textId="3ED3AEB0" w:rsidR="00284903" w:rsidRPr="00284903" w:rsidRDefault="00284903" w:rsidP="00164ED5">
            <w:pPr>
              <w:pStyle w:val="Prrafodelista"/>
              <w:widowControl w:val="0"/>
              <w:numPr>
                <w:ilvl w:val="0"/>
                <w:numId w:val="28"/>
              </w:numPr>
              <w:tabs>
                <w:tab w:val="left" w:pos="313"/>
                <w:tab w:val="left" w:pos="455"/>
              </w:tabs>
              <w:autoSpaceDE w:val="0"/>
              <w:autoSpaceDN w:val="0"/>
              <w:spacing w:line="292" w:lineRule="exact"/>
              <w:ind w:left="360"/>
              <w:jc w:val="both"/>
              <w:rPr>
                <w:rFonts w:ascii="Verdana" w:hAnsi="Verdana"/>
                <w:sz w:val="18"/>
                <w:szCs w:val="18"/>
              </w:rPr>
            </w:pPr>
            <w:r w:rsidRPr="00284903">
              <w:rPr>
                <w:rFonts w:ascii="Verdana" w:hAnsi="Verdana"/>
                <w:sz w:val="18"/>
                <w:szCs w:val="18"/>
              </w:rPr>
              <w:t xml:space="preserve">Durante la vigencia se presentó la necesidad de realizar el traslado de un (1) Espacio Territorial de Capacitación y Reincorporación (ETCR), proceso que fue concertado con el componente FARC. </w:t>
            </w:r>
          </w:p>
          <w:p w14:paraId="08749B50" w14:textId="5EF034CE" w:rsidR="00946FC2" w:rsidRPr="00284903" w:rsidRDefault="00284903" w:rsidP="00164ED5">
            <w:pPr>
              <w:pStyle w:val="Prrafodelista"/>
              <w:widowControl w:val="0"/>
              <w:numPr>
                <w:ilvl w:val="0"/>
                <w:numId w:val="32"/>
              </w:numPr>
              <w:tabs>
                <w:tab w:val="left" w:pos="313"/>
                <w:tab w:val="left" w:pos="455"/>
              </w:tabs>
              <w:autoSpaceDE w:val="0"/>
              <w:autoSpaceDN w:val="0"/>
              <w:spacing w:line="292" w:lineRule="exact"/>
              <w:ind w:left="360"/>
              <w:jc w:val="both"/>
              <w:rPr>
                <w:rFonts w:ascii="Verdana" w:hAnsi="Verdana"/>
                <w:spacing w:val="122"/>
                <w:sz w:val="18"/>
                <w:szCs w:val="18"/>
              </w:rPr>
            </w:pPr>
            <w:r>
              <w:rPr>
                <w:rFonts w:ascii="Verdana" w:hAnsi="Verdana"/>
                <w:sz w:val="18"/>
                <w:szCs w:val="18"/>
              </w:rPr>
              <w:t>S</w:t>
            </w:r>
            <w:r w:rsidRPr="00284903">
              <w:rPr>
                <w:rFonts w:ascii="Verdana" w:hAnsi="Verdana"/>
                <w:sz w:val="18"/>
                <w:szCs w:val="18"/>
              </w:rPr>
              <w:t>e iniciaron las gestiones orientadas a la consolidación de los ETCR La Guajira y La Reforma, ubicados en los municipios de Acacías (Meta) y Hato Corozal (Casanare), respectivamente.</w:t>
            </w:r>
          </w:p>
        </w:tc>
        <w:tc>
          <w:tcPr>
            <w:tcW w:w="3871" w:type="dxa"/>
          </w:tcPr>
          <w:p w14:paraId="1365C759" w14:textId="77777777" w:rsidR="008B194B" w:rsidRDefault="008B194B" w:rsidP="00164ED5">
            <w:pPr>
              <w:pStyle w:val="Prrafodelista"/>
              <w:widowControl w:val="0"/>
              <w:numPr>
                <w:ilvl w:val="0"/>
                <w:numId w:val="32"/>
              </w:numPr>
              <w:autoSpaceDE w:val="0"/>
              <w:autoSpaceDN w:val="0"/>
              <w:spacing w:line="276" w:lineRule="auto"/>
              <w:ind w:left="314"/>
              <w:jc w:val="both"/>
              <w:rPr>
                <w:rFonts w:ascii="Verdana" w:hAnsi="Verdana" w:cs="Arial"/>
                <w:color w:val="000000" w:themeColor="text1"/>
                <w:sz w:val="18"/>
                <w:szCs w:val="18"/>
              </w:rPr>
            </w:pPr>
            <w:r w:rsidRPr="008B194B">
              <w:rPr>
                <w:rFonts w:ascii="Verdana" w:hAnsi="Verdana" w:cs="Arial"/>
                <w:color w:val="000000" w:themeColor="text1"/>
                <w:sz w:val="18"/>
                <w:szCs w:val="18"/>
              </w:rPr>
              <w:t xml:space="preserve">A pesar de estos retos operativos, la ARN garantizó la continuidad en la prestación de los servicios y el funcionamiento de la totalidad de los ETCR. </w:t>
            </w:r>
          </w:p>
          <w:p w14:paraId="7C770E39" w14:textId="432E7652" w:rsidR="00827885" w:rsidRPr="008B194B" w:rsidRDefault="008B194B" w:rsidP="00164ED5">
            <w:pPr>
              <w:pStyle w:val="Prrafodelista"/>
              <w:widowControl w:val="0"/>
              <w:numPr>
                <w:ilvl w:val="0"/>
                <w:numId w:val="32"/>
              </w:numPr>
              <w:tabs>
                <w:tab w:val="left" w:pos="316"/>
              </w:tabs>
              <w:autoSpaceDE w:val="0"/>
              <w:autoSpaceDN w:val="0"/>
              <w:spacing w:line="276" w:lineRule="auto"/>
              <w:ind w:left="314"/>
              <w:jc w:val="both"/>
              <w:rPr>
                <w:rFonts w:ascii="Verdana" w:hAnsi="Verdana" w:cs="Arial"/>
                <w:color w:val="000000" w:themeColor="text1"/>
                <w:sz w:val="18"/>
                <w:szCs w:val="18"/>
              </w:rPr>
            </w:pPr>
            <w:r w:rsidRPr="008B194B">
              <w:rPr>
                <w:rFonts w:ascii="Verdana" w:hAnsi="Verdana" w:cs="Arial"/>
                <w:color w:val="000000" w:themeColor="text1"/>
                <w:sz w:val="18"/>
                <w:szCs w:val="18"/>
              </w:rPr>
              <w:t>Para la consolidación de los espacios mencionados, se adelantó trabajo articulado con el PNUD, gestionando las acciones administrativas y contractuales necesarias para la ejecución de las soluciones habitacionales. Se estima que en enero de 2026 se realice la entrega de estas soluciones en el ETCR La Guajira (antes Mesetas 2).</w:t>
            </w:r>
          </w:p>
        </w:tc>
      </w:tr>
    </w:tbl>
    <w:p w14:paraId="5D32CB76"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6311D0EB" w14:textId="53F140AB" w:rsidR="001847E9" w:rsidRPr="00AB06F3" w:rsidRDefault="001847E9" w:rsidP="00C25586">
      <w:pPr>
        <w:spacing w:after="0" w:line="276" w:lineRule="auto"/>
        <w:rPr>
          <w:rFonts w:ascii="Verdana" w:hAnsi="Verdana" w:cs="Arial"/>
        </w:rPr>
      </w:pPr>
    </w:p>
    <w:p w14:paraId="1FEEC15C" w14:textId="06B813C5" w:rsidR="00E30BB0" w:rsidRDefault="002B6F15" w:rsidP="00C401E4">
      <w:pPr>
        <w:spacing w:after="0" w:line="276" w:lineRule="auto"/>
        <w:jc w:val="both"/>
        <w:rPr>
          <w:rFonts w:ascii="Verdana" w:hAnsi="Verdana" w:cs="Arial"/>
        </w:rPr>
      </w:pPr>
      <w:r>
        <w:rPr>
          <w:rFonts w:ascii="Verdana" w:hAnsi="Verdana" w:cs="Arial"/>
        </w:rPr>
        <w:t>Se p</w:t>
      </w:r>
      <w:r w:rsidR="6DB16D36" w:rsidRPr="00AB06F3">
        <w:rPr>
          <w:rFonts w:ascii="Verdana" w:hAnsi="Verdana" w:cs="Arial"/>
        </w:rPr>
        <w:t xml:space="preserve">uede visualizar información sobre </w:t>
      </w:r>
      <w:r w:rsidR="002E3011">
        <w:rPr>
          <w:rFonts w:ascii="Verdana" w:hAnsi="Verdana" w:cs="Arial"/>
        </w:rPr>
        <w:t>los ETCR</w:t>
      </w:r>
      <w:r w:rsidR="6DB16D36" w:rsidRPr="00AB06F3">
        <w:rPr>
          <w:rFonts w:ascii="Verdana" w:hAnsi="Verdana" w:cs="Arial"/>
        </w:rPr>
        <w:t xml:space="preserve"> </w:t>
      </w:r>
      <w:r w:rsidR="35BA3C7E" w:rsidRPr="00AB06F3">
        <w:rPr>
          <w:rFonts w:ascii="Verdana" w:hAnsi="Verdana" w:cs="Arial"/>
        </w:rPr>
        <w:t xml:space="preserve">en </w:t>
      </w:r>
      <w:r w:rsidR="001E50C3">
        <w:rPr>
          <w:rFonts w:ascii="Verdana" w:hAnsi="Verdana" w:cs="Arial"/>
        </w:rPr>
        <w:t>los</w:t>
      </w:r>
      <w:r w:rsidR="35BA3C7E" w:rsidRPr="00AB06F3">
        <w:rPr>
          <w:rFonts w:ascii="Verdana" w:hAnsi="Verdana" w:cs="Arial"/>
        </w:rPr>
        <w:t xml:space="preserve"> siguiente</w:t>
      </w:r>
      <w:r w:rsidR="001E50C3">
        <w:rPr>
          <w:rFonts w:ascii="Verdana" w:hAnsi="Verdana" w:cs="Arial"/>
        </w:rPr>
        <w:t>s</w:t>
      </w:r>
      <w:r w:rsidR="35BA3C7E" w:rsidRPr="00AB06F3">
        <w:rPr>
          <w:rFonts w:ascii="Verdana" w:hAnsi="Verdana" w:cs="Arial"/>
        </w:rPr>
        <w:t xml:space="preserve"> </w:t>
      </w:r>
      <w:r w:rsidR="001E50C3">
        <w:rPr>
          <w:rFonts w:ascii="Verdana" w:hAnsi="Verdana" w:cs="Arial"/>
        </w:rPr>
        <w:t>enlaces</w:t>
      </w:r>
      <w:r w:rsidR="00E30BB0" w:rsidRPr="00AB06F3">
        <w:rPr>
          <w:rFonts w:ascii="Verdana" w:hAnsi="Verdana" w:cs="Arial"/>
        </w:rPr>
        <w:t>:</w:t>
      </w:r>
    </w:p>
    <w:p w14:paraId="7A7D824F" w14:textId="77777777" w:rsidR="001E50C3" w:rsidRPr="001E50C3" w:rsidRDefault="001E50C3" w:rsidP="001E50C3">
      <w:pPr>
        <w:spacing w:after="0" w:line="276" w:lineRule="auto"/>
        <w:rPr>
          <w:rFonts w:ascii="Verdana" w:hAnsi="Verdana" w:cs="Arial"/>
        </w:rPr>
      </w:pPr>
      <w:hyperlink r:id="rId23" w:tgtFrame="_blank" w:history="1">
        <w:r w:rsidRPr="001E50C3">
          <w:rPr>
            <w:rStyle w:val="Hipervnculo"/>
            <w:rFonts w:ascii="Verdana" w:hAnsi="Verdana" w:cs="Arial"/>
          </w:rPr>
          <w:t>https://youtu.be/vcWNNmq07A0?si=_36aY4gKrBRq-ZqY</w:t>
        </w:r>
      </w:hyperlink>
      <w:r w:rsidRPr="001E50C3">
        <w:rPr>
          <w:rFonts w:ascii="Verdana" w:hAnsi="Verdana" w:cs="Arial"/>
        </w:rPr>
        <w:t> </w:t>
      </w:r>
    </w:p>
    <w:p w14:paraId="3BFD05BD" w14:textId="3E789010" w:rsidR="001E50C3" w:rsidRPr="001E50C3" w:rsidRDefault="001E50C3" w:rsidP="001E50C3">
      <w:pPr>
        <w:spacing w:after="0" w:line="276" w:lineRule="auto"/>
        <w:rPr>
          <w:rFonts w:ascii="Verdana" w:hAnsi="Verdana" w:cs="Arial"/>
        </w:rPr>
      </w:pPr>
      <w:hyperlink r:id="rId24" w:history="1">
        <w:r w:rsidRPr="001E50C3">
          <w:rPr>
            <w:rStyle w:val="Hipervnculo"/>
            <w:rFonts w:ascii="Verdana" w:hAnsi="Verdana" w:cs="Arial"/>
          </w:rPr>
          <w:t>https://youtu.be/WgtG49dbb-w?si=bxdf8MWlOlvH7Lam</w:t>
        </w:r>
      </w:hyperlink>
    </w:p>
    <w:p w14:paraId="74D1F302" w14:textId="77777777" w:rsidR="001E50C3" w:rsidRPr="001E50C3" w:rsidRDefault="001E50C3" w:rsidP="001E50C3">
      <w:pPr>
        <w:spacing w:after="0" w:line="276" w:lineRule="auto"/>
        <w:rPr>
          <w:rFonts w:ascii="Verdana" w:hAnsi="Verdana" w:cs="Arial"/>
        </w:rPr>
      </w:pPr>
      <w:r w:rsidRPr="001E50C3">
        <w:rPr>
          <w:rFonts w:ascii="Verdana" w:hAnsi="Verdana" w:cs="Arial"/>
        </w:rPr>
        <w:t> </w:t>
      </w:r>
    </w:p>
    <w:p w14:paraId="2C42FA1D" w14:textId="6F2BA8E4" w:rsidR="00B709EF" w:rsidRDefault="12842BAD"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sidRPr="00AB06F3">
        <w:rPr>
          <w:rFonts w:ascii="Verdana" w:eastAsia="Verdana" w:hAnsi="Verdana" w:cs="Arial"/>
          <w:b/>
          <w:bCs/>
          <w:color w:val="000000" w:themeColor="text1"/>
          <w:sz w:val="24"/>
          <w:szCs w:val="24"/>
        </w:rPr>
        <w:t>Producto: Recursos de cooperación internacional no reembolsable y de instituciones no gubernamentales para el programa de atención especial para lisiados del conflicto con incapacidad permanente y adultos mayores</w:t>
      </w:r>
    </w:p>
    <w:p w14:paraId="1EA1A45F" w14:textId="77777777" w:rsidR="007E43A8" w:rsidRDefault="007E43A8" w:rsidP="00C71D0A">
      <w:pPr>
        <w:spacing w:after="0" w:line="276" w:lineRule="auto"/>
        <w:jc w:val="both"/>
        <w:rPr>
          <w:rFonts w:ascii="Verdana" w:eastAsia="Verdana" w:hAnsi="Verdana" w:cs="Arial"/>
          <w:b/>
          <w:bCs/>
        </w:rPr>
      </w:pPr>
    </w:p>
    <w:p w14:paraId="0FEC8231" w14:textId="1FBC875C" w:rsidR="00B709EF" w:rsidRPr="00AB06F3" w:rsidRDefault="12842BAD" w:rsidP="00C71D0A">
      <w:pPr>
        <w:spacing w:after="0" w:line="276" w:lineRule="auto"/>
        <w:jc w:val="both"/>
        <w:rPr>
          <w:rFonts w:ascii="Verdana" w:eastAsia="Verdana" w:hAnsi="Verdana" w:cs="Arial"/>
          <w:b/>
          <w:bCs/>
        </w:rPr>
      </w:pPr>
      <w:r w:rsidRPr="00AB06F3">
        <w:rPr>
          <w:rFonts w:ascii="Verdana" w:eastAsia="Verdana" w:hAnsi="Verdana" w:cs="Arial"/>
          <w:b/>
          <w:bCs/>
        </w:rPr>
        <w:t xml:space="preserve">C.460 </w:t>
      </w:r>
      <w:r w:rsidRPr="00AB06F3">
        <w:rPr>
          <w:rFonts w:ascii="Verdana" w:eastAsia="Verdana" w:hAnsi="Verdana" w:cs="Arial"/>
        </w:rPr>
        <w:t>Recursos de cooperación internacional no reembolsable y de instituciones no gubernamentales para el programa de atención especial para lisiados del conflicto con incapacidad permanente y adultos mayores, gestionados en especial en los primeros 36 meses</w:t>
      </w:r>
      <w:r w:rsidRPr="00AB06F3">
        <w:rPr>
          <w:rFonts w:ascii="Verdana" w:eastAsia="Verdana" w:hAnsi="Verdana" w:cs="Arial"/>
          <w:b/>
          <w:bCs/>
          <w:color w:val="000000" w:themeColor="text1"/>
          <w:sz w:val="24"/>
          <w:szCs w:val="24"/>
        </w:rPr>
        <w:t xml:space="preserve"> </w:t>
      </w:r>
    </w:p>
    <w:p w14:paraId="530CDAAB" w14:textId="77777777" w:rsidR="00C52C25" w:rsidRDefault="00C52C25" w:rsidP="00C52C25">
      <w:pPr>
        <w:pStyle w:val="Descripcin"/>
        <w:keepNext/>
        <w:jc w:val="center"/>
        <w:rPr>
          <w:rFonts w:ascii="Verdana" w:eastAsia="Verdana" w:hAnsi="Verdana" w:cs="Arial"/>
          <w:i w:val="0"/>
          <w:iCs w:val="0"/>
          <w:color w:val="000000" w:themeColor="text1"/>
        </w:rPr>
      </w:pPr>
    </w:p>
    <w:p w14:paraId="6C7363FB" w14:textId="3BCC0C4E" w:rsidR="00C52C25" w:rsidRPr="00C52C25" w:rsidRDefault="00C52C25" w:rsidP="00C52C25">
      <w:pPr>
        <w:pStyle w:val="Descripcin"/>
        <w:keepNext/>
        <w:jc w:val="center"/>
        <w:rPr>
          <w:rFonts w:ascii="Verdana" w:eastAsia="Verdana" w:hAnsi="Verdana" w:cs="Arial"/>
          <w:i w:val="0"/>
          <w:iCs w:val="0"/>
          <w:color w:val="000000" w:themeColor="text1"/>
        </w:rPr>
      </w:pPr>
      <w:bookmarkStart w:id="60" w:name="_Toc225283167"/>
      <w:r w:rsidRPr="00C52C25">
        <w:rPr>
          <w:rFonts w:ascii="Verdana" w:eastAsia="Verdana" w:hAnsi="Verdana" w:cs="Arial"/>
          <w:i w:val="0"/>
          <w:iCs w:val="0"/>
          <w:color w:val="000000" w:themeColor="text1"/>
        </w:rPr>
        <w:t xml:space="preserve">Tabla </w:t>
      </w:r>
      <w:r w:rsidRPr="00C52C25">
        <w:rPr>
          <w:rFonts w:ascii="Verdana" w:eastAsia="Verdana" w:hAnsi="Verdana" w:cs="Arial"/>
          <w:i w:val="0"/>
          <w:iCs w:val="0"/>
          <w:color w:val="000000" w:themeColor="text1"/>
        </w:rPr>
        <w:fldChar w:fldCharType="begin"/>
      </w:r>
      <w:r w:rsidRPr="00C52C25">
        <w:rPr>
          <w:rFonts w:ascii="Verdana" w:eastAsia="Verdana" w:hAnsi="Verdana" w:cs="Arial"/>
          <w:i w:val="0"/>
          <w:iCs w:val="0"/>
          <w:color w:val="000000" w:themeColor="text1"/>
        </w:rPr>
        <w:instrText xml:space="preserve"> SEQ Tabla \* ARABIC </w:instrText>
      </w:r>
      <w:r w:rsidRPr="00C52C25">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55</w:t>
      </w:r>
      <w:r w:rsidRPr="00C52C25">
        <w:rPr>
          <w:rFonts w:ascii="Verdana" w:eastAsia="Verdana" w:hAnsi="Verdana" w:cs="Arial"/>
          <w:i w:val="0"/>
          <w:iCs w:val="0"/>
          <w:color w:val="000000" w:themeColor="text1"/>
        </w:rPr>
        <w:fldChar w:fldCharType="end"/>
      </w:r>
      <w:r w:rsidRPr="00C52C25">
        <w:rPr>
          <w:rFonts w:ascii="Verdana" w:eastAsia="Verdana" w:hAnsi="Verdana" w:cs="Arial"/>
          <w:i w:val="0"/>
          <w:iCs w:val="0"/>
          <w:color w:val="000000" w:themeColor="text1"/>
        </w:rPr>
        <w:t>. Detalle de avance en el indicador C.460</w:t>
      </w:r>
      <w:bookmarkEnd w:id="60"/>
    </w:p>
    <w:tbl>
      <w:tblPr>
        <w:tblStyle w:val="Tablaconcuadrcula1clara-nfasis4"/>
        <w:tblW w:w="0" w:type="auto"/>
        <w:jc w:val="center"/>
        <w:tblBorders>
          <w:insideH w:val="single" w:sz="12" w:space="0" w:color="FFD966" w:themeColor="accent4" w:themeTint="99"/>
        </w:tblBorders>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4094"/>
        <w:gridCol w:w="1023"/>
        <w:gridCol w:w="1226"/>
        <w:gridCol w:w="1216"/>
        <w:gridCol w:w="1269"/>
      </w:tblGrid>
      <w:tr w:rsidR="48836A97" w:rsidRPr="00AB06F3" w14:paraId="4114D6B9" w14:textId="77777777" w:rsidTr="00AE6AD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94" w:type="dxa"/>
            <w:tcBorders>
              <w:bottom w:val="none" w:sz="0" w:space="0" w:color="auto"/>
            </w:tcBorders>
            <w:vAlign w:val="center"/>
          </w:tcPr>
          <w:p w14:paraId="4142CCB1" w14:textId="77777777" w:rsidR="48836A97" w:rsidRPr="00AE6ADC" w:rsidRDefault="48836A97" w:rsidP="00C25586">
            <w:pPr>
              <w:spacing w:line="276" w:lineRule="auto"/>
              <w:jc w:val="center"/>
              <w:rPr>
                <w:rFonts w:ascii="Verdana" w:hAnsi="Verdana" w:cs="Arial"/>
                <w:sz w:val="18"/>
                <w:szCs w:val="18"/>
              </w:rPr>
            </w:pPr>
            <w:r w:rsidRPr="00AE6ADC">
              <w:rPr>
                <w:rFonts w:ascii="Verdana" w:hAnsi="Verdana" w:cs="Arial"/>
                <w:sz w:val="18"/>
                <w:szCs w:val="18"/>
              </w:rPr>
              <w:t>Indicador</w:t>
            </w:r>
          </w:p>
        </w:tc>
        <w:tc>
          <w:tcPr>
            <w:tcW w:w="1023" w:type="dxa"/>
            <w:tcBorders>
              <w:bottom w:val="none" w:sz="0" w:space="0" w:color="auto"/>
            </w:tcBorders>
            <w:vAlign w:val="center"/>
          </w:tcPr>
          <w:p w14:paraId="518FC21C" w14:textId="77777777" w:rsidR="48836A97" w:rsidRPr="00AE6AD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AE6ADC">
              <w:rPr>
                <w:rFonts w:ascii="Verdana" w:hAnsi="Verdana" w:cs="Arial"/>
                <w:sz w:val="18"/>
                <w:szCs w:val="18"/>
              </w:rPr>
              <w:t>Tipo</w:t>
            </w:r>
          </w:p>
        </w:tc>
        <w:tc>
          <w:tcPr>
            <w:tcW w:w="1226" w:type="dxa"/>
            <w:tcBorders>
              <w:bottom w:val="none" w:sz="0" w:space="0" w:color="auto"/>
            </w:tcBorders>
            <w:vAlign w:val="center"/>
          </w:tcPr>
          <w:p w14:paraId="42BDA1C1" w14:textId="77777777" w:rsidR="48836A97" w:rsidRPr="00AE6AD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AE6ADC">
              <w:rPr>
                <w:rFonts w:ascii="Verdana" w:hAnsi="Verdana" w:cs="Arial"/>
                <w:sz w:val="18"/>
                <w:szCs w:val="18"/>
              </w:rPr>
              <w:t>Inicio</w:t>
            </w:r>
          </w:p>
        </w:tc>
        <w:tc>
          <w:tcPr>
            <w:tcW w:w="1216" w:type="dxa"/>
            <w:tcBorders>
              <w:bottom w:val="none" w:sz="0" w:space="0" w:color="auto"/>
            </w:tcBorders>
            <w:vAlign w:val="center"/>
          </w:tcPr>
          <w:p w14:paraId="3E84C390" w14:textId="77777777" w:rsidR="48836A97" w:rsidRPr="00AE6AD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highlight w:val="yellow"/>
              </w:rPr>
            </w:pPr>
            <w:r w:rsidRPr="00AE6ADC">
              <w:rPr>
                <w:rFonts w:ascii="Verdana" w:hAnsi="Verdana" w:cs="Arial"/>
                <w:sz w:val="18"/>
                <w:szCs w:val="18"/>
              </w:rPr>
              <w:t>Fin</w:t>
            </w:r>
          </w:p>
        </w:tc>
        <w:tc>
          <w:tcPr>
            <w:tcW w:w="1269" w:type="dxa"/>
            <w:tcBorders>
              <w:bottom w:val="none" w:sz="0" w:space="0" w:color="auto"/>
            </w:tcBorders>
          </w:tcPr>
          <w:p w14:paraId="35716565" w14:textId="797EBD17" w:rsidR="48836A97" w:rsidRPr="00AE6ADC" w:rsidRDefault="48836A97" w:rsidP="00C25586">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AE6ADC">
              <w:rPr>
                <w:rFonts w:ascii="Verdana" w:hAnsi="Verdana" w:cs="Arial"/>
                <w:color w:val="000000" w:themeColor="text1"/>
                <w:sz w:val="18"/>
                <w:szCs w:val="18"/>
              </w:rPr>
              <w:t>Avance al 202</w:t>
            </w:r>
            <w:r w:rsidR="008A34B3">
              <w:rPr>
                <w:rFonts w:ascii="Verdana" w:hAnsi="Verdana" w:cs="Arial"/>
                <w:color w:val="000000" w:themeColor="text1"/>
                <w:sz w:val="18"/>
                <w:szCs w:val="18"/>
              </w:rPr>
              <w:t>5</w:t>
            </w:r>
          </w:p>
        </w:tc>
      </w:tr>
      <w:tr w:rsidR="48836A97" w:rsidRPr="00AB06F3" w14:paraId="0DAEB1A7" w14:textId="77777777" w:rsidTr="00AE6ADC">
        <w:trPr>
          <w:trHeight w:val="300"/>
          <w:jc w:val="center"/>
        </w:trPr>
        <w:tc>
          <w:tcPr>
            <w:cnfStyle w:val="001000000000" w:firstRow="0" w:lastRow="0" w:firstColumn="1" w:lastColumn="0" w:oddVBand="0" w:evenVBand="0" w:oddHBand="0" w:evenHBand="0" w:firstRowFirstColumn="0" w:firstRowLastColumn="0" w:lastRowFirstColumn="0" w:lastRowLastColumn="0"/>
            <w:tcW w:w="4094" w:type="dxa"/>
            <w:vAlign w:val="center"/>
          </w:tcPr>
          <w:p w14:paraId="56EA8EBD" w14:textId="6DA42A50" w:rsidR="2A21C8F1" w:rsidRPr="00AB06F3" w:rsidRDefault="2A21C8F1" w:rsidP="001049EE">
            <w:pPr>
              <w:spacing w:line="276" w:lineRule="auto"/>
              <w:jc w:val="both"/>
              <w:rPr>
                <w:rFonts w:ascii="Verdana" w:hAnsi="Verdana" w:cs="Arial"/>
                <w:b w:val="0"/>
                <w:bCs w:val="0"/>
                <w:sz w:val="18"/>
                <w:szCs w:val="18"/>
              </w:rPr>
            </w:pPr>
            <w:r w:rsidRPr="00AB06F3">
              <w:rPr>
                <w:rFonts w:ascii="Verdana" w:hAnsi="Verdana" w:cs="Arial"/>
                <w:b w:val="0"/>
                <w:bCs w:val="0"/>
                <w:sz w:val="18"/>
                <w:szCs w:val="18"/>
              </w:rPr>
              <w:lastRenderedPageBreak/>
              <w:t xml:space="preserve">C.460 Recursos de cooperación internacional no reembolsable y de instituciones no gubernamentales para el programa de atención especial para lisiados del conflicto con incapacidad permanente y adultos mayores, gestionados en especial en los primeros 36 meses </w:t>
            </w:r>
          </w:p>
        </w:tc>
        <w:tc>
          <w:tcPr>
            <w:tcW w:w="1023" w:type="dxa"/>
            <w:vAlign w:val="center"/>
          </w:tcPr>
          <w:p w14:paraId="59486019" w14:textId="77777777"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sz w:val="18"/>
                <w:szCs w:val="18"/>
              </w:rPr>
            </w:pPr>
            <w:r w:rsidRPr="00AB06F3">
              <w:rPr>
                <w:rFonts w:ascii="Verdana" w:hAnsi="Verdana" w:cs="Arial"/>
                <w:sz w:val="18"/>
                <w:szCs w:val="18"/>
              </w:rPr>
              <w:t>Temático</w:t>
            </w:r>
          </w:p>
        </w:tc>
        <w:tc>
          <w:tcPr>
            <w:tcW w:w="1226" w:type="dxa"/>
            <w:shd w:val="clear" w:color="auto" w:fill="FFFFFF" w:themeFill="background1"/>
            <w:vAlign w:val="center"/>
          </w:tcPr>
          <w:p w14:paraId="65BB00BB" w14:textId="546317C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2017</w:t>
            </w:r>
          </w:p>
        </w:tc>
        <w:tc>
          <w:tcPr>
            <w:tcW w:w="1216" w:type="dxa"/>
            <w:shd w:val="clear" w:color="auto" w:fill="FFFFFF" w:themeFill="background1"/>
            <w:vAlign w:val="center"/>
          </w:tcPr>
          <w:p w14:paraId="10D35E29" w14:textId="4FDBD2CB"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AB06F3">
              <w:rPr>
                <w:rFonts w:ascii="Verdana" w:eastAsia="Verdana" w:hAnsi="Verdana" w:cs="Arial"/>
                <w:sz w:val="18"/>
                <w:szCs w:val="18"/>
              </w:rPr>
              <w:t>2026</w:t>
            </w:r>
          </w:p>
        </w:tc>
        <w:tc>
          <w:tcPr>
            <w:tcW w:w="1269" w:type="dxa"/>
            <w:vAlign w:val="center"/>
          </w:tcPr>
          <w:p w14:paraId="28399FEE" w14:textId="7C67BCDE" w:rsidR="48836A97" w:rsidRPr="00AB06F3" w:rsidRDefault="48836A97" w:rsidP="00C25586">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color w:val="000000" w:themeColor="text1"/>
                <w:sz w:val="18"/>
                <w:szCs w:val="18"/>
              </w:rPr>
            </w:pPr>
            <w:r w:rsidRPr="00AB06F3">
              <w:rPr>
                <w:rFonts w:ascii="Verdana" w:hAnsi="Verdana" w:cs="Arial"/>
                <w:color w:val="000000" w:themeColor="text1"/>
                <w:sz w:val="18"/>
                <w:szCs w:val="18"/>
              </w:rPr>
              <w:t xml:space="preserve">100% </w:t>
            </w:r>
          </w:p>
        </w:tc>
      </w:tr>
    </w:tbl>
    <w:p w14:paraId="7E6187F0"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913DE70" w14:textId="77777777" w:rsidR="00AE6ADC" w:rsidRPr="00157B16" w:rsidRDefault="00AE6ADC" w:rsidP="00C25586">
      <w:pPr>
        <w:pStyle w:val="Prrafodelista"/>
        <w:spacing w:after="0" w:line="276" w:lineRule="auto"/>
        <w:rPr>
          <w:rFonts w:ascii="Verdana" w:hAnsi="Verdana" w:cs="Arial"/>
        </w:rPr>
      </w:pPr>
    </w:p>
    <w:p w14:paraId="7A040FAE" w14:textId="43F3C04B" w:rsidR="00B709EF" w:rsidRPr="00231E7C" w:rsidRDefault="3CD3DB5F" w:rsidP="696F6128">
      <w:pPr>
        <w:pStyle w:val="Ttulo5"/>
        <w:numPr>
          <w:ilvl w:val="0"/>
          <w:numId w:val="12"/>
        </w:numPr>
        <w:spacing w:after="0" w:line="276" w:lineRule="auto"/>
        <w:jc w:val="both"/>
        <w:rPr>
          <w:rFonts w:ascii="Verdana" w:hAnsi="Verdana" w:cs="Arial"/>
          <w:color w:val="auto"/>
          <w:sz w:val="24"/>
          <w:szCs w:val="24"/>
        </w:rPr>
      </w:pPr>
      <w:r w:rsidRPr="696F6128">
        <w:rPr>
          <w:rFonts w:ascii="Verdana" w:hAnsi="Verdana" w:cs="Arial"/>
          <w:color w:val="auto"/>
          <w:sz w:val="24"/>
          <w:szCs w:val="24"/>
        </w:rPr>
        <w:t xml:space="preserve">¿Cómo lo hicimos y con qué recursos?  </w:t>
      </w:r>
    </w:p>
    <w:p w14:paraId="7182DA8A" w14:textId="58834784" w:rsidR="00B709EF" w:rsidRPr="00231E7C" w:rsidRDefault="00B709EF" w:rsidP="696F6128">
      <w:pPr>
        <w:spacing w:after="0" w:line="276" w:lineRule="auto"/>
        <w:jc w:val="both"/>
        <w:rPr>
          <w:rFonts w:ascii="Verdana" w:hAnsi="Verdana" w:cs="Arial"/>
          <w:sz w:val="24"/>
          <w:szCs w:val="24"/>
          <w:highlight w:val="darkGray"/>
        </w:rPr>
      </w:pPr>
    </w:p>
    <w:p w14:paraId="20F3ADD8" w14:textId="04F3821E" w:rsidR="009279D5" w:rsidRDefault="009279D5" w:rsidP="00C401E4">
      <w:pPr>
        <w:spacing w:after="0" w:line="276" w:lineRule="auto"/>
        <w:jc w:val="both"/>
        <w:rPr>
          <w:rFonts w:ascii="Verdana" w:hAnsi="Verdana" w:cs="Arial"/>
          <w:sz w:val="24"/>
          <w:szCs w:val="24"/>
        </w:rPr>
      </w:pPr>
      <w:r w:rsidRPr="696F6128">
        <w:rPr>
          <w:rFonts w:ascii="Verdana" w:hAnsi="Verdana" w:cs="Arial"/>
          <w:sz w:val="24"/>
          <w:szCs w:val="24"/>
        </w:rPr>
        <w:t xml:space="preserve">En el marco del </w:t>
      </w:r>
      <w:r w:rsidRPr="696F6128">
        <w:rPr>
          <w:rFonts w:ascii="Verdana" w:hAnsi="Verdana" w:cs="Arial"/>
          <w:b/>
          <w:bCs/>
          <w:sz w:val="24"/>
          <w:szCs w:val="24"/>
        </w:rPr>
        <w:t>C</w:t>
      </w:r>
      <w:r w:rsidRPr="696F6128">
        <w:rPr>
          <w:rFonts w:ascii="Verdana" w:hAnsi="Verdana" w:cs="Arial"/>
          <w:sz w:val="24"/>
          <w:szCs w:val="24"/>
        </w:rPr>
        <w:t xml:space="preserve">onvenio de Cooperación Internacional No. 1490 de 2025, suscrito entre el Gobierno de la República de Colombia, representado por la </w:t>
      </w:r>
      <w:r w:rsidR="00FF5173" w:rsidRPr="696F6128">
        <w:rPr>
          <w:rFonts w:ascii="Verdana" w:hAnsi="Verdana" w:cs="Arial"/>
          <w:sz w:val="24"/>
          <w:szCs w:val="24"/>
        </w:rPr>
        <w:t>Agencia para la Reincorporación y la Normalización</w:t>
      </w:r>
      <w:r w:rsidRPr="696F6128">
        <w:rPr>
          <w:rFonts w:ascii="Verdana" w:hAnsi="Verdana" w:cs="Arial"/>
          <w:sz w:val="24"/>
          <w:szCs w:val="24"/>
        </w:rPr>
        <w:t xml:space="preserve">, y </w:t>
      </w:r>
      <w:r w:rsidR="6CFA85AF" w:rsidRPr="696F6128">
        <w:rPr>
          <w:rFonts w:ascii="Verdana" w:hAnsi="Verdana" w:cs="Arial"/>
          <w:sz w:val="24"/>
          <w:szCs w:val="24"/>
        </w:rPr>
        <w:t xml:space="preserve">la organización </w:t>
      </w:r>
      <w:r w:rsidRPr="696F6128">
        <w:rPr>
          <w:rFonts w:ascii="Verdana" w:hAnsi="Verdana" w:cs="Arial"/>
          <w:sz w:val="24"/>
          <w:szCs w:val="24"/>
        </w:rPr>
        <w:t xml:space="preserve">We Effect, se evidencia el cumplimiento del indicador, toda vez que </w:t>
      </w:r>
      <w:r w:rsidR="11F087FE" w:rsidRPr="696F6128">
        <w:rPr>
          <w:rFonts w:ascii="Verdana" w:hAnsi="Verdana" w:cs="Arial"/>
          <w:sz w:val="24"/>
          <w:szCs w:val="24"/>
        </w:rPr>
        <w:t xml:space="preserve">este </w:t>
      </w:r>
      <w:r w:rsidRPr="696F6128">
        <w:rPr>
          <w:rFonts w:ascii="Verdana" w:hAnsi="Verdana" w:cs="Arial"/>
          <w:sz w:val="24"/>
          <w:szCs w:val="24"/>
        </w:rPr>
        <w:t xml:space="preserve">acuerdo articula recursos propios de la entidad con una contrapartida financiera de la Embajada de Suecia en Colombia por $400 millones. </w:t>
      </w:r>
    </w:p>
    <w:p w14:paraId="5DA69750" w14:textId="77777777" w:rsidR="0077302C" w:rsidRPr="00231E7C" w:rsidRDefault="0077302C" w:rsidP="00C401E4">
      <w:pPr>
        <w:spacing w:after="0" w:line="276" w:lineRule="auto"/>
        <w:jc w:val="both"/>
        <w:rPr>
          <w:rFonts w:ascii="Verdana" w:hAnsi="Verdana" w:cs="Arial"/>
          <w:sz w:val="24"/>
          <w:szCs w:val="24"/>
        </w:rPr>
      </w:pPr>
    </w:p>
    <w:p w14:paraId="0032B086" w14:textId="7981E26F" w:rsidR="009279D5" w:rsidRPr="00231E7C" w:rsidRDefault="009279D5" w:rsidP="00C401E4">
      <w:pPr>
        <w:spacing w:after="0" w:line="276" w:lineRule="auto"/>
        <w:jc w:val="both"/>
        <w:rPr>
          <w:rFonts w:ascii="Verdana" w:hAnsi="Verdana" w:cs="Arial"/>
          <w:sz w:val="24"/>
          <w:szCs w:val="24"/>
        </w:rPr>
      </w:pPr>
      <w:r w:rsidRPr="696F6128">
        <w:rPr>
          <w:rFonts w:ascii="Verdana" w:hAnsi="Verdana" w:cs="Arial"/>
          <w:sz w:val="24"/>
          <w:szCs w:val="24"/>
        </w:rPr>
        <w:t>El objeto del convenio y las acciones proyectadas se encuentran alineadas con el Programa de Reincorporación Integral y el programa Capazcidades, particularmente en el eje de empleabilidad para población con discapacidad</w:t>
      </w:r>
      <w:r w:rsidR="76B7619D" w:rsidRPr="696F6128">
        <w:rPr>
          <w:rFonts w:ascii="Verdana" w:hAnsi="Verdana" w:cs="Arial"/>
          <w:sz w:val="24"/>
          <w:szCs w:val="24"/>
        </w:rPr>
        <w:t>. De, s</w:t>
      </w:r>
      <w:r w:rsidRPr="696F6128">
        <w:rPr>
          <w:rFonts w:ascii="Verdana" w:hAnsi="Verdana" w:cs="Arial"/>
          <w:sz w:val="24"/>
          <w:szCs w:val="24"/>
        </w:rPr>
        <w:t xml:space="preserve">e fortalece la gestión de cooperación internacional con enfoque diferencial y </w:t>
      </w:r>
      <w:r w:rsidR="26BF7C04" w:rsidRPr="696F6128">
        <w:rPr>
          <w:rFonts w:ascii="Verdana" w:hAnsi="Verdana" w:cs="Arial"/>
          <w:sz w:val="24"/>
          <w:szCs w:val="24"/>
        </w:rPr>
        <w:t xml:space="preserve">se </w:t>
      </w:r>
      <w:r w:rsidRPr="696F6128">
        <w:rPr>
          <w:rFonts w:ascii="Verdana" w:hAnsi="Verdana" w:cs="Arial"/>
          <w:sz w:val="24"/>
          <w:szCs w:val="24"/>
        </w:rPr>
        <w:t xml:space="preserve">contribuye al logro de los resultados misionales </w:t>
      </w:r>
      <w:r w:rsidR="63842E8C" w:rsidRPr="696F6128">
        <w:rPr>
          <w:rFonts w:ascii="Verdana" w:hAnsi="Verdana" w:cs="Arial"/>
          <w:sz w:val="24"/>
          <w:szCs w:val="24"/>
        </w:rPr>
        <w:t>asocia</w:t>
      </w:r>
      <w:r w:rsidRPr="696F6128">
        <w:rPr>
          <w:rFonts w:ascii="Verdana" w:hAnsi="Verdana" w:cs="Arial"/>
          <w:sz w:val="24"/>
          <w:szCs w:val="24"/>
        </w:rPr>
        <w:t xml:space="preserve">dos </w:t>
      </w:r>
      <w:r w:rsidR="2BAB9F9F" w:rsidRPr="696F6128">
        <w:rPr>
          <w:rFonts w:ascii="Verdana" w:hAnsi="Verdana" w:cs="Arial"/>
          <w:sz w:val="24"/>
          <w:szCs w:val="24"/>
        </w:rPr>
        <w:t>al</w:t>
      </w:r>
      <w:r w:rsidRPr="696F6128">
        <w:rPr>
          <w:rFonts w:ascii="Verdana" w:hAnsi="Verdana" w:cs="Arial"/>
          <w:sz w:val="24"/>
          <w:szCs w:val="24"/>
        </w:rPr>
        <w:t xml:space="preserve"> indicador.</w:t>
      </w:r>
    </w:p>
    <w:p w14:paraId="5B3D8216" w14:textId="77777777" w:rsidR="008A4CE7" w:rsidRPr="009279D5" w:rsidRDefault="008A4CE7" w:rsidP="00C401E4">
      <w:pPr>
        <w:spacing w:after="0" w:line="276" w:lineRule="auto"/>
        <w:jc w:val="both"/>
        <w:rPr>
          <w:rFonts w:ascii="Verdana" w:hAnsi="Verdana" w:cs="Arial"/>
          <w:color w:val="000000" w:themeColor="text1"/>
          <w:sz w:val="24"/>
          <w:szCs w:val="24"/>
        </w:rPr>
      </w:pPr>
    </w:p>
    <w:p w14:paraId="2F52FD9B" w14:textId="44EC9B1B" w:rsidR="009279D5" w:rsidRDefault="009279D5" w:rsidP="00C401E4">
      <w:pPr>
        <w:spacing w:after="0" w:line="276" w:lineRule="auto"/>
        <w:jc w:val="both"/>
        <w:rPr>
          <w:rFonts w:ascii="Verdana" w:hAnsi="Verdana" w:cs="Arial"/>
          <w:sz w:val="24"/>
          <w:szCs w:val="24"/>
        </w:rPr>
      </w:pPr>
      <w:r w:rsidRPr="696F6128">
        <w:rPr>
          <w:rFonts w:ascii="Verdana" w:hAnsi="Verdana" w:cs="Arial"/>
          <w:sz w:val="24"/>
          <w:szCs w:val="24"/>
        </w:rPr>
        <w:t xml:space="preserve">No obstante, durante la vigencia se presentaron restricciones presupuestales y de gobernanza que limitaron </w:t>
      </w:r>
      <w:r w:rsidR="42040107" w:rsidRPr="696F6128">
        <w:rPr>
          <w:rFonts w:ascii="Verdana" w:hAnsi="Verdana" w:cs="Arial"/>
          <w:sz w:val="24"/>
          <w:szCs w:val="24"/>
        </w:rPr>
        <w:t>la</w:t>
      </w:r>
      <w:r w:rsidR="2D150F42" w:rsidRPr="696F6128">
        <w:rPr>
          <w:rFonts w:ascii="Verdana" w:hAnsi="Verdana" w:cs="Arial"/>
          <w:sz w:val="24"/>
          <w:szCs w:val="24"/>
        </w:rPr>
        <w:t>s</w:t>
      </w:r>
      <w:r w:rsidRPr="696F6128">
        <w:rPr>
          <w:rFonts w:ascii="Verdana" w:hAnsi="Verdana" w:cs="Arial"/>
          <w:sz w:val="24"/>
          <w:szCs w:val="24"/>
        </w:rPr>
        <w:t xml:space="preserve"> gestiones de </w:t>
      </w:r>
      <w:r w:rsidR="05DF83FE" w:rsidRPr="696F6128">
        <w:rPr>
          <w:rFonts w:ascii="Verdana" w:hAnsi="Verdana" w:cs="Arial"/>
          <w:sz w:val="24"/>
          <w:szCs w:val="24"/>
        </w:rPr>
        <w:t xml:space="preserve">nuevas fuentes de </w:t>
      </w:r>
      <w:r w:rsidRPr="696F6128">
        <w:rPr>
          <w:rFonts w:ascii="Verdana" w:hAnsi="Verdana" w:cs="Arial"/>
          <w:sz w:val="24"/>
          <w:szCs w:val="24"/>
        </w:rPr>
        <w:t xml:space="preserve">financiación, en un contexto marcado por la reducción de recursos </w:t>
      </w:r>
      <w:r w:rsidR="0AA24BAE" w:rsidRPr="696F6128">
        <w:rPr>
          <w:rFonts w:ascii="Verdana" w:hAnsi="Verdana" w:cs="Arial"/>
          <w:sz w:val="24"/>
          <w:szCs w:val="24"/>
        </w:rPr>
        <w:t xml:space="preserve">de cooperación destinados a </w:t>
      </w:r>
      <w:r w:rsidRPr="696F6128">
        <w:rPr>
          <w:rFonts w:ascii="Verdana" w:hAnsi="Verdana" w:cs="Arial"/>
          <w:sz w:val="24"/>
          <w:szCs w:val="24"/>
        </w:rPr>
        <w:t xml:space="preserve">temas de paz y </w:t>
      </w:r>
      <w:r w:rsidR="4AE92893" w:rsidRPr="696F6128">
        <w:rPr>
          <w:rFonts w:ascii="Verdana" w:hAnsi="Verdana" w:cs="Arial"/>
          <w:sz w:val="24"/>
          <w:szCs w:val="24"/>
        </w:rPr>
        <w:t xml:space="preserve">por </w:t>
      </w:r>
      <w:r w:rsidRPr="696F6128">
        <w:rPr>
          <w:rFonts w:ascii="Verdana" w:hAnsi="Verdana" w:cs="Arial"/>
          <w:sz w:val="24"/>
          <w:szCs w:val="24"/>
        </w:rPr>
        <w:t xml:space="preserve">la salida de USAID, lo </w:t>
      </w:r>
      <w:r w:rsidR="53BDF7FC" w:rsidRPr="696F6128">
        <w:rPr>
          <w:rFonts w:ascii="Verdana" w:hAnsi="Verdana" w:cs="Arial"/>
          <w:sz w:val="24"/>
          <w:szCs w:val="24"/>
        </w:rPr>
        <w:t xml:space="preserve">cual </w:t>
      </w:r>
      <w:r w:rsidRPr="696F6128">
        <w:rPr>
          <w:rFonts w:ascii="Verdana" w:hAnsi="Verdana" w:cs="Arial"/>
          <w:sz w:val="24"/>
          <w:szCs w:val="24"/>
        </w:rPr>
        <w:t xml:space="preserve">incrementó la competencia por </w:t>
      </w:r>
      <w:r w:rsidR="15DEC323" w:rsidRPr="696F6128">
        <w:rPr>
          <w:rFonts w:ascii="Verdana" w:hAnsi="Verdana" w:cs="Arial"/>
          <w:sz w:val="24"/>
          <w:szCs w:val="24"/>
        </w:rPr>
        <w:t>recursos de cooperación</w:t>
      </w:r>
      <w:r w:rsidRPr="696F6128">
        <w:rPr>
          <w:rFonts w:ascii="Verdana" w:hAnsi="Verdana" w:cs="Arial"/>
          <w:sz w:val="24"/>
          <w:szCs w:val="24"/>
        </w:rPr>
        <w:t xml:space="preserve"> </w:t>
      </w:r>
      <w:r w:rsidR="693EDCA8" w:rsidRPr="696F6128">
        <w:rPr>
          <w:rFonts w:ascii="Verdana" w:hAnsi="Verdana" w:cs="Arial"/>
          <w:sz w:val="24"/>
          <w:szCs w:val="24"/>
        </w:rPr>
        <w:t>internacional</w:t>
      </w:r>
      <w:r w:rsidRPr="696F6128">
        <w:rPr>
          <w:rFonts w:ascii="Verdana" w:hAnsi="Verdana" w:cs="Arial"/>
          <w:sz w:val="24"/>
          <w:szCs w:val="24"/>
        </w:rPr>
        <w:t xml:space="preserve">. </w:t>
      </w:r>
      <w:r w:rsidR="52354930" w:rsidRPr="696F6128">
        <w:rPr>
          <w:rFonts w:ascii="Verdana" w:hAnsi="Verdana" w:cs="Arial"/>
          <w:sz w:val="24"/>
          <w:szCs w:val="24"/>
        </w:rPr>
        <w:t>En este contexto, e</w:t>
      </w:r>
      <w:r w:rsidRPr="696F6128">
        <w:rPr>
          <w:rFonts w:ascii="Verdana" w:hAnsi="Verdana" w:cs="Arial"/>
          <w:sz w:val="24"/>
          <w:szCs w:val="24"/>
        </w:rPr>
        <w:t xml:space="preserve">l proyecto hotelero de CONELAEC continúa suspendido debido a </w:t>
      </w:r>
      <w:r w:rsidR="67423EE3" w:rsidRPr="696F6128">
        <w:rPr>
          <w:rFonts w:ascii="Verdana" w:hAnsi="Verdana" w:cs="Arial"/>
          <w:sz w:val="24"/>
          <w:szCs w:val="24"/>
        </w:rPr>
        <w:t xml:space="preserve">dificultades </w:t>
      </w:r>
      <w:r w:rsidR="67423EE3" w:rsidRPr="696F6128">
        <w:rPr>
          <w:rFonts w:ascii="Verdana" w:eastAsia="Verdana" w:hAnsi="Verdana" w:cs="Verdana"/>
          <w:sz w:val="24"/>
          <w:szCs w:val="24"/>
        </w:rPr>
        <w:t xml:space="preserve">en el proceso de adjudicación del predio en Mesitas del Colegio por parte de la Sociedad de Activos Especiales, situación que ha impedido su presentación ante potenciales cooperantes. </w:t>
      </w:r>
    </w:p>
    <w:p w14:paraId="0DA48A61" w14:textId="7AFC2E99" w:rsidR="696F6128" w:rsidRDefault="696F6128" w:rsidP="696F6128">
      <w:pPr>
        <w:spacing w:after="0" w:line="276" w:lineRule="auto"/>
        <w:rPr>
          <w:rFonts w:ascii="Verdana" w:hAnsi="Verdana" w:cs="Arial"/>
          <w:sz w:val="24"/>
          <w:szCs w:val="24"/>
        </w:rPr>
      </w:pPr>
    </w:p>
    <w:p w14:paraId="61B646E6" w14:textId="38D7A8A9" w:rsidR="67423EE3" w:rsidRDefault="67423EE3" w:rsidP="00C401E4">
      <w:pPr>
        <w:spacing w:after="0" w:line="276" w:lineRule="auto"/>
        <w:jc w:val="both"/>
        <w:rPr>
          <w:rFonts w:ascii="Verdana" w:hAnsi="Verdana" w:cs="Arial"/>
          <w:sz w:val="24"/>
          <w:szCs w:val="24"/>
        </w:rPr>
      </w:pPr>
      <w:r w:rsidRPr="696F6128">
        <w:rPr>
          <w:rFonts w:ascii="Verdana" w:hAnsi="Verdana" w:cs="Arial"/>
          <w:sz w:val="24"/>
          <w:szCs w:val="24"/>
        </w:rPr>
        <w:t>A pesar de estas limitaciones, s</w:t>
      </w:r>
      <w:r w:rsidR="009279D5" w:rsidRPr="696F6128">
        <w:rPr>
          <w:rFonts w:ascii="Verdana" w:hAnsi="Verdana" w:cs="Arial"/>
          <w:sz w:val="24"/>
          <w:szCs w:val="24"/>
        </w:rPr>
        <w:t xml:space="preserve">e destaca la formulación y presentación de iniciativas ante convocatorias como “Discapacidad por la Paz” </w:t>
      </w:r>
      <w:r w:rsidR="757D931C" w:rsidRPr="696F6128">
        <w:rPr>
          <w:rFonts w:ascii="Verdana" w:hAnsi="Verdana" w:cs="Arial"/>
          <w:sz w:val="24"/>
          <w:szCs w:val="24"/>
        </w:rPr>
        <w:t xml:space="preserve">liderada por </w:t>
      </w:r>
      <w:r w:rsidR="009279D5" w:rsidRPr="696F6128">
        <w:rPr>
          <w:rFonts w:ascii="Verdana" w:hAnsi="Verdana" w:cs="Arial"/>
          <w:sz w:val="24"/>
          <w:szCs w:val="24"/>
        </w:rPr>
        <w:t xml:space="preserve">el PNUD </w:t>
      </w:r>
      <w:r w:rsidR="0F890F18" w:rsidRPr="696F6128">
        <w:rPr>
          <w:rFonts w:ascii="Verdana" w:eastAsia="Verdana" w:hAnsi="Verdana" w:cs="Verdana"/>
          <w:sz w:val="24"/>
          <w:szCs w:val="24"/>
        </w:rPr>
        <w:t xml:space="preserve">con recursos del Gobierno de Noruega. Asimismo, se adelantó </w:t>
      </w:r>
      <w:r w:rsidR="0F890F18" w:rsidRPr="696F6128">
        <w:rPr>
          <w:rFonts w:ascii="Verdana" w:eastAsia="Verdana" w:hAnsi="Verdana" w:cs="Verdana"/>
          <w:sz w:val="24"/>
          <w:szCs w:val="24"/>
        </w:rPr>
        <w:lastRenderedPageBreak/>
        <w:t>trabajo articulado con el Ministerio de Salud y Protección Social de Colombia, así como con la Unidad de Implementación y la IPS CIREC, para la estructuración de nuevas propuestas orientadas a la inclusión socioeconómica de población con discapacidad.</w:t>
      </w:r>
    </w:p>
    <w:p w14:paraId="0BF6D0B3" w14:textId="5B01528A" w:rsidR="696F6128" w:rsidRDefault="696F6128" w:rsidP="00C401E4">
      <w:pPr>
        <w:spacing w:after="0" w:line="276" w:lineRule="auto"/>
        <w:jc w:val="both"/>
        <w:rPr>
          <w:rFonts w:ascii="Verdana" w:hAnsi="Verdana" w:cs="Arial"/>
          <w:sz w:val="24"/>
          <w:szCs w:val="24"/>
        </w:rPr>
      </w:pPr>
    </w:p>
    <w:p w14:paraId="73FCB29B" w14:textId="46253B1B" w:rsidR="0F890F18" w:rsidRDefault="0F890F18" w:rsidP="00C401E4">
      <w:pPr>
        <w:spacing w:after="0" w:line="276" w:lineRule="auto"/>
        <w:jc w:val="both"/>
      </w:pPr>
      <w:r w:rsidRPr="696F6128">
        <w:rPr>
          <w:rFonts w:ascii="Verdana" w:eastAsia="Verdana" w:hAnsi="Verdana" w:cs="Verdana"/>
          <w:sz w:val="24"/>
          <w:szCs w:val="24"/>
        </w:rPr>
        <w:t>En relación con el proyecto desarrollado con la Fundación ONCE para la Solidaridad de las Personas Ciegas de América Latina, al cierre de 2025 el proyecto “Rutas para la reducción de brechas en población firmante de paz con discapacidad visual” avanzó desde la fase de diagnóstico y caracterización territorial de potenciales beneficiarios en cinco departamentos priorizados hacia la estructuración técnica y jurídica del mecanismo de intercambio de información. Este proceso incluyó la elaboración y validación del anexo técnico y los estudios previos para la protección de datos sensibles, culminando en diciembre de 2025 con la firma del acuerdo de cooperación para el intercambio de información, lo cual habilita la transferencia de bases de datos y la posterior vinculación de beneficiarios a las rutas de rehabilitación integral y empleabilidad previstas en el plan de trabajo.</w:t>
      </w:r>
    </w:p>
    <w:p w14:paraId="630623E5" w14:textId="77777777" w:rsidR="0077302C" w:rsidRDefault="0077302C" w:rsidP="00C401E4">
      <w:pPr>
        <w:jc w:val="both"/>
        <w:rPr>
          <w:rFonts w:ascii="Verdana" w:eastAsia="Verdana" w:hAnsi="Verdana" w:cs="Verdana"/>
          <w:sz w:val="24"/>
          <w:szCs w:val="24"/>
        </w:rPr>
      </w:pPr>
    </w:p>
    <w:p w14:paraId="2BDB6F7A" w14:textId="74CF0EF9" w:rsidR="0F890F18" w:rsidRDefault="0F890F18" w:rsidP="00C401E4">
      <w:pPr>
        <w:jc w:val="both"/>
      </w:pPr>
      <w:r w:rsidRPr="696F6128">
        <w:rPr>
          <w:rFonts w:ascii="Verdana" w:eastAsia="Verdana" w:hAnsi="Verdana" w:cs="Verdana"/>
          <w:sz w:val="24"/>
          <w:szCs w:val="24"/>
        </w:rPr>
        <w:t>Por su parte, en el marco del Convenio y Acuerdo de Financiamiento No. 1650 de 2021 suscrito entre el Programa de las Naciones Unidas para el Desarrollo y la ARN, correspondiente al proyecto No. 00137301 “Fortalecimiento de la ruta de reincorporación socioeconómica”, durante 2025 la Estrategia Diferencial de Inclusión para el Desarrollo Ocupacional y Productivo apoyó ocho iniciativas de emprendimiento colectivo (IEC). De estas, cuatro fueron fortalecidas en su fase de operación y cuatro acompañadas desde su etapa inicial. Adicionalmente, se entregaron 16 elementos tecnológicos en el primer trimestre y dos motocargueros a una iniciativa de reciclaje en Santa Marta durante el segundo trimestre. También se desarrollaron siete procesos formativos en Medellín y Caldono en áreas como ecoturismo y confecciones. Durante el segundo semestre no se ejecutaron nuevas actividades debido a la ausencia de presupuesto asignado a la línea 3 del enfoque diferencial, quedando cumplidas y reportadas las acciones programadas para la vigencia.</w:t>
      </w:r>
    </w:p>
    <w:p w14:paraId="05ABF0B7" w14:textId="2BB1919C" w:rsidR="0F890F18" w:rsidRDefault="0F890F18" w:rsidP="00C401E4">
      <w:pPr>
        <w:jc w:val="both"/>
      </w:pPr>
      <w:r w:rsidRPr="696F6128">
        <w:rPr>
          <w:rFonts w:ascii="Verdana" w:eastAsia="Verdana" w:hAnsi="Verdana" w:cs="Verdana"/>
          <w:sz w:val="24"/>
          <w:szCs w:val="24"/>
        </w:rPr>
        <w:t xml:space="preserve">Finalmente, de conformidad con lo establecido en el Oficio No. 20253610783871 del 13 de noviembre de 2025 del Departamento Nacional de Planeación, mediante el cual se aprobaron las fichas de los nuevos indicadores del PMI a cargo de la ARN, y en el correo del 26 de diciembre donde se confirmó el cierre del indicador C.460 para la vigencia </w:t>
      </w:r>
      <w:r w:rsidRPr="696F6128">
        <w:rPr>
          <w:rFonts w:ascii="Verdana" w:eastAsia="Verdana" w:hAnsi="Verdana" w:cs="Verdana"/>
          <w:sz w:val="24"/>
          <w:szCs w:val="24"/>
        </w:rPr>
        <w:lastRenderedPageBreak/>
        <w:t>2025, se procedió a la creación del nuevo indicador C.MT.8.N – Avance de planes de reincorporación individual de las personas con discapacidad, personas mayores y personas con enfermedades de alto costo, con el fin de dar continuidad al seguimiento de la gestión bajo los lineamientos metodológicos aprobados y garantizar una medición actualizada, pertinente y alineada con la estructura vigente del PMI.</w:t>
      </w:r>
    </w:p>
    <w:p w14:paraId="45A3C6A9" w14:textId="2FF0EC89" w:rsidR="00C52C25" w:rsidRPr="00C52C25" w:rsidRDefault="00C52C25" w:rsidP="00C52C25">
      <w:pPr>
        <w:pStyle w:val="Descripcin"/>
        <w:keepNext/>
        <w:jc w:val="center"/>
        <w:rPr>
          <w:rFonts w:ascii="Verdana" w:hAnsi="Verdana" w:cs="Arial"/>
          <w:i w:val="0"/>
          <w:iCs w:val="0"/>
          <w:color w:val="000000" w:themeColor="text1"/>
        </w:rPr>
      </w:pPr>
      <w:bookmarkStart w:id="61" w:name="_Toc225283168"/>
      <w:r w:rsidRPr="00C52C25">
        <w:rPr>
          <w:rFonts w:ascii="Verdana" w:hAnsi="Verdana" w:cs="Arial"/>
          <w:i w:val="0"/>
          <w:iCs w:val="0"/>
          <w:color w:val="000000" w:themeColor="text1"/>
        </w:rPr>
        <w:t xml:space="preserve">Tabla </w:t>
      </w:r>
      <w:r w:rsidRPr="00C52C25">
        <w:rPr>
          <w:rFonts w:ascii="Verdana" w:hAnsi="Verdana" w:cs="Arial"/>
          <w:i w:val="0"/>
          <w:iCs w:val="0"/>
          <w:color w:val="000000" w:themeColor="text1"/>
        </w:rPr>
        <w:fldChar w:fldCharType="begin"/>
      </w:r>
      <w:r w:rsidRPr="00C52C25">
        <w:rPr>
          <w:rFonts w:ascii="Verdana" w:hAnsi="Verdana" w:cs="Arial"/>
          <w:i w:val="0"/>
          <w:iCs w:val="0"/>
          <w:color w:val="000000" w:themeColor="text1"/>
        </w:rPr>
        <w:instrText xml:space="preserve"> SEQ Tabla \* ARABIC </w:instrText>
      </w:r>
      <w:r w:rsidRPr="00C52C25">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56</w:t>
      </w:r>
      <w:r w:rsidRPr="00C52C25">
        <w:rPr>
          <w:rFonts w:ascii="Verdana" w:hAnsi="Verdana" w:cs="Arial"/>
          <w:i w:val="0"/>
          <w:iCs w:val="0"/>
          <w:color w:val="000000" w:themeColor="text1"/>
        </w:rPr>
        <w:fldChar w:fldCharType="end"/>
      </w:r>
      <w:r w:rsidRPr="00C52C25">
        <w:rPr>
          <w:rFonts w:ascii="Verdana" w:hAnsi="Verdana" w:cs="Arial"/>
          <w:i w:val="0"/>
          <w:iCs w:val="0"/>
          <w:color w:val="000000" w:themeColor="text1"/>
        </w:rPr>
        <w:t>. Detalle de las principales acciones de los indicadores del Indicador C.460</w:t>
      </w:r>
      <w:bookmarkEnd w:id="61"/>
    </w:p>
    <w:tbl>
      <w:tblPr>
        <w:tblStyle w:val="Tablaconcuadrcula"/>
        <w:tblW w:w="8931" w:type="dxa"/>
        <w:tblInd w:w="-5"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6A0" w:firstRow="1" w:lastRow="0" w:firstColumn="1" w:lastColumn="0" w:noHBand="1" w:noVBand="1"/>
        <w:tblCaption w:val="Detalle de las principales acciones del indicador"/>
        <w:tblDescription w:val="Tabla que contiene el indicador del PMI, principales logros y recursos 2025"/>
      </w:tblPr>
      <w:tblGrid>
        <w:gridCol w:w="3028"/>
        <w:gridCol w:w="3351"/>
        <w:gridCol w:w="2552"/>
      </w:tblGrid>
      <w:tr w:rsidR="48836A97" w:rsidRPr="00AB06F3" w14:paraId="233E599A" w14:textId="77777777" w:rsidTr="696F6128">
        <w:trPr>
          <w:trHeight w:val="300"/>
        </w:trPr>
        <w:tc>
          <w:tcPr>
            <w:tcW w:w="3028" w:type="dxa"/>
          </w:tcPr>
          <w:p w14:paraId="47AC2D0A" w14:textId="77777777"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Indicador del PMI</w:t>
            </w:r>
          </w:p>
        </w:tc>
        <w:tc>
          <w:tcPr>
            <w:tcW w:w="3351" w:type="dxa"/>
          </w:tcPr>
          <w:p w14:paraId="5AE8473E" w14:textId="77777777"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Principales Logros</w:t>
            </w:r>
          </w:p>
        </w:tc>
        <w:tc>
          <w:tcPr>
            <w:tcW w:w="2552" w:type="dxa"/>
          </w:tcPr>
          <w:p w14:paraId="1100BEE8" w14:textId="3F2631D4" w:rsidR="48836A97" w:rsidRPr="009D4EA2" w:rsidRDefault="62F4357E"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Recursos 202</w:t>
            </w:r>
            <w:r w:rsidR="008A34B3">
              <w:rPr>
                <w:rFonts w:ascii="Verdana" w:hAnsi="Verdana" w:cs="Arial"/>
                <w:b/>
                <w:bCs/>
                <w:color w:val="000000" w:themeColor="text1"/>
                <w:sz w:val="18"/>
                <w:szCs w:val="18"/>
              </w:rPr>
              <w:t>5</w:t>
            </w:r>
          </w:p>
        </w:tc>
      </w:tr>
      <w:tr w:rsidR="48836A97" w:rsidRPr="00AB06F3" w14:paraId="639E7E5D" w14:textId="77777777" w:rsidTr="696F6128">
        <w:trPr>
          <w:trHeight w:val="300"/>
        </w:trPr>
        <w:tc>
          <w:tcPr>
            <w:tcW w:w="3028" w:type="dxa"/>
          </w:tcPr>
          <w:p w14:paraId="6955F7A2" w14:textId="7B3D060D" w:rsidR="48836A97" w:rsidRPr="00AB06F3" w:rsidRDefault="003A3018" w:rsidP="007E43A8">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C.460 Recursos de cooperación internacional no reembolsable y de instituciones no gubernamentales para el programa de atención especial para lisiados del conflicto con incapacidad permanente y adultos mayores, gestionados en especial en los primeros 36 meses</w:t>
            </w:r>
          </w:p>
        </w:tc>
        <w:tc>
          <w:tcPr>
            <w:tcW w:w="3351" w:type="dxa"/>
          </w:tcPr>
          <w:p w14:paraId="3819A256" w14:textId="3F8860A9" w:rsidR="48836A97" w:rsidRPr="00AB06F3" w:rsidRDefault="26B7596A" w:rsidP="009D4EA2">
            <w:pPr>
              <w:spacing w:line="276" w:lineRule="auto"/>
              <w:jc w:val="both"/>
              <w:rPr>
                <w:rFonts w:ascii="Verdana" w:hAnsi="Verdana" w:cs="Arial"/>
                <w:color w:val="000000" w:themeColor="text1"/>
                <w:sz w:val="18"/>
                <w:szCs w:val="18"/>
              </w:rPr>
            </w:pPr>
            <w:r w:rsidRPr="696F6128">
              <w:rPr>
                <w:rFonts w:ascii="Verdana" w:hAnsi="Verdana" w:cs="Arial"/>
                <w:color w:val="000000" w:themeColor="text1"/>
                <w:sz w:val="18"/>
                <w:szCs w:val="18"/>
              </w:rPr>
              <w:t>S</w:t>
            </w:r>
            <w:r w:rsidR="3302AE49" w:rsidRPr="696F6128">
              <w:rPr>
                <w:rFonts w:ascii="Verdana" w:hAnsi="Verdana" w:cs="Arial"/>
                <w:color w:val="000000" w:themeColor="text1"/>
                <w:sz w:val="18"/>
                <w:szCs w:val="18"/>
              </w:rPr>
              <w:t>e</w:t>
            </w:r>
            <w:r w:rsidR="75025A25" w:rsidRPr="696F6128">
              <w:rPr>
                <w:rFonts w:ascii="Verdana" w:hAnsi="Verdana" w:cs="Arial"/>
                <w:color w:val="000000" w:themeColor="text1"/>
                <w:sz w:val="18"/>
                <w:szCs w:val="18"/>
              </w:rPr>
              <w:t xml:space="preserve"> logró </w:t>
            </w:r>
            <w:r w:rsidR="3423635B" w:rsidRPr="696F6128">
              <w:rPr>
                <w:rFonts w:ascii="Verdana" w:hAnsi="Verdana" w:cs="Arial"/>
                <w:color w:val="000000" w:themeColor="text1"/>
                <w:sz w:val="18"/>
                <w:szCs w:val="18"/>
              </w:rPr>
              <w:t xml:space="preserve">el Convenio de Cooperación Internacional No. 1490 de 2025, suscrito entre el Gobierno de la República de Colombia, representado por la </w:t>
            </w:r>
            <w:r w:rsidR="00FF5173" w:rsidRPr="696F6128">
              <w:rPr>
                <w:rFonts w:ascii="Verdana" w:hAnsi="Verdana" w:cs="Arial"/>
                <w:color w:val="000000" w:themeColor="text1"/>
                <w:sz w:val="18"/>
                <w:szCs w:val="18"/>
              </w:rPr>
              <w:t>Agencia para la Reincorporación y la Normalización</w:t>
            </w:r>
            <w:r w:rsidR="3423635B" w:rsidRPr="696F6128">
              <w:rPr>
                <w:rFonts w:ascii="Verdana" w:hAnsi="Verdana" w:cs="Arial"/>
                <w:color w:val="000000" w:themeColor="text1"/>
                <w:sz w:val="18"/>
                <w:szCs w:val="18"/>
              </w:rPr>
              <w:t xml:space="preserve">, y </w:t>
            </w:r>
            <w:r w:rsidR="36E5C1D7" w:rsidRPr="696F6128">
              <w:rPr>
                <w:rFonts w:ascii="Verdana" w:hAnsi="Verdana" w:cs="Arial"/>
                <w:color w:val="000000" w:themeColor="text1"/>
                <w:sz w:val="18"/>
                <w:szCs w:val="18"/>
              </w:rPr>
              <w:t xml:space="preserve">la organización </w:t>
            </w:r>
            <w:r w:rsidR="3423635B" w:rsidRPr="696F6128">
              <w:rPr>
                <w:rFonts w:ascii="Verdana" w:hAnsi="Verdana" w:cs="Arial"/>
                <w:color w:val="000000" w:themeColor="text1"/>
                <w:sz w:val="18"/>
                <w:szCs w:val="18"/>
              </w:rPr>
              <w:t>We Effect</w:t>
            </w:r>
          </w:p>
        </w:tc>
        <w:tc>
          <w:tcPr>
            <w:tcW w:w="2552" w:type="dxa"/>
          </w:tcPr>
          <w:p w14:paraId="7D856E60" w14:textId="3AAA5231" w:rsidR="001C2D61" w:rsidRPr="00AB06F3" w:rsidRDefault="3F52F0FA" w:rsidP="009D4EA2">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w:t>
            </w:r>
            <w:r w:rsidR="00B43DDD">
              <w:rPr>
                <w:rFonts w:ascii="Verdana" w:hAnsi="Verdana" w:cs="Arial"/>
                <w:color w:val="000000" w:themeColor="text1"/>
                <w:sz w:val="18"/>
                <w:szCs w:val="18"/>
              </w:rPr>
              <w:t xml:space="preserve">400.000.000 </w:t>
            </w:r>
          </w:p>
          <w:p w14:paraId="76ABCBD7" w14:textId="0DF6E367" w:rsidR="48836A97" w:rsidRPr="00AB06F3" w:rsidRDefault="595F0E53" w:rsidP="009D4EA2">
            <w:pPr>
              <w:spacing w:line="276" w:lineRule="auto"/>
              <w:jc w:val="both"/>
              <w:rPr>
                <w:rFonts w:ascii="Verdana" w:hAnsi="Verdana" w:cs="Arial"/>
                <w:color w:val="000000" w:themeColor="text1"/>
                <w:sz w:val="18"/>
                <w:szCs w:val="18"/>
              </w:rPr>
            </w:pPr>
            <w:r w:rsidRPr="00AB06F3">
              <w:rPr>
                <w:rFonts w:ascii="Verdana" w:hAnsi="Verdana" w:cs="Arial"/>
                <w:color w:val="000000" w:themeColor="text1"/>
                <w:sz w:val="18"/>
                <w:szCs w:val="18"/>
              </w:rPr>
              <w:t xml:space="preserve">Estos recursos son exclusivos de </w:t>
            </w:r>
            <w:r w:rsidR="00F247B0" w:rsidRPr="00AB06F3">
              <w:rPr>
                <w:rFonts w:ascii="Verdana" w:hAnsi="Verdana" w:cs="Arial"/>
                <w:color w:val="000000" w:themeColor="text1"/>
                <w:sz w:val="18"/>
                <w:szCs w:val="18"/>
              </w:rPr>
              <w:t>cooperación</w:t>
            </w:r>
            <w:r w:rsidRPr="00AB06F3">
              <w:rPr>
                <w:rFonts w:ascii="Verdana" w:hAnsi="Verdana" w:cs="Arial"/>
                <w:color w:val="000000" w:themeColor="text1"/>
                <w:sz w:val="18"/>
                <w:szCs w:val="18"/>
              </w:rPr>
              <w:t xml:space="preserve">. </w:t>
            </w:r>
          </w:p>
        </w:tc>
      </w:tr>
    </w:tbl>
    <w:p w14:paraId="5FDC44F9"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063DBB3C" w14:textId="41285A07" w:rsidR="00B709EF" w:rsidRPr="00AB06F3" w:rsidRDefault="00B709EF" w:rsidP="00C25586">
      <w:pPr>
        <w:spacing w:after="0" w:line="276" w:lineRule="auto"/>
        <w:jc w:val="center"/>
        <w:rPr>
          <w:rFonts w:ascii="Verdana" w:hAnsi="Verdana" w:cs="Arial"/>
          <w:color w:val="000000" w:themeColor="text1"/>
          <w:sz w:val="18"/>
          <w:szCs w:val="18"/>
        </w:rPr>
      </w:pPr>
    </w:p>
    <w:p w14:paraId="41FE2B75" w14:textId="016133C6" w:rsidR="00B709EF" w:rsidRPr="00AB06F3" w:rsidRDefault="233E97DE" w:rsidP="00031DF5">
      <w:pPr>
        <w:pStyle w:val="Ttulo5"/>
        <w:numPr>
          <w:ilvl w:val="0"/>
          <w:numId w:val="12"/>
        </w:numPr>
        <w:spacing w:after="0" w:line="276" w:lineRule="auto"/>
        <w:jc w:val="both"/>
        <w:rPr>
          <w:rFonts w:ascii="Verdana" w:hAnsi="Verdana" w:cs="Arial"/>
        </w:rPr>
      </w:pPr>
      <w:r w:rsidRPr="00AB06F3">
        <w:rPr>
          <w:rFonts w:ascii="Verdana" w:hAnsi="Verdana" w:cs="Arial"/>
          <w:color w:val="auto"/>
          <w:sz w:val="24"/>
          <w:szCs w:val="24"/>
        </w:rPr>
        <w:t>¿Qué desafíos y retos tuvimos</w:t>
      </w:r>
      <w:r w:rsidRPr="00AB06F3">
        <w:rPr>
          <w:rFonts w:ascii="Verdana" w:hAnsi="Verdana" w:cs="Arial"/>
          <w:color w:val="000000" w:themeColor="text1"/>
          <w:sz w:val="24"/>
          <w:szCs w:val="24"/>
        </w:rPr>
        <w:t xml:space="preserve"> para el cumplimiento del indicador PMI?</w:t>
      </w:r>
    </w:p>
    <w:p w14:paraId="6168E152" w14:textId="0E993618" w:rsidR="00C52C25" w:rsidRPr="00C52C25" w:rsidRDefault="00C52C25" w:rsidP="00C52C25">
      <w:pPr>
        <w:pStyle w:val="Descripcin"/>
        <w:keepNext/>
        <w:jc w:val="center"/>
        <w:rPr>
          <w:rStyle w:val="Referenciasutil"/>
          <w:rFonts w:ascii="Verdana" w:hAnsi="Verdana" w:cs="Arial"/>
          <w:i w:val="0"/>
          <w:iCs w:val="0"/>
        </w:rPr>
      </w:pPr>
      <w:bookmarkStart w:id="62" w:name="_Toc225283169"/>
      <w:r w:rsidRPr="00C52C25">
        <w:rPr>
          <w:rStyle w:val="Referenciasutil"/>
          <w:rFonts w:ascii="Verdana" w:hAnsi="Verdana" w:cs="Arial"/>
          <w:i w:val="0"/>
          <w:iCs w:val="0"/>
        </w:rPr>
        <w:t xml:space="preserve">Tabla </w:t>
      </w:r>
      <w:r w:rsidRPr="00C52C25">
        <w:rPr>
          <w:rStyle w:val="Referenciasutil"/>
          <w:rFonts w:ascii="Verdana" w:hAnsi="Verdana" w:cs="Arial"/>
          <w:i w:val="0"/>
          <w:iCs w:val="0"/>
        </w:rPr>
        <w:fldChar w:fldCharType="begin"/>
      </w:r>
      <w:r w:rsidRPr="00C52C25">
        <w:rPr>
          <w:rStyle w:val="Referenciasutil"/>
          <w:rFonts w:ascii="Verdana" w:hAnsi="Verdana" w:cs="Arial"/>
          <w:i w:val="0"/>
          <w:iCs w:val="0"/>
        </w:rPr>
        <w:instrText xml:space="preserve"> SEQ Tabla \* ARABIC </w:instrText>
      </w:r>
      <w:r w:rsidRPr="00C52C25">
        <w:rPr>
          <w:rStyle w:val="Referenciasutil"/>
          <w:rFonts w:ascii="Verdana" w:hAnsi="Verdana" w:cs="Arial"/>
          <w:i w:val="0"/>
          <w:iCs w:val="0"/>
        </w:rPr>
        <w:fldChar w:fldCharType="separate"/>
      </w:r>
      <w:r w:rsidR="0078027F">
        <w:rPr>
          <w:rStyle w:val="Referenciasutil"/>
          <w:rFonts w:ascii="Verdana" w:hAnsi="Verdana" w:cs="Arial"/>
          <w:i w:val="0"/>
          <w:iCs w:val="0"/>
          <w:noProof/>
        </w:rPr>
        <w:t>57</w:t>
      </w:r>
      <w:r w:rsidRPr="00C52C25">
        <w:rPr>
          <w:rStyle w:val="Referenciasutil"/>
          <w:rFonts w:ascii="Verdana" w:hAnsi="Verdana" w:cs="Arial"/>
          <w:i w:val="0"/>
          <w:iCs w:val="0"/>
        </w:rPr>
        <w:fldChar w:fldCharType="end"/>
      </w:r>
      <w:r w:rsidRPr="00C52C25">
        <w:rPr>
          <w:rStyle w:val="Referenciasutil"/>
          <w:rFonts w:ascii="Verdana" w:hAnsi="Verdana" w:cs="Arial"/>
          <w:i w:val="0"/>
          <w:iCs w:val="0"/>
        </w:rPr>
        <w:t>. Desafíos y retos del indicador C.460</w:t>
      </w:r>
      <w:bookmarkEnd w:id="62"/>
    </w:p>
    <w:tbl>
      <w:tblPr>
        <w:tblStyle w:val="Tablaconcuadrcula"/>
        <w:tblW w:w="0" w:type="auto"/>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ook w:val="04A0" w:firstRow="1" w:lastRow="0" w:firstColumn="1" w:lastColumn="0" w:noHBand="0" w:noVBand="1"/>
      </w:tblPr>
      <w:tblGrid>
        <w:gridCol w:w="1980"/>
        <w:gridCol w:w="3260"/>
        <w:gridCol w:w="3588"/>
      </w:tblGrid>
      <w:tr w:rsidR="48836A97" w:rsidRPr="00AB06F3" w14:paraId="7A07B199" w14:textId="77777777" w:rsidTr="001049EE">
        <w:trPr>
          <w:trHeight w:val="300"/>
        </w:trPr>
        <w:tc>
          <w:tcPr>
            <w:tcW w:w="1980" w:type="dxa"/>
          </w:tcPr>
          <w:p w14:paraId="5708BF11" w14:textId="731292F3"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Tipo de Reto</w:t>
            </w:r>
          </w:p>
        </w:tc>
        <w:tc>
          <w:tcPr>
            <w:tcW w:w="3260" w:type="dxa"/>
          </w:tcPr>
          <w:p w14:paraId="6B44FC22" w14:textId="77777777"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Descripción del Reto</w:t>
            </w:r>
          </w:p>
        </w:tc>
        <w:tc>
          <w:tcPr>
            <w:tcW w:w="3588" w:type="dxa"/>
          </w:tcPr>
          <w:p w14:paraId="0616CAE9" w14:textId="77777777" w:rsidR="48836A97" w:rsidRPr="009D4EA2" w:rsidRDefault="48836A97" w:rsidP="009D4EA2">
            <w:pPr>
              <w:spacing w:line="276" w:lineRule="auto"/>
              <w:jc w:val="center"/>
              <w:rPr>
                <w:rFonts w:ascii="Verdana" w:hAnsi="Verdana" w:cs="Arial"/>
                <w:b/>
                <w:bCs/>
                <w:color w:val="000000" w:themeColor="text1"/>
                <w:sz w:val="18"/>
                <w:szCs w:val="18"/>
              </w:rPr>
            </w:pPr>
            <w:r w:rsidRPr="009D4EA2">
              <w:rPr>
                <w:rFonts w:ascii="Verdana" w:hAnsi="Verdana" w:cs="Arial"/>
                <w:b/>
                <w:bCs/>
                <w:color w:val="000000" w:themeColor="text1"/>
                <w:sz w:val="18"/>
                <w:szCs w:val="18"/>
              </w:rPr>
              <w:t>Medidas para mitigar el Reto</w:t>
            </w:r>
          </w:p>
        </w:tc>
      </w:tr>
      <w:tr w:rsidR="00054BDB" w:rsidRPr="00AB06F3" w14:paraId="56C8AAAF" w14:textId="77777777" w:rsidTr="001049EE">
        <w:trPr>
          <w:trHeight w:val="300"/>
        </w:trPr>
        <w:tc>
          <w:tcPr>
            <w:tcW w:w="1980" w:type="dxa"/>
          </w:tcPr>
          <w:p w14:paraId="6B48D9E8" w14:textId="77777777" w:rsidR="00054BDB" w:rsidRPr="00383120" w:rsidRDefault="00054BDB" w:rsidP="00383120">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 xml:space="preserve">Reto presupuestal:  </w:t>
            </w:r>
          </w:p>
          <w:p w14:paraId="64DC8D6B" w14:textId="77777777" w:rsidR="00054BDB" w:rsidRPr="00383120" w:rsidRDefault="00054BDB" w:rsidP="00383120">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Acceso a recursos de cooperación internacional.</w:t>
            </w:r>
          </w:p>
          <w:p w14:paraId="3C88E324" w14:textId="77777777" w:rsidR="00054BDB" w:rsidRPr="00383120" w:rsidRDefault="00054BDB" w:rsidP="00383120">
            <w:pPr>
              <w:spacing w:line="276" w:lineRule="auto"/>
              <w:jc w:val="both"/>
              <w:rPr>
                <w:rFonts w:ascii="Verdana" w:hAnsi="Verdana" w:cs="Arial"/>
                <w:color w:val="000000" w:themeColor="text1"/>
                <w:sz w:val="18"/>
                <w:szCs w:val="18"/>
              </w:rPr>
            </w:pPr>
          </w:p>
        </w:tc>
        <w:tc>
          <w:tcPr>
            <w:tcW w:w="3260" w:type="dxa"/>
          </w:tcPr>
          <w:p w14:paraId="6A7EB923" w14:textId="12B27719" w:rsidR="00054BDB" w:rsidRPr="00383120" w:rsidRDefault="001A1726" w:rsidP="00FF1794">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 xml:space="preserve">Las decisiones </w:t>
            </w:r>
            <w:r w:rsidR="00A426E4">
              <w:rPr>
                <w:rFonts w:ascii="Verdana" w:hAnsi="Verdana" w:cs="Arial"/>
                <w:color w:val="000000" w:themeColor="text1"/>
                <w:sz w:val="18"/>
                <w:szCs w:val="18"/>
              </w:rPr>
              <w:t xml:space="preserve">estratégicas </w:t>
            </w:r>
            <w:r w:rsidR="00027B88">
              <w:rPr>
                <w:rFonts w:ascii="Verdana" w:hAnsi="Verdana" w:cs="Arial"/>
                <w:color w:val="000000" w:themeColor="text1"/>
                <w:sz w:val="18"/>
                <w:szCs w:val="18"/>
              </w:rPr>
              <w:t xml:space="preserve">de los </w:t>
            </w:r>
            <w:r w:rsidRPr="00383120">
              <w:rPr>
                <w:rFonts w:ascii="Verdana" w:hAnsi="Verdana" w:cs="Arial"/>
                <w:color w:val="000000" w:themeColor="text1"/>
                <w:sz w:val="18"/>
                <w:szCs w:val="18"/>
              </w:rPr>
              <w:t xml:space="preserve">cooperantes </w:t>
            </w:r>
            <w:r w:rsidR="00851C4A">
              <w:rPr>
                <w:rFonts w:ascii="Verdana" w:hAnsi="Verdana" w:cs="Arial"/>
                <w:color w:val="000000" w:themeColor="text1"/>
                <w:sz w:val="18"/>
                <w:szCs w:val="18"/>
              </w:rPr>
              <w:t xml:space="preserve">internacionales </w:t>
            </w:r>
            <w:r w:rsidRPr="00383120">
              <w:rPr>
                <w:rFonts w:ascii="Verdana" w:hAnsi="Verdana" w:cs="Arial"/>
                <w:color w:val="000000" w:themeColor="text1"/>
                <w:sz w:val="18"/>
                <w:szCs w:val="18"/>
              </w:rPr>
              <w:t>y</w:t>
            </w:r>
            <w:r w:rsidR="00851C4A">
              <w:rPr>
                <w:rFonts w:ascii="Verdana" w:hAnsi="Verdana" w:cs="Arial"/>
                <w:color w:val="000000" w:themeColor="text1"/>
                <w:sz w:val="18"/>
                <w:szCs w:val="18"/>
              </w:rPr>
              <w:t xml:space="preserve"> las </w:t>
            </w:r>
            <w:r w:rsidRPr="00383120">
              <w:rPr>
                <w:rFonts w:ascii="Verdana" w:hAnsi="Verdana" w:cs="Arial"/>
                <w:color w:val="000000" w:themeColor="text1"/>
                <w:sz w:val="18"/>
                <w:szCs w:val="18"/>
              </w:rPr>
              <w:t xml:space="preserve">restricciones financieras en los montos aprobados para </w:t>
            </w:r>
            <w:r w:rsidR="00FF1794">
              <w:rPr>
                <w:rFonts w:ascii="Verdana" w:hAnsi="Verdana" w:cs="Arial"/>
                <w:color w:val="000000" w:themeColor="text1"/>
                <w:sz w:val="18"/>
                <w:szCs w:val="18"/>
              </w:rPr>
              <w:t xml:space="preserve">iniciativas relacionadas con la implementación del Acuerdo de Paz limitaron </w:t>
            </w:r>
            <w:r w:rsidR="003F2998" w:rsidRPr="003F2998">
              <w:rPr>
                <w:rFonts w:ascii="Verdana" w:hAnsi="Verdana" w:cs="Arial"/>
                <w:color w:val="000000" w:themeColor="text1"/>
                <w:sz w:val="18"/>
                <w:szCs w:val="18"/>
              </w:rPr>
              <w:t>las posibilidades de obtener el nivel de financiación esperado. Esta situación se vio agravada por la salida de United States Agency for International Development, lo cual incrementó la competencia entre entidades y organizaciones para la consecución de recursos de cooperación internacional.</w:t>
            </w:r>
          </w:p>
        </w:tc>
        <w:tc>
          <w:tcPr>
            <w:tcW w:w="3588" w:type="dxa"/>
          </w:tcPr>
          <w:p w14:paraId="1A91647C" w14:textId="009A4255" w:rsidR="00054BDB" w:rsidRPr="00383120" w:rsidRDefault="003F2998" w:rsidP="00D943B8">
            <w:pPr>
              <w:spacing w:line="276" w:lineRule="auto"/>
              <w:jc w:val="both"/>
              <w:rPr>
                <w:rFonts w:ascii="Verdana" w:hAnsi="Verdana" w:cs="Arial"/>
                <w:color w:val="000000" w:themeColor="text1"/>
                <w:sz w:val="18"/>
                <w:szCs w:val="18"/>
              </w:rPr>
            </w:pPr>
            <w:r w:rsidRPr="003F2998">
              <w:rPr>
                <w:rFonts w:ascii="Verdana" w:hAnsi="Verdana" w:cs="Arial"/>
                <w:color w:val="000000" w:themeColor="text1"/>
                <w:sz w:val="18"/>
                <w:szCs w:val="18"/>
              </w:rPr>
              <w:t>Se elaboraron tres (3) notas concepto con diferentes enfoques dentro del tema de discapacidad, orientadas a identificar puntos de convergencia con las prioridades programáticas de potenciales cooperantes. Asimismo, se adelantó la identificación y análisis de convocatorias de cooperación internacional cuyos ejes temáticos y términos de referencia permitieran incorporar el enfoque diferencial y facilitar la presentación de iniciativas de la ARN.</w:t>
            </w:r>
          </w:p>
        </w:tc>
      </w:tr>
      <w:tr w:rsidR="00711373" w:rsidRPr="00AB06F3" w14:paraId="4D397BA7" w14:textId="77777777" w:rsidTr="001049EE">
        <w:trPr>
          <w:trHeight w:val="300"/>
        </w:trPr>
        <w:tc>
          <w:tcPr>
            <w:tcW w:w="1980" w:type="dxa"/>
          </w:tcPr>
          <w:p w14:paraId="4771F949" w14:textId="77777777" w:rsidR="00711373" w:rsidRPr="00383120" w:rsidRDefault="006901EA" w:rsidP="00383120">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Reto Institucional:</w:t>
            </w:r>
          </w:p>
          <w:p w14:paraId="6F8AFD3F" w14:textId="77777777" w:rsidR="00BD31FF" w:rsidRPr="00383120" w:rsidRDefault="00BD31FF" w:rsidP="00383120">
            <w:pPr>
              <w:spacing w:line="276" w:lineRule="auto"/>
              <w:jc w:val="both"/>
              <w:rPr>
                <w:rFonts w:ascii="Verdana" w:hAnsi="Verdana" w:cs="Arial"/>
                <w:color w:val="000000" w:themeColor="text1"/>
                <w:sz w:val="18"/>
                <w:szCs w:val="18"/>
              </w:rPr>
            </w:pPr>
          </w:p>
          <w:p w14:paraId="2AB3C96C" w14:textId="3EA52619" w:rsidR="00711373" w:rsidRPr="00383120" w:rsidRDefault="00BD31FF" w:rsidP="00383120">
            <w:pPr>
              <w:spacing w:line="276" w:lineRule="auto"/>
              <w:jc w:val="both"/>
              <w:rPr>
                <w:rFonts w:ascii="Verdana" w:hAnsi="Verdana" w:cs="Arial"/>
                <w:color w:val="000000" w:themeColor="text1"/>
                <w:sz w:val="18"/>
                <w:szCs w:val="18"/>
              </w:rPr>
            </w:pPr>
            <w:r w:rsidRPr="00383120">
              <w:rPr>
                <w:rFonts w:ascii="Verdana" w:hAnsi="Verdana" w:cs="Arial"/>
                <w:color w:val="000000" w:themeColor="text1"/>
                <w:sz w:val="18"/>
                <w:szCs w:val="18"/>
              </w:rPr>
              <w:t xml:space="preserve">Adjudicación de un predio para el desarrollo de </w:t>
            </w:r>
            <w:r w:rsidRPr="00383120">
              <w:rPr>
                <w:rFonts w:ascii="Verdana" w:hAnsi="Verdana" w:cs="Arial"/>
                <w:color w:val="000000" w:themeColor="text1"/>
                <w:sz w:val="18"/>
                <w:szCs w:val="18"/>
              </w:rPr>
              <w:lastRenderedPageBreak/>
              <w:t>proyectos de CONELAEC</w:t>
            </w:r>
            <w:r w:rsidR="00226187">
              <w:rPr>
                <w:rFonts w:ascii="Verdana" w:hAnsi="Verdana" w:cs="Arial"/>
                <w:color w:val="000000" w:themeColor="text1"/>
                <w:sz w:val="18"/>
                <w:szCs w:val="18"/>
              </w:rPr>
              <w:t>.</w:t>
            </w:r>
          </w:p>
        </w:tc>
        <w:tc>
          <w:tcPr>
            <w:tcW w:w="3260" w:type="dxa"/>
          </w:tcPr>
          <w:p w14:paraId="4E42F0B3" w14:textId="68D26DAB" w:rsidR="00711373" w:rsidRPr="00383120" w:rsidRDefault="00A223CF" w:rsidP="001A1726">
            <w:pPr>
              <w:spacing w:line="276" w:lineRule="auto"/>
              <w:jc w:val="both"/>
              <w:rPr>
                <w:rFonts w:ascii="Verdana" w:hAnsi="Verdana" w:cs="Arial"/>
                <w:color w:val="000000" w:themeColor="text1"/>
                <w:sz w:val="18"/>
                <w:szCs w:val="18"/>
              </w:rPr>
            </w:pPr>
            <w:r w:rsidRPr="00A223CF">
              <w:rPr>
                <w:rFonts w:ascii="Verdana" w:hAnsi="Verdana" w:cs="Arial"/>
                <w:color w:val="000000" w:themeColor="text1"/>
                <w:sz w:val="18"/>
                <w:szCs w:val="18"/>
              </w:rPr>
              <w:lastRenderedPageBreak/>
              <w:t xml:space="preserve">Se identificaron cuellos de botella en el proceso de adjudicación de un predio por parte de la Sociedad de Activos Especiales, el cual había sido previsto para el </w:t>
            </w:r>
            <w:r w:rsidRPr="00A223CF">
              <w:rPr>
                <w:rFonts w:ascii="Verdana" w:hAnsi="Verdana" w:cs="Arial"/>
                <w:color w:val="000000" w:themeColor="text1"/>
                <w:sz w:val="18"/>
                <w:szCs w:val="18"/>
              </w:rPr>
              <w:lastRenderedPageBreak/>
              <w:t>desarrollo de proyectos productivos impulsados por CONELAEC. Esta situación impidió avanzar en la estructuración definitiva de las iniciativas que habían sido presentadas ante potenciales cooperantes internacionales para su financiación.</w:t>
            </w:r>
          </w:p>
        </w:tc>
        <w:tc>
          <w:tcPr>
            <w:tcW w:w="3588" w:type="dxa"/>
          </w:tcPr>
          <w:p w14:paraId="7918F344" w14:textId="6B3720A8" w:rsidR="00711373" w:rsidRPr="00383120" w:rsidRDefault="000023E7" w:rsidP="00711373">
            <w:pPr>
              <w:spacing w:line="276" w:lineRule="auto"/>
              <w:jc w:val="both"/>
              <w:rPr>
                <w:rFonts w:ascii="Verdana" w:hAnsi="Verdana" w:cs="Arial"/>
                <w:color w:val="000000" w:themeColor="text1"/>
                <w:sz w:val="18"/>
                <w:szCs w:val="18"/>
              </w:rPr>
            </w:pPr>
            <w:r w:rsidRPr="000023E7">
              <w:rPr>
                <w:rFonts w:ascii="Verdana" w:hAnsi="Verdana" w:cs="Arial"/>
                <w:color w:val="000000" w:themeColor="text1"/>
                <w:sz w:val="18"/>
                <w:szCs w:val="18"/>
              </w:rPr>
              <w:lastRenderedPageBreak/>
              <w:t xml:space="preserve">La ARN adelantó gestiones de articulación interinstitucional para revisar alternativas que permitan viabilizar la adjudicación del predio o identificar otras opciones para el </w:t>
            </w:r>
            <w:r w:rsidRPr="000023E7">
              <w:rPr>
                <w:rFonts w:ascii="Verdana" w:hAnsi="Verdana" w:cs="Arial"/>
                <w:color w:val="000000" w:themeColor="text1"/>
                <w:sz w:val="18"/>
                <w:szCs w:val="18"/>
              </w:rPr>
              <w:lastRenderedPageBreak/>
              <w:t>desarrollo de las iniciativas productivas. De manera complementaria, se continuó con la estructuración de propuestas y la identificación de convocatorias de cooperación internacional que puedan respaldar proyectos productivos con enfoque diferencial.</w:t>
            </w:r>
          </w:p>
        </w:tc>
      </w:tr>
    </w:tbl>
    <w:p w14:paraId="056F7CDC" w14:textId="77777777" w:rsidR="0077302C" w:rsidRDefault="0077302C" w:rsidP="0077302C">
      <w:pPr>
        <w:pStyle w:val="Prrafodelista"/>
        <w:spacing w:before="240" w:after="0" w:line="276" w:lineRule="auto"/>
        <w:ind w:left="675"/>
        <w:rPr>
          <w:rFonts w:ascii="Verdana" w:eastAsia="Verdana" w:hAnsi="Verdana" w:cs="Arial"/>
          <w:sz w:val="18"/>
          <w:szCs w:val="18"/>
        </w:rPr>
      </w:pPr>
      <w:r w:rsidRPr="0077302C">
        <w:rPr>
          <w:rFonts w:ascii="Verdana" w:eastAsia="Verdana" w:hAnsi="Verdana" w:cs="Arial"/>
          <w:sz w:val="18"/>
          <w:szCs w:val="18"/>
        </w:rPr>
        <w:lastRenderedPageBreak/>
        <w:t>Fuente: Agencia para la Reincorporación y la Normalización. Al 31 de diciembre del 2025</w:t>
      </w:r>
    </w:p>
    <w:p w14:paraId="4F3854D8" w14:textId="77777777" w:rsidR="0077302C" w:rsidRPr="0077302C" w:rsidRDefault="0077302C" w:rsidP="0077302C">
      <w:pPr>
        <w:pStyle w:val="Prrafodelista"/>
        <w:spacing w:before="240" w:after="0" w:line="276" w:lineRule="auto"/>
        <w:ind w:left="675"/>
        <w:rPr>
          <w:rFonts w:ascii="Verdana" w:eastAsia="Verdana" w:hAnsi="Verdana" w:cs="Arial"/>
          <w:sz w:val="18"/>
          <w:szCs w:val="18"/>
        </w:rPr>
      </w:pPr>
    </w:p>
    <w:p w14:paraId="326D3E31" w14:textId="622B7C9E" w:rsidR="00496345" w:rsidRDefault="00496345"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t xml:space="preserve">Producto: </w:t>
      </w:r>
      <w:r w:rsidR="005C06BB" w:rsidRPr="005C06BB">
        <w:rPr>
          <w:rFonts w:ascii="Verdana" w:eastAsia="Verdana" w:hAnsi="Verdana" w:cs="Arial"/>
          <w:b/>
          <w:bCs/>
          <w:color w:val="000000" w:themeColor="text1"/>
          <w:sz w:val="24"/>
          <w:szCs w:val="24"/>
        </w:rPr>
        <w:t>Garantías para una reincorporación económica y social sostenible</w:t>
      </w:r>
    </w:p>
    <w:p w14:paraId="23F7A283" w14:textId="349559B3" w:rsidR="00496345" w:rsidRDefault="00496345" w:rsidP="00496345">
      <w:pPr>
        <w:spacing w:before="240" w:after="0" w:line="276" w:lineRule="auto"/>
        <w:rPr>
          <w:rFonts w:ascii="Verdana" w:eastAsia="Verdana" w:hAnsi="Verdana" w:cs="Arial"/>
          <w:color w:val="000000" w:themeColor="text1"/>
          <w:sz w:val="24"/>
          <w:szCs w:val="24"/>
        </w:rPr>
      </w:pPr>
      <w:r w:rsidRPr="009E02FB">
        <w:rPr>
          <w:rFonts w:ascii="Verdana" w:eastAsia="Verdana" w:hAnsi="Verdana" w:cs="Arial"/>
          <w:b/>
          <w:bCs/>
          <w:color w:val="000000" w:themeColor="text1"/>
          <w:sz w:val="24"/>
          <w:szCs w:val="24"/>
        </w:rPr>
        <w:t>C.</w:t>
      </w:r>
      <w:r w:rsidR="00533FFF">
        <w:rPr>
          <w:rFonts w:ascii="Verdana" w:eastAsia="Verdana" w:hAnsi="Verdana" w:cs="Arial"/>
          <w:b/>
          <w:bCs/>
          <w:color w:val="000000" w:themeColor="text1"/>
          <w:sz w:val="24"/>
          <w:szCs w:val="24"/>
        </w:rPr>
        <w:t>E.11</w:t>
      </w:r>
      <w:r>
        <w:rPr>
          <w:rFonts w:ascii="Verdana" w:eastAsia="Verdana" w:hAnsi="Verdana" w:cs="Arial"/>
          <w:b/>
          <w:bCs/>
          <w:color w:val="000000" w:themeColor="text1"/>
          <w:sz w:val="24"/>
          <w:szCs w:val="24"/>
        </w:rPr>
        <w:t>.N</w:t>
      </w:r>
      <w:r w:rsidR="005C06BB">
        <w:rPr>
          <w:rFonts w:ascii="Verdana" w:eastAsia="Verdana" w:hAnsi="Verdana" w:cs="Arial"/>
          <w:b/>
          <w:bCs/>
          <w:color w:val="000000" w:themeColor="text1"/>
          <w:sz w:val="24"/>
          <w:szCs w:val="24"/>
        </w:rPr>
        <w:t xml:space="preserve"> </w:t>
      </w:r>
      <w:r w:rsidR="00362A30" w:rsidRPr="00362A30">
        <w:rPr>
          <w:rFonts w:ascii="Verdana" w:eastAsia="Verdana" w:hAnsi="Verdana" w:cs="Arial"/>
          <w:color w:val="000000" w:themeColor="text1"/>
          <w:sz w:val="24"/>
          <w:szCs w:val="24"/>
        </w:rPr>
        <w:t>Planes Comunitarios de Armonización ejecutados en la vigencia.</w:t>
      </w:r>
    </w:p>
    <w:p w14:paraId="031DB364" w14:textId="7CDBAFA0" w:rsidR="00EB204E" w:rsidRPr="00EB204E" w:rsidRDefault="00EB204E" w:rsidP="00EB204E">
      <w:pPr>
        <w:pStyle w:val="Descripcin"/>
        <w:keepNext/>
        <w:jc w:val="center"/>
        <w:rPr>
          <w:rFonts w:ascii="Verdana" w:eastAsia="Verdana" w:hAnsi="Verdana" w:cs="Arial"/>
          <w:i w:val="0"/>
          <w:iCs w:val="0"/>
          <w:color w:val="000000" w:themeColor="text1"/>
        </w:rPr>
      </w:pPr>
      <w:bookmarkStart w:id="63" w:name="_Toc225283170"/>
      <w:r w:rsidRPr="00EB204E">
        <w:rPr>
          <w:rFonts w:ascii="Verdana" w:eastAsia="Verdana" w:hAnsi="Verdana" w:cs="Arial"/>
          <w:i w:val="0"/>
          <w:iCs w:val="0"/>
          <w:color w:val="000000" w:themeColor="text1"/>
        </w:rPr>
        <w:t xml:space="preserve">Tabla </w:t>
      </w:r>
      <w:r w:rsidRPr="00EB204E">
        <w:rPr>
          <w:rFonts w:ascii="Verdana" w:eastAsia="Verdana" w:hAnsi="Verdana" w:cs="Arial"/>
          <w:i w:val="0"/>
          <w:iCs w:val="0"/>
          <w:color w:val="000000" w:themeColor="text1"/>
        </w:rPr>
        <w:fldChar w:fldCharType="begin"/>
      </w:r>
      <w:r w:rsidRPr="00EB204E">
        <w:rPr>
          <w:rFonts w:ascii="Verdana" w:eastAsia="Verdana" w:hAnsi="Verdana" w:cs="Arial"/>
          <w:i w:val="0"/>
          <w:iCs w:val="0"/>
          <w:color w:val="000000" w:themeColor="text1"/>
        </w:rPr>
        <w:instrText xml:space="preserve"> SEQ Tabla \* ARABIC </w:instrText>
      </w:r>
      <w:r w:rsidRPr="00EB204E">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58</w:t>
      </w:r>
      <w:r w:rsidRPr="00EB204E">
        <w:rPr>
          <w:rFonts w:ascii="Verdana" w:eastAsia="Verdana" w:hAnsi="Verdana" w:cs="Arial"/>
          <w:i w:val="0"/>
          <w:iCs w:val="0"/>
          <w:color w:val="000000" w:themeColor="text1"/>
        </w:rPr>
        <w:fldChar w:fldCharType="end"/>
      </w:r>
      <w:r w:rsidRPr="00EB204E">
        <w:rPr>
          <w:rFonts w:ascii="Verdana" w:eastAsia="Verdana" w:hAnsi="Verdana" w:cs="Arial"/>
          <w:i w:val="0"/>
          <w:iCs w:val="0"/>
          <w:color w:val="000000" w:themeColor="text1"/>
        </w:rPr>
        <w:t>. Detalle de avance en el indicador C.E.11.N</w:t>
      </w:r>
      <w:bookmarkEnd w:id="63"/>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959"/>
        <w:gridCol w:w="1204"/>
        <w:gridCol w:w="1217"/>
        <w:gridCol w:w="1211"/>
        <w:gridCol w:w="1244"/>
      </w:tblGrid>
      <w:tr w:rsidR="00496345" w:rsidRPr="00AB06F3" w14:paraId="08D71FB3" w14:textId="77777777" w:rsidTr="006B299C">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33B32B79" w14:textId="77777777" w:rsidR="00496345" w:rsidRPr="00AB06F3" w:rsidRDefault="00496345"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204" w:type="dxa"/>
            <w:tcMar>
              <w:left w:w="108" w:type="dxa"/>
              <w:right w:w="108" w:type="dxa"/>
            </w:tcMar>
            <w:vAlign w:val="center"/>
          </w:tcPr>
          <w:p w14:paraId="7B9798B2" w14:textId="77777777" w:rsidR="00496345" w:rsidRPr="00AB06F3" w:rsidRDefault="0049634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01C9D968" w14:textId="77777777" w:rsidR="00496345" w:rsidRPr="00AB06F3" w:rsidRDefault="0049634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37A61E42" w14:textId="77777777" w:rsidR="00496345" w:rsidRPr="00AB06F3" w:rsidRDefault="0049634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7AE39BA6" w14:textId="77777777" w:rsidR="00496345" w:rsidRPr="00AB06F3" w:rsidRDefault="0049634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496345" w:rsidRPr="00AB06F3" w14:paraId="3B15EDD7" w14:textId="77777777" w:rsidTr="006B299C">
        <w:trPr>
          <w:trHeight w:val="675"/>
        </w:trPr>
        <w:tc>
          <w:tcPr>
            <w:cnfStyle w:val="001000000000" w:firstRow="0" w:lastRow="0" w:firstColumn="1" w:lastColumn="0" w:oddVBand="0" w:evenVBand="0" w:oddHBand="0" w:evenHBand="0" w:firstRowFirstColumn="0" w:firstRowLastColumn="0" w:lastRowFirstColumn="0" w:lastRowLastColumn="0"/>
            <w:tcW w:w="3959" w:type="dxa"/>
            <w:tcMar>
              <w:left w:w="108" w:type="dxa"/>
              <w:right w:w="108" w:type="dxa"/>
            </w:tcMar>
            <w:vAlign w:val="center"/>
          </w:tcPr>
          <w:p w14:paraId="3FE7DB30" w14:textId="059D672D" w:rsidR="00496345" w:rsidRPr="00AB06F3" w:rsidRDefault="00037BD4" w:rsidP="005F457D">
            <w:pPr>
              <w:spacing w:before="240" w:line="276" w:lineRule="auto"/>
              <w:rPr>
                <w:rFonts w:ascii="Verdana" w:hAnsi="Verdana" w:cs="Arial"/>
                <w:b w:val="0"/>
                <w:bCs w:val="0"/>
              </w:rPr>
            </w:pPr>
            <w:r w:rsidRPr="00037BD4">
              <w:rPr>
                <w:rFonts w:ascii="Verdana" w:hAnsi="Verdana" w:cs="Arial"/>
                <w:b w:val="0"/>
                <w:bCs w:val="0"/>
              </w:rPr>
              <w:t>C.E.11.N Planes Comunitarios de Armonización ejecutados en la vigencia.</w:t>
            </w:r>
          </w:p>
        </w:tc>
        <w:tc>
          <w:tcPr>
            <w:tcW w:w="1204" w:type="dxa"/>
            <w:tcMar>
              <w:left w:w="108" w:type="dxa"/>
              <w:right w:w="108" w:type="dxa"/>
            </w:tcMar>
            <w:vAlign w:val="center"/>
          </w:tcPr>
          <w:p w14:paraId="3CD08D04" w14:textId="77777777" w:rsidR="00496345" w:rsidRPr="00AB06F3" w:rsidRDefault="0049634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27BE9E5B" w14:textId="77777777" w:rsidR="00496345" w:rsidRPr="00AB06F3" w:rsidRDefault="0049634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56CDE2F9" w14:textId="77777777" w:rsidR="00496345" w:rsidRPr="00AB06F3" w:rsidRDefault="0049634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60734611" w14:textId="77777777" w:rsidR="006B299C" w:rsidRDefault="006B299C"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4CDEB6BD" w14:textId="77777777" w:rsidR="006B299C" w:rsidRDefault="006B299C"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3054AA4C" w14:textId="4153F4AF" w:rsidR="00496345" w:rsidRPr="00AB06F3" w:rsidRDefault="005C45A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100</w:t>
            </w:r>
            <w:r w:rsidR="00496345" w:rsidRPr="00AB06F3">
              <w:rPr>
                <w:rFonts w:ascii="Verdana" w:eastAsia="Verdana" w:hAnsi="Verdana" w:cs="Arial"/>
                <w:color w:val="000000" w:themeColor="text1"/>
                <w:sz w:val="18"/>
                <w:szCs w:val="18"/>
              </w:rPr>
              <w:t xml:space="preserve">% </w:t>
            </w:r>
          </w:p>
        </w:tc>
      </w:tr>
    </w:tbl>
    <w:p w14:paraId="54F840E6"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2DBD0DD" w14:textId="77777777" w:rsidR="00496345" w:rsidRDefault="00496345" w:rsidP="00496345">
      <w:pPr>
        <w:spacing w:before="240" w:after="0" w:line="276" w:lineRule="auto"/>
        <w:rPr>
          <w:rFonts w:ascii="Verdana" w:eastAsia="Verdana" w:hAnsi="Verdana" w:cs="Arial"/>
          <w:sz w:val="18"/>
          <w:szCs w:val="18"/>
        </w:rPr>
      </w:pPr>
    </w:p>
    <w:p w14:paraId="15E87133" w14:textId="77777777" w:rsidR="00496345" w:rsidRPr="00A12308" w:rsidRDefault="00496345" w:rsidP="00164ED5">
      <w:pPr>
        <w:pStyle w:val="Prrafodelista"/>
        <w:numPr>
          <w:ilvl w:val="0"/>
          <w:numId w:val="20"/>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114B6CE0" w14:textId="08E2BC22" w:rsidR="00496345" w:rsidRDefault="00496345" w:rsidP="003D4B50">
      <w:pPr>
        <w:spacing w:after="0" w:line="276" w:lineRule="auto"/>
        <w:jc w:val="both"/>
        <w:rPr>
          <w:rFonts w:ascii="Verdana" w:hAnsi="Verdana" w:cs="Arial"/>
        </w:rPr>
      </w:pPr>
    </w:p>
    <w:p w14:paraId="3505310B" w14:textId="1B618E3D" w:rsidR="00763D12" w:rsidRPr="00C27A3B" w:rsidRDefault="00763D12" w:rsidP="00C401E4">
      <w:pPr>
        <w:spacing w:after="0" w:line="276" w:lineRule="auto"/>
        <w:jc w:val="both"/>
        <w:rPr>
          <w:rFonts w:ascii="Verdana" w:hAnsi="Verdana" w:cs="Arial"/>
          <w:sz w:val="24"/>
          <w:szCs w:val="24"/>
        </w:rPr>
      </w:pPr>
      <w:r>
        <w:rPr>
          <w:rFonts w:ascii="Verdana" w:hAnsi="Verdana" w:cs="Arial"/>
          <w:sz w:val="24"/>
          <w:szCs w:val="24"/>
        </w:rPr>
        <w:t xml:space="preserve">Al cierre de la vigencia 2025, la implementación de los Programas Especiales </w:t>
      </w:r>
      <w:r w:rsidR="00685FDE">
        <w:rPr>
          <w:rFonts w:ascii="Verdana" w:hAnsi="Verdana" w:cs="Arial"/>
          <w:sz w:val="24"/>
          <w:szCs w:val="24"/>
        </w:rPr>
        <w:t xml:space="preserve">de </w:t>
      </w:r>
      <w:r w:rsidR="00685FDE" w:rsidRPr="00C27A3B">
        <w:rPr>
          <w:rFonts w:ascii="Verdana" w:hAnsi="Verdana" w:cs="Arial"/>
          <w:sz w:val="24"/>
          <w:szCs w:val="24"/>
        </w:rPr>
        <w:t>Armonización (PEA) avanzó de manera progresiva </w:t>
      </w:r>
      <w:r w:rsidR="00606C50">
        <w:rPr>
          <w:rFonts w:ascii="Verdana" w:hAnsi="Verdana" w:cs="Arial"/>
          <w:sz w:val="24"/>
          <w:szCs w:val="24"/>
        </w:rPr>
        <w:t xml:space="preserve">mediante la formulación e implementación de los </w:t>
      </w:r>
      <w:r w:rsidR="00685FDE" w:rsidRPr="00C27A3B">
        <w:rPr>
          <w:rFonts w:ascii="Verdana" w:hAnsi="Verdana" w:cs="Arial"/>
          <w:sz w:val="24"/>
          <w:szCs w:val="24"/>
        </w:rPr>
        <w:t>Planes Comunitarios de Armonización (PCA) en seis territorios étnicos priorizados: tres resguardos indígenas (Resguardo Indígena de Jambaló, Resguardo Indígena de Mayasquer y Resguardo Colonial Indígena de Cañamomo-Lomaprieta) y tres consejos comunitarios afrodescendientes (Consejo Comunitario Nuestros Ancestros del Río Mejicano, Consejo Comunitario de la Comunidad Negra del Río Jiguamiandó y Consejo Comunitario Mayor de la Asociación Campesina Integral del Atrato - COCOMACIA), ubicados en los departamentos de Cauca, Nariño, Caldas, Antioquia y Chocó.</w:t>
      </w:r>
    </w:p>
    <w:p w14:paraId="3F09EC24" w14:textId="77777777" w:rsidR="00084DEF" w:rsidRPr="000D077C" w:rsidRDefault="00084DEF" w:rsidP="000D077C">
      <w:pPr>
        <w:spacing w:after="0" w:line="276" w:lineRule="auto"/>
        <w:rPr>
          <w:rFonts w:ascii="Verdana" w:hAnsi="Verdana" w:cs="Arial"/>
        </w:rPr>
      </w:pPr>
    </w:p>
    <w:p w14:paraId="32E45FE2" w14:textId="77B00B27" w:rsidR="00C32D60" w:rsidRDefault="000D077C" w:rsidP="00C401E4">
      <w:pPr>
        <w:spacing w:after="0" w:line="276" w:lineRule="auto"/>
        <w:jc w:val="both"/>
        <w:rPr>
          <w:rFonts w:ascii="Verdana" w:hAnsi="Verdana" w:cs="Arial"/>
          <w:sz w:val="24"/>
          <w:szCs w:val="24"/>
        </w:rPr>
      </w:pPr>
      <w:r w:rsidRPr="000D077C">
        <w:rPr>
          <w:rFonts w:ascii="Verdana" w:hAnsi="Verdana" w:cs="Arial"/>
          <w:sz w:val="24"/>
          <w:szCs w:val="24"/>
        </w:rPr>
        <w:lastRenderedPageBreak/>
        <w:t>El proceso co</w:t>
      </w:r>
      <w:r w:rsidR="00D27349">
        <w:rPr>
          <w:rFonts w:ascii="Verdana" w:hAnsi="Verdana" w:cs="Arial"/>
          <w:sz w:val="24"/>
          <w:szCs w:val="24"/>
        </w:rPr>
        <w:t xml:space="preserve">ntempló </w:t>
      </w:r>
      <w:r w:rsidRPr="000D077C">
        <w:rPr>
          <w:rFonts w:ascii="Verdana" w:hAnsi="Verdana" w:cs="Arial"/>
          <w:sz w:val="24"/>
          <w:szCs w:val="24"/>
        </w:rPr>
        <w:t xml:space="preserve">una fase </w:t>
      </w:r>
      <w:r w:rsidR="00867193">
        <w:rPr>
          <w:rFonts w:ascii="Verdana" w:hAnsi="Verdana" w:cs="Arial"/>
          <w:sz w:val="24"/>
          <w:szCs w:val="24"/>
        </w:rPr>
        <w:t xml:space="preserve">inicial de </w:t>
      </w:r>
      <w:r w:rsidRPr="000D077C">
        <w:rPr>
          <w:rFonts w:ascii="Verdana" w:hAnsi="Verdana" w:cs="Arial"/>
          <w:sz w:val="24"/>
          <w:szCs w:val="24"/>
        </w:rPr>
        <w:t xml:space="preserve">socialización y concertación técnica y presupuestal de los Planes Comunitarios de Armonización con las </w:t>
      </w:r>
      <w:r w:rsidR="00867193">
        <w:rPr>
          <w:rFonts w:ascii="Verdana" w:hAnsi="Verdana" w:cs="Arial"/>
          <w:sz w:val="24"/>
          <w:szCs w:val="24"/>
        </w:rPr>
        <w:t xml:space="preserve">respectivas </w:t>
      </w:r>
      <w:r w:rsidRPr="000D077C">
        <w:rPr>
          <w:rFonts w:ascii="Verdana" w:hAnsi="Verdana" w:cs="Arial"/>
          <w:sz w:val="24"/>
          <w:szCs w:val="24"/>
        </w:rPr>
        <w:t>autoridades étnicas</w:t>
      </w:r>
      <w:r w:rsidR="00867193">
        <w:rPr>
          <w:rFonts w:ascii="Verdana" w:hAnsi="Verdana" w:cs="Arial"/>
          <w:sz w:val="24"/>
          <w:szCs w:val="24"/>
        </w:rPr>
        <w:t>,</w:t>
      </w:r>
      <w:r w:rsidRPr="000D077C">
        <w:rPr>
          <w:rFonts w:ascii="Verdana" w:hAnsi="Verdana" w:cs="Arial"/>
          <w:sz w:val="24"/>
          <w:szCs w:val="24"/>
        </w:rPr>
        <w:t xml:space="preserve"> seguida de la suscripción de tres convenios y tres contratos para su implementación. </w:t>
      </w:r>
      <w:r w:rsidR="008F74A7">
        <w:rPr>
          <w:rFonts w:ascii="Verdana" w:hAnsi="Verdana" w:cs="Arial"/>
          <w:sz w:val="24"/>
          <w:szCs w:val="24"/>
        </w:rPr>
        <w:t xml:space="preserve">Como parte del proceso de </w:t>
      </w:r>
      <w:r w:rsidRPr="000D077C">
        <w:rPr>
          <w:rFonts w:ascii="Verdana" w:hAnsi="Verdana" w:cs="Arial"/>
          <w:sz w:val="24"/>
          <w:szCs w:val="24"/>
        </w:rPr>
        <w:t xml:space="preserve">concertación </w:t>
      </w:r>
      <w:r w:rsidR="008F74A7">
        <w:rPr>
          <w:rFonts w:ascii="Verdana" w:hAnsi="Verdana" w:cs="Arial"/>
          <w:sz w:val="24"/>
          <w:szCs w:val="24"/>
        </w:rPr>
        <w:t>comunitaria, se realizaron las A</w:t>
      </w:r>
      <w:r w:rsidRPr="000D077C">
        <w:rPr>
          <w:rFonts w:ascii="Verdana" w:hAnsi="Verdana" w:cs="Arial"/>
          <w:sz w:val="24"/>
          <w:szCs w:val="24"/>
        </w:rPr>
        <w:t>sambleas de Pensamiento Territorial Comunitario</w:t>
      </w:r>
      <w:r w:rsidR="000E6D0F">
        <w:rPr>
          <w:rFonts w:ascii="Verdana" w:hAnsi="Verdana" w:cs="Arial"/>
          <w:sz w:val="24"/>
          <w:szCs w:val="24"/>
        </w:rPr>
        <w:t xml:space="preserve">, espacios de validación en </w:t>
      </w:r>
      <w:r w:rsidR="000E6D0F" w:rsidRPr="000E6D0F">
        <w:rPr>
          <w:rFonts w:ascii="Verdana" w:hAnsi="Verdana" w:cs="Arial"/>
          <w:sz w:val="24"/>
          <w:szCs w:val="24"/>
        </w:rPr>
        <w:t>los que participaron 638 personas (271 mujeres y 367 hombres), en los cuales se definieron y priorizaron las acciones que integran cada PCA.</w:t>
      </w:r>
    </w:p>
    <w:p w14:paraId="21C4D32C" w14:textId="77777777" w:rsidR="00C32D60" w:rsidRDefault="00C32D60" w:rsidP="00C401E4">
      <w:pPr>
        <w:spacing w:after="0" w:line="276" w:lineRule="auto"/>
        <w:jc w:val="both"/>
        <w:rPr>
          <w:rFonts w:ascii="Verdana" w:hAnsi="Verdana" w:cs="Arial"/>
          <w:sz w:val="24"/>
          <w:szCs w:val="24"/>
        </w:rPr>
      </w:pPr>
    </w:p>
    <w:p w14:paraId="11BE4FA8" w14:textId="45D0BCA0" w:rsidR="000D077C" w:rsidRPr="000D077C" w:rsidRDefault="000D077C" w:rsidP="00C401E4">
      <w:pPr>
        <w:spacing w:after="0" w:line="276" w:lineRule="auto"/>
        <w:jc w:val="both"/>
        <w:rPr>
          <w:rFonts w:ascii="Verdana" w:hAnsi="Verdana" w:cs="Arial"/>
          <w:sz w:val="24"/>
          <w:szCs w:val="24"/>
        </w:rPr>
      </w:pPr>
      <w:r w:rsidRPr="000D077C">
        <w:rPr>
          <w:rFonts w:ascii="Verdana" w:hAnsi="Verdana" w:cs="Arial"/>
          <w:sz w:val="24"/>
          <w:szCs w:val="24"/>
        </w:rPr>
        <w:t>Las acciones</w:t>
      </w:r>
      <w:r w:rsidR="000E6D0F">
        <w:rPr>
          <w:rFonts w:ascii="Verdana" w:hAnsi="Verdana" w:cs="Arial"/>
          <w:sz w:val="24"/>
          <w:szCs w:val="24"/>
        </w:rPr>
        <w:t xml:space="preserve"> contempladas en </w:t>
      </w:r>
      <w:r w:rsidRPr="000D077C">
        <w:rPr>
          <w:rFonts w:ascii="Verdana" w:hAnsi="Verdana" w:cs="Arial"/>
          <w:sz w:val="24"/>
          <w:szCs w:val="24"/>
        </w:rPr>
        <w:t xml:space="preserve">los PCA se orientaron principalmente al fortalecimiento de economías propias, </w:t>
      </w:r>
      <w:r w:rsidR="00A73E96">
        <w:rPr>
          <w:rFonts w:ascii="Verdana" w:hAnsi="Verdana" w:cs="Arial"/>
          <w:sz w:val="24"/>
          <w:szCs w:val="24"/>
        </w:rPr>
        <w:t xml:space="preserve">la </w:t>
      </w:r>
      <w:r w:rsidRPr="000D077C">
        <w:rPr>
          <w:rFonts w:ascii="Verdana" w:hAnsi="Verdana" w:cs="Arial"/>
          <w:sz w:val="24"/>
          <w:szCs w:val="24"/>
        </w:rPr>
        <w:t xml:space="preserve">recuperación de caminos ancestrales, </w:t>
      </w:r>
      <w:r w:rsidR="00A73E96">
        <w:rPr>
          <w:rFonts w:ascii="Verdana" w:hAnsi="Verdana" w:cs="Arial"/>
          <w:sz w:val="24"/>
          <w:szCs w:val="24"/>
        </w:rPr>
        <w:t xml:space="preserve">el </w:t>
      </w:r>
      <w:r w:rsidRPr="000D077C">
        <w:rPr>
          <w:rFonts w:ascii="Verdana" w:hAnsi="Verdana" w:cs="Arial"/>
          <w:sz w:val="24"/>
          <w:szCs w:val="24"/>
        </w:rPr>
        <w:t xml:space="preserve">fortalecimiento cultural, </w:t>
      </w:r>
      <w:r w:rsidR="00A73E96">
        <w:rPr>
          <w:rFonts w:ascii="Verdana" w:hAnsi="Verdana" w:cs="Arial"/>
          <w:sz w:val="24"/>
          <w:szCs w:val="24"/>
        </w:rPr>
        <w:t xml:space="preserve">la </w:t>
      </w:r>
      <w:r w:rsidRPr="000D077C">
        <w:rPr>
          <w:rFonts w:ascii="Verdana" w:hAnsi="Verdana" w:cs="Arial"/>
          <w:sz w:val="24"/>
          <w:szCs w:val="24"/>
        </w:rPr>
        <w:t xml:space="preserve">salud ancestral, </w:t>
      </w:r>
      <w:r w:rsidR="00A73E96">
        <w:rPr>
          <w:rFonts w:ascii="Verdana" w:hAnsi="Verdana" w:cs="Arial"/>
          <w:sz w:val="24"/>
          <w:szCs w:val="24"/>
        </w:rPr>
        <w:t xml:space="preserve">el mejoramiento de la </w:t>
      </w:r>
      <w:r w:rsidRPr="000D077C">
        <w:rPr>
          <w:rFonts w:ascii="Verdana" w:hAnsi="Verdana" w:cs="Arial"/>
          <w:sz w:val="24"/>
          <w:szCs w:val="24"/>
        </w:rPr>
        <w:t xml:space="preserve">infraestructura comunitaria y </w:t>
      </w:r>
      <w:r w:rsidR="005A7D99">
        <w:rPr>
          <w:rFonts w:ascii="Verdana" w:hAnsi="Verdana" w:cs="Arial"/>
          <w:sz w:val="24"/>
          <w:szCs w:val="24"/>
        </w:rPr>
        <w:t xml:space="preserve">la </w:t>
      </w:r>
      <w:r w:rsidRPr="000D077C">
        <w:rPr>
          <w:rFonts w:ascii="Verdana" w:hAnsi="Verdana" w:cs="Arial"/>
          <w:sz w:val="24"/>
          <w:szCs w:val="24"/>
        </w:rPr>
        <w:t>sostenibilidad ambiental. </w:t>
      </w:r>
    </w:p>
    <w:p w14:paraId="4D028BA4" w14:textId="77777777" w:rsidR="000D077C" w:rsidRPr="000D077C" w:rsidRDefault="000D077C" w:rsidP="00C401E4">
      <w:pPr>
        <w:spacing w:after="0" w:line="276" w:lineRule="auto"/>
        <w:jc w:val="both"/>
        <w:rPr>
          <w:rFonts w:ascii="Verdana" w:hAnsi="Verdana" w:cs="Arial"/>
        </w:rPr>
      </w:pPr>
      <w:r w:rsidRPr="000D077C">
        <w:rPr>
          <w:rFonts w:ascii="Verdana" w:hAnsi="Verdana" w:cs="Arial"/>
        </w:rPr>
        <w:t> </w:t>
      </w:r>
    </w:p>
    <w:p w14:paraId="75B3E17A" w14:textId="1D159D75" w:rsidR="000D077C" w:rsidRPr="003806AB" w:rsidRDefault="000D077C" w:rsidP="00C401E4">
      <w:pPr>
        <w:spacing w:after="0" w:line="276" w:lineRule="auto"/>
        <w:jc w:val="both"/>
        <w:rPr>
          <w:rFonts w:ascii="Verdana" w:hAnsi="Verdana" w:cs="Arial"/>
          <w:sz w:val="24"/>
          <w:szCs w:val="24"/>
        </w:rPr>
      </w:pPr>
      <w:r w:rsidRPr="003806AB">
        <w:rPr>
          <w:rFonts w:ascii="Verdana" w:hAnsi="Verdana" w:cs="Arial"/>
          <w:sz w:val="24"/>
          <w:szCs w:val="24"/>
        </w:rPr>
        <w:t xml:space="preserve">La </w:t>
      </w:r>
      <w:r w:rsidR="005A7D99">
        <w:rPr>
          <w:rFonts w:ascii="Verdana" w:hAnsi="Verdana" w:cs="Arial"/>
          <w:sz w:val="24"/>
          <w:szCs w:val="24"/>
        </w:rPr>
        <w:t xml:space="preserve">inversión total </w:t>
      </w:r>
      <w:r w:rsidR="005A7D99" w:rsidRPr="00BA1BC4">
        <w:rPr>
          <w:rFonts w:ascii="Verdana" w:hAnsi="Verdana" w:cs="Arial"/>
          <w:sz w:val="24"/>
          <w:szCs w:val="24"/>
        </w:rPr>
        <w:t xml:space="preserve">destinada al </w:t>
      </w:r>
      <w:r w:rsidRPr="00BA1BC4">
        <w:rPr>
          <w:rFonts w:ascii="Verdana" w:hAnsi="Verdana" w:cs="Arial"/>
          <w:sz w:val="24"/>
          <w:szCs w:val="24"/>
        </w:rPr>
        <w:t xml:space="preserve">desarrollo de </w:t>
      </w:r>
      <w:r w:rsidR="005A7D99" w:rsidRPr="00BA1BC4">
        <w:rPr>
          <w:rFonts w:ascii="Verdana" w:hAnsi="Verdana" w:cs="Arial"/>
          <w:sz w:val="24"/>
          <w:szCs w:val="24"/>
        </w:rPr>
        <w:t>los seis (</w:t>
      </w:r>
      <w:r w:rsidRPr="00BA1BC4">
        <w:rPr>
          <w:rFonts w:ascii="Verdana" w:hAnsi="Verdana" w:cs="Arial"/>
          <w:sz w:val="24"/>
          <w:szCs w:val="24"/>
        </w:rPr>
        <w:t>6</w:t>
      </w:r>
      <w:r w:rsidR="005A7D99" w:rsidRPr="00BA1BC4">
        <w:rPr>
          <w:rFonts w:ascii="Verdana" w:hAnsi="Verdana" w:cs="Arial"/>
          <w:sz w:val="24"/>
          <w:szCs w:val="24"/>
        </w:rPr>
        <w:t>)</w:t>
      </w:r>
      <w:r w:rsidRPr="00BA1BC4">
        <w:rPr>
          <w:rFonts w:ascii="Verdana" w:hAnsi="Verdana" w:cs="Arial"/>
          <w:sz w:val="24"/>
          <w:szCs w:val="24"/>
        </w:rPr>
        <w:t xml:space="preserve"> Planes Comunitarios de Armonización </w:t>
      </w:r>
      <w:r w:rsidR="005A7D99" w:rsidRPr="00BA1BC4">
        <w:rPr>
          <w:rFonts w:ascii="Verdana" w:hAnsi="Verdana" w:cs="Arial"/>
          <w:sz w:val="24"/>
          <w:szCs w:val="24"/>
        </w:rPr>
        <w:t xml:space="preserve">ascendió a </w:t>
      </w:r>
      <w:r w:rsidRPr="00BA1BC4">
        <w:rPr>
          <w:rFonts w:ascii="Verdana" w:hAnsi="Verdana" w:cs="Arial"/>
          <w:sz w:val="24"/>
          <w:szCs w:val="24"/>
        </w:rPr>
        <w:t>$4.130.653.266</w:t>
      </w:r>
      <w:r w:rsidR="00BA1BC4" w:rsidRPr="00BA1BC4">
        <w:rPr>
          <w:rFonts w:ascii="Verdana" w:hAnsi="Verdana" w:cs="Arial"/>
          <w:sz w:val="24"/>
          <w:szCs w:val="24"/>
        </w:rPr>
        <w:t>distribuida de la siguiente manera: con el Resguardo Indígena de Jambaló (Cauca) se suscribió el Convenio 1378 de 2025 por $658.291.457; con el Resguardo Indígena de Mayasquer (Nariño), el Convenio 1379 de 2025 por $854.271.357; y con el Resguardo Indígena de Cañamomo-Lomaprieta (Caldas), el Convenio 1380 de 2025 por $653.266.332. Adicionalmente, se celebraron el Contrato 1381 de 2025 con el Consejo Comunitario Nuestros Ancestros del Río Mejicano (Nariño) por $658.291.457; el Contrato 1382 de 2025 con el Consejo Comunitario de la Comunidad Negra del Río Jiguamiandó (Chocó) por $653.266.332; y el Contrato 140</w:t>
      </w:r>
      <w:r w:rsidR="00BA1BC4" w:rsidRPr="00BA1BC4">
        <w:rPr>
          <w:rFonts w:ascii="Verdana" w:hAnsi="Verdana" w:cs="Arial"/>
          <w:b/>
          <w:bCs/>
          <w:sz w:val="24"/>
          <w:szCs w:val="24"/>
        </w:rPr>
        <w:t>4 de 2025</w:t>
      </w:r>
      <w:r w:rsidR="00BA1BC4" w:rsidRPr="00BA1BC4">
        <w:rPr>
          <w:rFonts w:ascii="Verdana" w:hAnsi="Verdana" w:cs="Arial"/>
          <w:sz w:val="24"/>
          <w:szCs w:val="24"/>
        </w:rPr>
        <w:t xml:space="preserve"> con el Consejo Comunitario Mayor de la Asociación Campesina Integral del Atrato – COCOMACIA (Antioquia) por $653.266.331.</w:t>
      </w:r>
    </w:p>
    <w:p w14:paraId="10DDE96D" w14:textId="77777777" w:rsidR="000D077C" w:rsidRPr="003806AB" w:rsidRDefault="000D077C" w:rsidP="000D077C">
      <w:pPr>
        <w:spacing w:after="0" w:line="276" w:lineRule="auto"/>
        <w:rPr>
          <w:rFonts w:ascii="Verdana" w:hAnsi="Verdana" w:cs="Arial"/>
          <w:sz w:val="24"/>
          <w:szCs w:val="24"/>
        </w:rPr>
      </w:pPr>
      <w:r w:rsidRPr="003806AB">
        <w:rPr>
          <w:rFonts w:ascii="Verdana" w:hAnsi="Verdana" w:cs="Arial"/>
          <w:sz w:val="24"/>
          <w:szCs w:val="24"/>
        </w:rPr>
        <w:t> </w:t>
      </w:r>
    </w:p>
    <w:p w14:paraId="3D0F4F78" w14:textId="77777777" w:rsidR="0069671B" w:rsidRDefault="0069671B" w:rsidP="000D077C">
      <w:pPr>
        <w:spacing w:after="0" w:line="276" w:lineRule="auto"/>
        <w:rPr>
          <w:rFonts w:ascii="Verdana" w:hAnsi="Verdana" w:cs="Arial"/>
          <w:sz w:val="24"/>
          <w:szCs w:val="24"/>
        </w:rPr>
      </w:pPr>
    </w:p>
    <w:p w14:paraId="6C2A6078" w14:textId="77777777" w:rsidR="0060402B" w:rsidRDefault="0060402B" w:rsidP="00C401E4">
      <w:pPr>
        <w:spacing w:after="0" w:line="276" w:lineRule="auto"/>
        <w:jc w:val="both"/>
        <w:rPr>
          <w:rFonts w:ascii="Verdana" w:hAnsi="Verdana" w:cs="Arial"/>
          <w:sz w:val="24"/>
          <w:szCs w:val="24"/>
        </w:rPr>
      </w:pPr>
      <w:r w:rsidRPr="0060402B">
        <w:rPr>
          <w:rFonts w:ascii="Verdana" w:hAnsi="Verdana" w:cs="Arial"/>
          <w:sz w:val="24"/>
          <w:szCs w:val="24"/>
        </w:rPr>
        <w:t>Durante la vigencia 2025 se culminó exitosamente el PCA del Resguardo Indígena de Jambaló, cumpliendo con un PCA ejecutado en la vigencia. Entre los principales resultados se destaca la entrega de 86 semovientes y kits ganaderos a 46 firmantes de paz y 40 miembros de la comunidad. La población beneficiaria estuvo conformada por 7 mujeres y 39 hombres firmantes de paz, así como 9 mujeres y 31 hombres de la comunidad del resguardo.</w:t>
      </w:r>
    </w:p>
    <w:p w14:paraId="1FB90D2B" w14:textId="77777777" w:rsidR="0060402B" w:rsidRPr="0060402B" w:rsidRDefault="0060402B" w:rsidP="0060402B">
      <w:pPr>
        <w:spacing w:after="0" w:line="276" w:lineRule="auto"/>
        <w:rPr>
          <w:rFonts w:ascii="Verdana" w:hAnsi="Verdana" w:cs="Arial"/>
          <w:sz w:val="24"/>
          <w:szCs w:val="24"/>
        </w:rPr>
      </w:pPr>
    </w:p>
    <w:p w14:paraId="30C3CF22" w14:textId="77777777" w:rsidR="0060402B" w:rsidRDefault="0060402B" w:rsidP="00C401E4">
      <w:pPr>
        <w:spacing w:after="0" w:line="276" w:lineRule="auto"/>
        <w:jc w:val="both"/>
        <w:rPr>
          <w:rFonts w:ascii="Verdana" w:hAnsi="Verdana" w:cs="Arial"/>
          <w:sz w:val="24"/>
          <w:szCs w:val="24"/>
        </w:rPr>
      </w:pPr>
      <w:r w:rsidRPr="0060402B">
        <w:rPr>
          <w:rFonts w:ascii="Verdana" w:hAnsi="Verdana" w:cs="Arial"/>
          <w:sz w:val="24"/>
          <w:szCs w:val="24"/>
        </w:rPr>
        <w:lastRenderedPageBreak/>
        <w:t>Adicionalmente, se realizó el mejoramiento de un camino ancestral que conecta las veredas La Mina (sector Villa Nueva) y Zumbico (sector Laguna Colorada), mediante una minga comunitaria que convocó a 995 personas del pueblo Nasa, beneficiando a la totalidad de la comunidad del resguardo.</w:t>
      </w:r>
    </w:p>
    <w:p w14:paraId="039AC8EC" w14:textId="77777777" w:rsidR="0060402B" w:rsidRPr="0060402B" w:rsidRDefault="0060402B" w:rsidP="00C401E4">
      <w:pPr>
        <w:spacing w:after="0" w:line="276" w:lineRule="auto"/>
        <w:jc w:val="both"/>
        <w:rPr>
          <w:rFonts w:ascii="Verdana" w:hAnsi="Verdana" w:cs="Arial"/>
          <w:sz w:val="24"/>
          <w:szCs w:val="24"/>
        </w:rPr>
      </w:pPr>
    </w:p>
    <w:p w14:paraId="62EE28C9" w14:textId="77777777" w:rsidR="0060402B" w:rsidRPr="0060402B" w:rsidRDefault="0060402B" w:rsidP="00C401E4">
      <w:pPr>
        <w:spacing w:after="0" w:line="276" w:lineRule="auto"/>
        <w:jc w:val="both"/>
        <w:rPr>
          <w:rFonts w:ascii="Verdana" w:hAnsi="Verdana" w:cs="Arial"/>
          <w:sz w:val="24"/>
          <w:szCs w:val="24"/>
        </w:rPr>
      </w:pPr>
      <w:r w:rsidRPr="0060402B">
        <w:rPr>
          <w:rFonts w:ascii="Verdana" w:hAnsi="Verdana" w:cs="Arial"/>
          <w:sz w:val="24"/>
          <w:szCs w:val="24"/>
        </w:rPr>
        <w:t>Al cierre de la vigencia, los otros cinco procesos continúan en ejecución, consolidando un enfoque de reincorporación con pertinencia étnica, concertación comunitaria y fortalecimiento territorial</w:t>
      </w:r>
    </w:p>
    <w:p w14:paraId="540ED472" w14:textId="5599B497" w:rsidR="00443FC1" w:rsidRDefault="000472A9" w:rsidP="000D077C">
      <w:pPr>
        <w:spacing w:after="0" w:line="276" w:lineRule="auto"/>
        <w:rPr>
          <w:rFonts w:ascii="Verdana" w:hAnsi="Verdana" w:cs="Arial"/>
          <w:sz w:val="24"/>
          <w:szCs w:val="24"/>
        </w:rPr>
      </w:pPr>
      <w:r>
        <w:rPr>
          <w:rFonts w:ascii="Verdana" w:hAnsi="Verdana" w:cs="Arial"/>
          <w:sz w:val="24"/>
          <w:szCs w:val="24"/>
        </w:rPr>
        <w:t xml:space="preserve"> </w:t>
      </w:r>
    </w:p>
    <w:p w14:paraId="7044DA05" w14:textId="039ECCB4" w:rsidR="009D6B63" w:rsidRDefault="009D6B63" w:rsidP="009D6B63">
      <w:pPr>
        <w:pStyle w:val="Descripcin"/>
        <w:keepNext/>
        <w:jc w:val="center"/>
        <w:rPr>
          <w:rFonts w:ascii="Verdana" w:eastAsia="Verdana" w:hAnsi="Verdana" w:cs="Arial"/>
          <w:i w:val="0"/>
          <w:iCs w:val="0"/>
          <w:color w:val="000000" w:themeColor="text1"/>
        </w:rPr>
      </w:pPr>
      <w:bookmarkStart w:id="64" w:name="_Toc225283171"/>
      <w:r w:rsidRPr="009D6B63">
        <w:rPr>
          <w:rFonts w:ascii="Verdana" w:eastAsia="Verdana" w:hAnsi="Verdana" w:cs="Arial"/>
          <w:i w:val="0"/>
          <w:iCs w:val="0"/>
          <w:color w:val="000000" w:themeColor="text1"/>
        </w:rPr>
        <w:t xml:space="preserve">Tabla </w:t>
      </w:r>
      <w:r w:rsidRPr="009D6B63">
        <w:rPr>
          <w:rFonts w:ascii="Verdana" w:eastAsia="Verdana" w:hAnsi="Verdana" w:cs="Arial"/>
          <w:i w:val="0"/>
          <w:iCs w:val="0"/>
          <w:color w:val="000000" w:themeColor="text1"/>
        </w:rPr>
        <w:fldChar w:fldCharType="begin"/>
      </w:r>
      <w:r w:rsidRPr="009D6B63">
        <w:rPr>
          <w:rFonts w:ascii="Verdana" w:eastAsia="Verdana" w:hAnsi="Verdana" w:cs="Arial"/>
          <w:i w:val="0"/>
          <w:iCs w:val="0"/>
          <w:color w:val="000000" w:themeColor="text1"/>
        </w:rPr>
        <w:instrText xml:space="preserve"> SEQ Tabla \* ARABIC </w:instrText>
      </w:r>
      <w:r w:rsidRPr="009D6B63">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59</w:t>
      </w:r>
      <w:r w:rsidRPr="009D6B63">
        <w:rPr>
          <w:rFonts w:ascii="Verdana" w:eastAsia="Verdana" w:hAnsi="Verdana" w:cs="Arial"/>
          <w:i w:val="0"/>
          <w:iCs w:val="0"/>
          <w:color w:val="000000" w:themeColor="text1"/>
        </w:rPr>
        <w:fldChar w:fldCharType="end"/>
      </w:r>
      <w:r w:rsidRPr="009D6B63">
        <w:rPr>
          <w:rFonts w:ascii="Verdana" w:eastAsia="Verdana" w:hAnsi="Verdana" w:cs="Arial"/>
          <w:i w:val="0"/>
          <w:iCs w:val="0"/>
          <w:color w:val="000000" w:themeColor="text1"/>
        </w:rPr>
        <w:t>. Detalle de las principales acciones del indicador C.E.11.N</w:t>
      </w:r>
      <w:bookmarkEnd w:id="64"/>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496345" w:rsidRPr="006A2496" w14:paraId="57F4A41B" w14:textId="77777777" w:rsidTr="00DA03A9">
        <w:trPr>
          <w:trHeight w:val="113"/>
          <w:tblHeader/>
        </w:trPr>
        <w:tc>
          <w:tcPr>
            <w:tcW w:w="1985" w:type="dxa"/>
            <w:tcMar>
              <w:left w:w="108" w:type="dxa"/>
              <w:right w:w="108" w:type="dxa"/>
            </w:tcMar>
          </w:tcPr>
          <w:p w14:paraId="2F39062E" w14:textId="77777777" w:rsidR="00496345" w:rsidRPr="006A2496" w:rsidRDefault="00496345" w:rsidP="005F457D">
            <w:pPr>
              <w:spacing w:line="276" w:lineRule="auto"/>
              <w:jc w:val="center"/>
              <w:rPr>
                <w:rFonts w:ascii="Verdana" w:hAnsi="Verdana" w:cs="Arial"/>
                <w:b/>
                <w:bCs/>
                <w:sz w:val="18"/>
                <w:szCs w:val="18"/>
              </w:rPr>
            </w:pPr>
            <w:r w:rsidRPr="006A2496">
              <w:rPr>
                <w:rFonts w:ascii="Verdana" w:eastAsia="Verdana" w:hAnsi="Verdana" w:cs="Arial"/>
                <w:b/>
                <w:bCs/>
                <w:color w:val="000000" w:themeColor="text1"/>
                <w:sz w:val="18"/>
                <w:szCs w:val="18"/>
              </w:rPr>
              <w:t>Indicador del PMI</w:t>
            </w:r>
          </w:p>
        </w:tc>
        <w:tc>
          <w:tcPr>
            <w:tcW w:w="4677" w:type="dxa"/>
            <w:tcMar>
              <w:left w:w="108" w:type="dxa"/>
              <w:right w:w="108" w:type="dxa"/>
            </w:tcMar>
          </w:tcPr>
          <w:p w14:paraId="39AEE1E9" w14:textId="77777777" w:rsidR="00496345" w:rsidRPr="006A2496" w:rsidRDefault="00496345" w:rsidP="00DA03A9">
            <w:pPr>
              <w:spacing w:line="276" w:lineRule="auto"/>
              <w:jc w:val="center"/>
              <w:rPr>
                <w:rFonts w:ascii="Verdana" w:hAnsi="Verdana" w:cs="Arial"/>
                <w:b/>
                <w:bCs/>
                <w:sz w:val="18"/>
                <w:szCs w:val="18"/>
              </w:rPr>
            </w:pPr>
            <w:r w:rsidRPr="006A2496">
              <w:rPr>
                <w:rFonts w:ascii="Verdana" w:eastAsia="Verdana" w:hAnsi="Verdana" w:cs="Arial"/>
                <w:b/>
                <w:bCs/>
                <w:color w:val="000000" w:themeColor="text1"/>
                <w:sz w:val="18"/>
                <w:szCs w:val="18"/>
              </w:rPr>
              <w:t>Principales Logros</w:t>
            </w:r>
          </w:p>
        </w:tc>
        <w:tc>
          <w:tcPr>
            <w:tcW w:w="1985" w:type="dxa"/>
            <w:tcMar>
              <w:left w:w="108" w:type="dxa"/>
              <w:right w:w="108" w:type="dxa"/>
            </w:tcMar>
          </w:tcPr>
          <w:p w14:paraId="051D8143" w14:textId="77777777" w:rsidR="00496345" w:rsidRPr="006A2496" w:rsidRDefault="00496345" w:rsidP="005F457D">
            <w:pPr>
              <w:spacing w:line="276" w:lineRule="auto"/>
              <w:jc w:val="center"/>
              <w:rPr>
                <w:rFonts w:ascii="Verdana" w:hAnsi="Verdana" w:cs="Arial"/>
                <w:b/>
                <w:bCs/>
                <w:sz w:val="18"/>
                <w:szCs w:val="18"/>
              </w:rPr>
            </w:pPr>
            <w:r w:rsidRPr="006A2496">
              <w:rPr>
                <w:rFonts w:ascii="Verdana" w:eastAsia="Verdana" w:hAnsi="Verdana" w:cs="Arial"/>
                <w:b/>
                <w:bCs/>
                <w:color w:val="000000" w:themeColor="text1"/>
                <w:sz w:val="18"/>
                <w:szCs w:val="18"/>
              </w:rPr>
              <w:t>Recursos 2025</w:t>
            </w:r>
          </w:p>
        </w:tc>
      </w:tr>
      <w:tr w:rsidR="00496345" w:rsidRPr="006A2496" w14:paraId="69D91C14" w14:textId="77777777" w:rsidTr="00037BD4">
        <w:trPr>
          <w:trHeight w:val="1235"/>
        </w:trPr>
        <w:tc>
          <w:tcPr>
            <w:tcW w:w="1985" w:type="dxa"/>
            <w:tcMar>
              <w:left w:w="108" w:type="dxa"/>
              <w:right w:w="108" w:type="dxa"/>
            </w:tcMar>
          </w:tcPr>
          <w:p w14:paraId="5F48858F" w14:textId="69F1924C" w:rsidR="00496345" w:rsidRPr="006A2496" w:rsidRDefault="00037BD4" w:rsidP="005F457D">
            <w:pPr>
              <w:spacing w:line="276" w:lineRule="auto"/>
              <w:jc w:val="both"/>
              <w:rPr>
                <w:rFonts w:ascii="Verdana" w:hAnsi="Verdana" w:cs="Arial"/>
                <w:sz w:val="18"/>
                <w:szCs w:val="18"/>
              </w:rPr>
            </w:pPr>
            <w:r w:rsidRPr="006A2496">
              <w:rPr>
                <w:rFonts w:ascii="Verdana" w:hAnsi="Verdana" w:cs="Arial"/>
                <w:sz w:val="18"/>
                <w:szCs w:val="18"/>
              </w:rPr>
              <w:t>C.E.11.N Planes Comunitarios de Armonización ejecutados en la vigencia</w:t>
            </w:r>
          </w:p>
        </w:tc>
        <w:tc>
          <w:tcPr>
            <w:tcW w:w="4677" w:type="dxa"/>
            <w:tcMar>
              <w:left w:w="108" w:type="dxa"/>
              <w:right w:w="108" w:type="dxa"/>
            </w:tcMar>
          </w:tcPr>
          <w:p w14:paraId="20DDB327" w14:textId="77777777" w:rsidR="001135BE" w:rsidRPr="002538A3" w:rsidRDefault="00BE0032"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423D10">
              <w:rPr>
                <w:rFonts w:ascii="Verdana" w:eastAsia="Verdana" w:hAnsi="Verdana" w:cs="Arial"/>
                <w:color w:val="000000" w:themeColor="text1"/>
                <w:sz w:val="18"/>
                <w:szCs w:val="18"/>
              </w:rPr>
              <w:t xml:space="preserve">Concertación y formalización de </w:t>
            </w:r>
            <w:r w:rsidR="00423D10">
              <w:rPr>
                <w:rFonts w:ascii="Verdana" w:eastAsia="Verdana" w:hAnsi="Verdana" w:cs="Arial"/>
                <w:color w:val="000000" w:themeColor="text1"/>
                <w:sz w:val="18"/>
                <w:szCs w:val="18"/>
              </w:rPr>
              <w:t>seis (</w:t>
            </w:r>
            <w:r w:rsidRPr="00423D10">
              <w:rPr>
                <w:rFonts w:ascii="Verdana" w:eastAsia="Verdana" w:hAnsi="Verdana" w:cs="Arial"/>
                <w:color w:val="000000" w:themeColor="text1"/>
                <w:sz w:val="18"/>
                <w:szCs w:val="18"/>
              </w:rPr>
              <w:t>6</w:t>
            </w:r>
            <w:r w:rsidR="00423D10">
              <w:rPr>
                <w:rFonts w:ascii="Verdana" w:eastAsia="Verdana" w:hAnsi="Verdana" w:cs="Arial"/>
                <w:color w:val="000000" w:themeColor="text1"/>
                <w:sz w:val="18"/>
                <w:szCs w:val="18"/>
              </w:rPr>
              <w:t>)</w:t>
            </w:r>
            <w:r w:rsidRPr="00423D10">
              <w:rPr>
                <w:rFonts w:ascii="Verdana" w:eastAsia="Verdana" w:hAnsi="Verdana" w:cs="Arial"/>
                <w:color w:val="000000" w:themeColor="text1"/>
                <w:sz w:val="18"/>
                <w:szCs w:val="18"/>
              </w:rPr>
              <w:t xml:space="preserve"> Planes Comunitarios de Armonización </w:t>
            </w:r>
            <w:r w:rsidR="001135BE" w:rsidRPr="001135BE">
              <w:rPr>
                <w:rFonts w:ascii="Verdana" w:eastAsia="Verdana" w:hAnsi="Verdana" w:cs="Arial"/>
                <w:color w:val="000000" w:themeColor="text1"/>
                <w:sz w:val="18"/>
                <w:szCs w:val="18"/>
              </w:rPr>
              <w:t xml:space="preserve">en territorios étnicos priorizados: tres resguardos indígenas —Resguardo Indígena de Jambaló, Resguardo Indígena de Mayasquer y Resguardo Indígena de Cañamomo-Lomaprieta— y tres consejos comunitarios afrodescendientes —Consejo Comunitario Nuestros Ancestros del Río Mejicano, Consejo Comunitario Mayor del Río Jiguamiandó y Consejo Comunitario Mayor de la Asociación Campesina Integral del Atrato - COCOMACIA— mediante la suscripción de </w:t>
            </w:r>
            <w:r w:rsidR="001135BE" w:rsidRPr="002D396B">
              <w:rPr>
                <w:rFonts w:ascii="Verdana" w:eastAsia="Verdana" w:hAnsi="Verdana" w:cs="Arial"/>
                <w:color w:val="000000" w:themeColor="text1"/>
                <w:sz w:val="18"/>
                <w:szCs w:val="18"/>
              </w:rPr>
              <w:t>tres (3) convenios y tres (3) contratos</w:t>
            </w:r>
            <w:r w:rsidR="001135BE" w:rsidRPr="001135BE">
              <w:rPr>
                <w:rFonts w:ascii="Verdana" w:eastAsia="Verdana" w:hAnsi="Verdana" w:cs="Arial"/>
                <w:color w:val="000000" w:themeColor="text1"/>
                <w:sz w:val="18"/>
                <w:szCs w:val="18"/>
              </w:rPr>
              <w:t xml:space="preserve"> para </w:t>
            </w:r>
            <w:r w:rsidR="001135BE" w:rsidRPr="002538A3">
              <w:rPr>
                <w:rFonts w:ascii="Verdana" w:eastAsia="Verdana" w:hAnsi="Verdana" w:cs="Arial"/>
                <w:color w:val="000000" w:themeColor="text1"/>
                <w:sz w:val="18"/>
                <w:szCs w:val="18"/>
              </w:rPr>
              <w:t>su implementación.</w:t>
            </w:r>
          </w:p>
          <w:p w14:paraId="73D80572" w14:textId="77777777" w:rsidR="002538A3" w:rsidRPr="002538A3" w:rsidRDefault="002538A3"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2538A3">
              <w:rPr>
                <w:rFonts w:ascii="Verdana" w:eastAsia="Verdana" w:hAnsi="Verdana" w:cs="Arial"/>
                <w:color w:val="000000" w:themeColor="text1"/>
                <w:sz w:val="18"/>
                <w:szCs w:val="18"/>
              </w:rPr>
              <w:t>Participación de 638 personas (271 mujeres y 367 hombres) en las asambleas de concertación y validación comunitaria de los PCA, fortaleciendo los procesos de gobernanza territorial y la apropiación comunitaria de las acciones priorizadas.</w:t>
            </w:r>
          </w:p>
          <w:p w14:paraId="56C41D8A" w14:textId="77777777" w:rsidR="002538A3" w:rsidRPr="002538A3" w:rsidRDefault="002538A3"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2538A3">
              <w:rPr>
                <w:rFonts w:ascii="Verdana" w:eastAsia="Verdana" w:hAnsi="Verdana" w:cs="Arial"/>
                <w:color w:val="000000" w:themeColor="text1"/>
                <w:sz w:val="18"/>
                <w:szCs w:val="18"/>
              </w:rPr>
              <w:t>Cumplimiento de la meta anual 2025 mediante la ejecución del PCA del Resguardo Indígena de Jambaló, orientado al fortalecimiento de la economía comunitaria a través de la entrega de 86 semovientes con kits ganaderos a 46 firmantes de paz y 40 miembros de la comunidad del resguardo.</w:t>
            </w:r>
          </w:p>
          <w:p w14:paraId="0C2CD61E" w14:textId="6993D9CB" w:rsidR="00496345" w:rsidRDefault="00BE0032"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2538A3">
              <w:rPr>
                <w:rFonts w:ascii="Verdana" w:eastAsia="Verdana" w:hAnsi="Verdana" w:cs="Arial"/>
                <w:color w:val="000000" w:themeColor="text1"/>
                <w:sz w:val="18"/>
                <w:szCs w:val="18"/>
              </w:rPr>
              <w:t xml:space="preserve">Recuperación y mejoramiento </w:t>
            </w:r>
            <w:r w:rsidR="002538A3" w:rsidRPr="002538A3">
              <w:rPr>
                <w:rFonts w:ascii="Verdana" w:eastAsia="Verdana" w:hAnsi="Verdana" w:cs="Arial"/>
                <w:color w:val="000000" w:themeColor="text1"/>
                <w:sz w:val="18"/>
                <w:szCs w:val="18"/>
              </w:rPr>
              <w:t>de caminos ancestrales mediante la realización de una minga comunitaria con participación de 995 personas, beneficiando a la totalidad de la comunidad del resguardo.</w:t>
            </w:r>
          </w:p>
          <w:p w14:paraId="7C38B269" w14:textId="44C051AE" w:rsidR="00F67FF0" w:rsidRPr="00F67FF0" w:rsidRDefault="00F67FF0" w:rsidP="00C401E4">
            <w:pPr>
              <w:pStyle w:val="Prrafodelista"/>
              <w:numPr>
                <w:ilvl w:val="0"/>
                <w:numId w:val="33"/>
              </w:numPr>
              <w:spacing w:line="276" w:lineRule="auto"/>
              <w:jc w:val="both"/>
              <w:rPr>
                <w:rFonts w:ascii="Verdana" w:eastAsia="Verdana" w:hAnsi="Verdana" w:cs="Arial"/>
                <w:color w:val="000000" w:themeColor="text1"/>
                <w:sz w:val="18"/>
                <w:szCs w:val="18"/>
              </w:rPr>
            </w:pPr>
            <w:r w:rsidRPr="00F67FF0">
              <w:rPr>
                <w:rFonts w:ascii="Verdana" w:eastAsia="Verdana" w:hAnsi="Verdana" w:cs="Arial"/>
                <w:color w:val="000000" w:themeColor="text1"/>
                <w:sz w:val="18"/>
                <w:szCs w:val="18"/>
              </w:rPr>
              <w:lastRenderedPageBreak/>
              <w:t>Priorización de acciones con enfoque cultural, productivo y ambiental, incluyendo iniciativas de salud ancestral, fortalecimiento organizativo, infraestructura comunitaria, economías propias y sostenibilidad territorial.</w:t>
            </w:r>
          </w:p>
        </w:tc>
        <w:tc>
          <w:tcPr>
            <w:tcW w:w="1985" w:type="dxa"/>
            <w:tcMar>
              <w:left w:w="108" w:type="dxa"/>
              <w:right w:w="108" w:type="dxa"/>
            </w:tcMar>
          </w:tcPr>
          <w:p w14:paraId="758D6871" w14:textId="6BDD846F" w:rsidR="00496345" w:rsidRPr="006A2496" w:rsidRDefault="00F67FF0" w:rsidP="00C401E4">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lastRenderedPageBreak/>
              <w:t xml:space="preserve">Inversión total: </w:t>
            </w:r>
            <w:r w:rsidR="005626A6" w:rsidRPr="006A2496">
              <w:rPr>
                <w:rFonts w:ascii="Verdana" w:eastAsia="Verdana" w:hAnsi="Verdana" w:cs="Arial"/>
                <w:color w:val="000000" w:themeColor="text1"/>
                <w:sz w:val="18"/>
                <w:szCs w:val="18"/>
              </w:rPr>
              <w:t>$4.130.653.266</w:t>
            </w:r>
          </w:p>
          <w:p w14:paraId="313BFEFB" w14:textId="77777777" w:rsidR="00410482" w:rsidRPr="006A2496" w:rsidRDefault="00410482" w:rsidP="00C401E4">
            <w:pPr>
              <w:spacing w:line="276" w:lineRule="auto"/>
              <w:jc w:val="both"/>
              <w:rPr>
                <w:rFonts w:ascii="Verdana" w:eastAsia="Verdana" w:hAnsi="Verdana" w:cs="Arial"/>
                <w:color w:val="000000" w:themeColor="text1"/>
                <w:sz w:val="18"/>
                <w:szCs w:val="18"/>
              </w:rPr>
            </w:pPr>
          </w:p>
          <w:p w14:paraId="5ACBFCA7" w14:textId="77777777" w:rsidR="00491702" w:rsidRPr="00491702" w:rsidRDefault="00491702" w:rsidP="00C401E4">
            <w:pPr>
              <w:spacing w:line="276" w:lineRule="auto"/>
              <w:jc w:val="both"/>
              <w:rPr>
                <w:rFonts w:ascii="Verdana" w:hAnsi="Verdana"/>
                <w:sz w:val="18"/>
                <w:szCs w:val="18"/>
              </w:rPr>
            </w:pPr>
            <w:r w:rsidRPr="00491702">
              <w:rPr>
                <w:rFonts w:ascii="Verdana" w:hAnsi="Verdana"/>
                <w:b/>
                <w:bCs/>
                <w:sz w:val="18"/>
                <w:szCs w:val="18"/>
              </w:rPr>
              <w:t>Convenios suscritos:</w:t>
            </w:r>
          </w:p>
          <w:p w14:paraId="5EA88ADA" w14:textId="77777777" w:rsidR="00491702" w:rsidRPr="00491702" w:rsidRDefault="00491702" w:rsidP="00C401E4">
            <w:pPr>
              <w:numPr>
                <w:ilvl w:val="0"/>
                <w:numId w:val="34"/>
              </w:numPr>
              <w:tabs>
                <w:tab w:val="num" w:pos="720"/>
              </w:tabs>
              <w:spacing w:line="276" w:lineRule="auto"/>
              <w:jc w:val="both"/>
              <w:rPr>
                <w:rFonts w:ascii="Verdana" w:hAnsi="Verdana"/>
                <w:sz w:val="18"/>
                <w:szCs w:val="18"/>
              </w:rPr>
            </w:pPr>
            <w:r w:rsidRPr="00491702">
              <w:rPr>
                <w:rFonts w:ascii="Verdana" w:hAnsi="Verdana"/>
                <w:sz w:val="18"/>
                <w:szCs w:val="18"/>
              </w:rPr>
              <w:t xml:space="preserve">Resguardo Indígena de Jambaló – Convenio 1378 de 2025 por $658.291.457 </w:t>
            </w:r>
          </w:p>
          <w:p w14:paraId="02E3B487" w14:textId="77777777" w:rsidR="00491702" w:rsidRPr="00491702" w:rsidRDefault="00491702" w:rsidP="00C401E4">
            <w:pPr>
              <w:numPr>
                <w:ilvl w:val="0"/>
                <w:numId w:val="34"/>
              </w:numPr>
              <w:tabs>
                <w:tab w:val="num" w:pos="720"/>
              </w:tabs>
              <w:spacing w:line="276" w:lineRule="auto"/>
              <w:jc w:val="both"/>
              <w:rPr>
                <w:rFonts w:ascii="Verdana" w:hAnsi="Verdana"/>
                <w:sz w:val="18"/>
                <w:szCs w:val="18"/>
              </w:rPr>
            </w:pPr>
            <w:r w:rsidRPr="00491702">
              <w:rPr>
                <w:rFonts w:ascii="Verdana" w:hAnsi="Verdana"/>
                <w:sz w:val="18"/>
                <w:szCs w:val="18"/>
              </w:rPr>
              <w:t xml:space="preserve">Resguardo Indígena de Mayasquer – Convenio 1379 de 2025 por $854.271.357 </w:t>
            </w:r>
          </w:p>
          <w:p w14:paraId="74913EA9" w14:textId="77777777" w:rsidR="00491702" w:rsidRPr="00491702" w:rsidRDefault="00491702" w:rsidP="00C401E4">
            <w:pPr>
              <w:numPr>
                <w:ilvl w:val="0"/>
                <w:numId w:val="34"/>
              </w:numPr>
              <w:tabs>
                <w:tab w:val="num" w:pos="720"/>
              </w:tabs>
              <w:spacing w:line="276" w:lineRule="auto"/>
              <w:jc w:val="both"/>
              <w:rPr>
                <w:rFonts w:ascii="Verdana" w:hAnsi="Verdana"/>
                <w:sz w:val="18"/>
                <w:szCs w:val="18"/>
              </w:rPr>
            </w:pPr>
            <w:r w:rsidRPr="00491702">
              <w:rPr>
                <w:rFonts w:ascii="Verdana" w:hAnsi="Verdana"/>
                <w:sz w:val="18"/>
                <w:szCs w:val="18"/>
              </w:rPr>
              <w:t>Resguardo Indígena de Cañamomo-Lomaprieta – Convenio 1380 de 2025 por $653.266.332</w:t>
            </w:r>
          </w:p>
          <w:p w14:paraId="5BA5A962" w14:textId="50693755" w:rsidR="0010598A" w:rsidRPr="0010598A" w:rsidRDefault="0010598A" w:rsidP="00C401E4">
            <w:pPr>
              <w:spacing w:line="276" w:lineRule="auto"/>
              <w:jc w:val="both"/>
              <w:rPr>
                <w:rFonts w:ascii="Verdana" w:hAnsi="Verdana"/>
                <w:sz w:val="18"/>
                <w:szCs w:val="18"/>
              </w:rPr>
            </w:pPr>
            <w:r w:rsidRPr="0010598A">
              <w:rPr>
                <w:rFonts w:ascii="Verdana" w:hAnsi="Verdana"/>
                <w:b/>
                <w:bCs/>
                <w:sz w:val="18"/>
                <w:szCs w:val="18"/>
              </w:rPr>
              <w:t>Contratos suscritos:</w:t>
            </w:r>
          </w:p>
          <w:p w14:paraId="7D5FF987" w14:textId="77777777" w:rsidR="0010598A" w:rsidRPr="0010598A" w:rsidRDefault="0010598A" w:rsidP="00C401E4">
            <w:pPr>
              <w:numPr>
                <w:ilvl w:val="0"/>
                <w:numId w:val="35"/>
              </w:numPr>
              <w:tabs>
                <w:tab w:val="num" w:pos="720"/>
              </w:tabs>
              <w:spacing w:line="276" w:lineRule="auto"/>
              <w:jc w:val="both"/>
              <w:rPr>
                <w:rFonts w:ascii="Verdana" w:hAnsi="Verdana"/>
                <w:sz w:val="18"/>
                <w:szCs w:val="18"/>
              </w:rPr>
            </w:pPr>
            <w:r w:rsidRPr="0010598A">
              <w:rPr>
                <w:rFonts w:ascii="Verdana" w:hAnsi="Verdana"/>
                <w:sz w:val="18"/>
                <w:szCs w:val="18"/>
              </w:rPr>
              <w:t xml:space="preserve">Consejo Comunitario Nuestros Ancestros del Río Mejicano (Nariño) – Contrato 1381 </w:t>
            </w:r>
            <w:r w:rsidRPr="0010598A">
              <w:rPr>
                <w:rFonts w:ascii="Verdana" w:hAnsi="Verdana"/>
                <w:sz w:val="18"/>
                <w:szCs w:val="18"/>
              </w:rPr>
              <w:lastRenderedPageBreak/>
              <w:t xml:space="preserve">de 2025 por $658.291.457 </w:t>
            </w:r>
          </w:p>
          <w:p w14:paraId="65F4A395" w14:textId="77777777" w:rsidR="0010598A" w:rsidRPr="0010598A" w:rsidRDefault="0010598A" w:rsidP="00C401E4">
            <w:pPr>
              <w:numPr>
                <w:ilvl w:val="0"/>
                <w:numId w:val="35"/>
              </w:numPr>
              <w:tabs>
                <w:tab w:val="num" w:pos="720"/>
              </w:tabs>
              <w:spacing w:line="276" w:lineRule="auto"/>
              <w:jc w:val="both"/>
              <w:rPr>
                <w:rFonts w:ascii="Verdana" w:hAnsi="Verdana"/>
                <w:sz w:val="18"/>
                <w:szCs w:val="18"/>
              </w:rPr>
            </w:pPr>
            <w:r w:rsidRPr="0010598A">
              <w:rPr>
                <w:rFonts w:ascii="Verdana" w:hAnsi="Verdana"/>
                <w:sz w:val="18"/>
                <w:szCs w:val="18"/>
              </w:rPr>
              <w:t xml:space="preserve">Consejo Comunitario Mayor del Río Jiguamiandó (Chocó) – Contrato 1382 de 2025 por $653.266.332 </w:t>
            </w:r>
          </w:p>
          <w:p w14:paraId="75346890" w14:textId="77777777" w:rsidR="0010598A" w:rsidRPr="0010598A" w:rsidRDefault="0010598A" w:rsidP="00C401E4">
            <w:pPr>
              <w:numPr>
                <w:ilvl w:val="0"/>
                <w:numId w:val="35"/>
              </w:numPr>
              <w:tabs>
                <w:tab w:val="num" w:pos="720"/>
              </w:tabs>
              <w:spacing w:line="276" w:lineRule="auto"/>
              <w:jc w:val="both"/>
              <w:rPr>
                <w:rFonts w:ascii="Verdana" w:hAnsi="Verdana"/>
                <w:sz w:val="18"/>
                <w:szCs w:val="18"/>
              </w:rPr>
            </w:pPr>
            <w:r w:rsidRPr="0010598A">
              <w:rPr>
                <w:rFonts w:ascii="Verdana" w:hAnsi="Verdana"/>
                <w:sz w:val="18"/>
                <w:szCs w:val="18"/>
              </w:rPr>
              <w:t>Consejo Comunitario Mayor de la Asociación Campesina Integral del Atrato - COCOMACIA (Antioquia) – Contrato 1404 de 2025 por $653.266.331</w:t>
            </w:r>
          </w:p>
          <w:p w14:paraId="262162D4" w14:textId="769C498E" w:rsidR="001B0D66" w:rsidRPr="006A2496" w:rsidRDefault="001B0D66" w:rsidP="00C401E4">
            <w:pPr>
              <w:spacing w:line="276" w:lineRule="auto"/>
              <w:jc w:val="both"/>
              <w:rPr>
                <w:rFonts w:ascii="Verdana" w:eastAsia="Verdana" w:hAnsi="Verdana" w:cs="Arial"/>
                <w:color w:val="000000" w:themeColor="text1"/>
                <w:sz w:val="18"/>
                <w:szCs w:val="18"/>
              </w:rPr>
            </w:pPr>
          </w:p>
        </w:tc>
      </w:tr>
    </w:tbl>
    <w:p w14:paraId="62639213"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92209D0" w14:textId="77777777" w:rsidR="00496345" w:rsidRPr="00AB06F3" w:rsidRDefault="00496345" w:rsidP="00496345">
      <w:pPr>
        <w:spacing w:after="0" w:line="276" w:lineRule="auto"/>
        <w:jc w:val="both"/>
        <w:rPr>
          <w:rFonts w:ascii="Verdana" w:hAnsi="Verdana" w:cs="Arial"/>
        </w:rPr>
      </w:pPr>
    </w:p>
    <w:p w14:paraId="49DF2204" w14:textId="77777777" w:rsidR="00496345" w:rsidRDefault="00496345" w:rsidP="00164ED5">
      <w:pPr>
        <w:pStyle w:val="Prrafodelista"/>
        <w:numPr>
          <w:ilvl w:val="0"/>
          <w:numId w:val="20"/>
        </w:numPr>
        <w:spacing w:after="0" w:line="240"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67FA8064" w14:textId="77777777" w:rsidR="00830953" w:rsidRDefault="00830953" w:rsidP="00BD1128">
      <w:pPr>
        <w:pStyle w:val="Descripcin"/>
        <w:keepNext/>
        <w:jc w:val="center"/>
        <w:rPr>
          <w:rFonts w:ascii="Verdana" w:eastAsia="Verdana" w:hAnsi="Verdana" w:cs="Arial"/>
          <w:i w:val="0"/>
          <w:iCs w:val="0"/>
          <w:color w:val="000000" w:themeColor="text1"/>
        </w:rPr>
      </w:pPr>
    </w:p>
    <w:p w14:paraId="306711AD" w14:textId="60656173" w:rsidR="00BD1128" w:rsidRPr="00BD1128" w:rsidRDefault="00BD1128" w:rsidP="00BD1128">
      <w:pPr>
        <w:pStyle w:val="Descripcin"/>
        <w:keepNext/>
        <w:jc w:val="center"/>
        <w:rPr>
          <w:rFonts w:ascii="Verdana" w:eastAsia="Verdana" w:hAnsi="Verdana" w:cs="Arial"/>
          <w:i w:val="0"/>
          <w:iCs w:val="0"/>
          <w:color w:val="000000" w:themeColor="text1"/>
        </w:rPr>
      </w:pPr>
      <w:bookmarkStart w:id="65" w:name="_Toc225283172"/>
      <w:r w:rsidRPr="00BD1128">
        <w:rPr>
          <w:rFonts w:ascii="Verdana" w:eastAsia="Verdana" w:hAnsi="Verdana" w:cs="Arial"/>
          <w:i w:val="0"/>
          <w:iCs w:val="0"/>
          <w:color w:val="000000" w:themeColor="text1"/>
        </w:rPr>
        <w:t xml:space="preserve">Tabla </w:t>
      </w:r>
      <w:r w:rsidRPr="00BD1128">
        <w:rPr>
          <w:rFonts w:ascii="Verdana" w:eastAsia="Verdana" w:hAnsi="Verdana" w:cs="Arial"/>
          <w:i w:val="0"/>
          <w:iCs w:val="0"/>
          <w:color w:val="000000" w:themeColor="text1"/>
        </w:rPr>
        <w:fldChar w:fldCharType="begin"/>
      </w:r>
      <w:r w:rsidRPr="00BD1128">
        <w:rPr>
          <w:rFonts w:ascii="Verdana" w:eastAsia="Verdana" w:hAnsi="Verdana" w:cs="Arial"/>
          <w:i w:val="0"/>
          <w:iCs w:val="0"/>
          <w:color w:val="000000" w:themeColor="text1"/>
        </w:rPr>
        <w:instrText xml:space="preserve"> SEQ Tabla \* ARABIC </w:instrText>
      </w:r>
      <w:r w:rsidRPr="00BD1128">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60</w:t>
      </w:r>
      <w:r w:rsidRPr="00BD1128">
        <w:rPr>
          <w:rFonts w:ascii="Verdana" w:eastAsia="Verdana" w:hAnsi="Verdana" w:cs="Arial"/>
          <w:i w:val="0"/>
          <w:iCs w:val="0"/>
          <w:color w:val="000000" w:themeColor="text1"/>
        </w:rPr>
        <w:fldChar w:fldCharType="end"/>
      </w:r>
      <w:r w:rsidRPr="00BD1128">
        <w:rPr>
          <w:rFonts w:ascii="Verdana" w:eastAsia="Verdana" w:hAnsi="Verdana" w:cs="Arial"/>
          <w:i w:val="0"/>
          <w:iCs w:val="0"/>
          <w:color w:val="000000" w:themeColor="text1"/>
        </w:rPr>
        <w:t>.Detalle de regionalización del indicador C.E.11.N</w:t>
      </w:r>
      <w:bookmarkEnd w:id="65"/>
    </w:p>
    <w:tbl>
      <w:tblPr>
        <w:tblStyle w:val="Tablaconcuadrcula1clara-nfasis4"/>
        <w:tblW w:w="0" w:type="auto"/>
        <w:jc w:val="center"/>
        <w:tblLook w:val="04A0" w:firstRow="1" w:lastRow="0" w:firstColumn="1" w:lastColumn="0" w:noHBand="0" w:noVBand="1"/>
        <w:tblCaption w:val="Detalle de regionalización del indicador"/>
        <w:tblDescription w:val="Tabla que contiene los siguientes items: indicador del PMI, departamento, Municipio, total población beneficiada y clasificación poblacional.&#10;"/>
      </w:tblPr>
      <w:tblGrid>
        <w:gridCol w:w="1515"/>
        <w:gridCol w:w="3016"/>
        <w:gridCol w:w="1701"/>
        <w:gridCol w:w="2137"/>
      </w:tblGrid>
      <w:tr w:rsidR="00347C49" w:rsidRPr="00330B02" w14:paraId="7565139F" w14:textId="77777777" w:rsidTr="00A03615">
        <w:trPr>
          <w:cnfStyle w:val="100000000000" w:firstRow="1" w:lastRow="0" w:firstColumn="0" w:lastColumn="0" w:oddVBand="0" w:evenVBand="0" w:oddHBand="0" w:evenHBand="0" w:firstRowFirstColumn="0" w:firstRowLastColumn="0" w:lastRowFirstColumn="0" w:lastRowLastColumn="0"/>
          <w:trHeight w:val="697"/>
          <w:tblHeader/>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0BBFBE58" w14:textId="77777777" w:rsidR="00347C49" w:rsidRPr="00330B02" w:rsidRDefault="00347C49" w:rsidP="005F457D">
            <w:pPr>
              <w:jc w:val="center"/>
              <w:rPr>
                <w:rFonts w:ascii="Verdana" w:hAnsi="Verdana"/>
                <w:b w:val="0"/>
                <w:sz w:val="18"/>
                <w:szCs w:val="18"/>
              </w:rPr>
            </w:pPr>
            <w:r w:rsidRPr="00330B02">
              <w:rPr>
                <w:rFonts w:ascii="Verdana" w:hAnsi="Verdana"/>
                <w:b w:val="0"/>
                <w:sz w:val="18"/>
                <w:szCs w:val="18"/>
              </w:rPr>
              <w:t>Departamento</w:t>
            </w:r>
          </w:p>
        </w:tc>
        <w:tc>
          <w:tcPr>
            <w:tcW w:w="3016" w:type="dxa"/>
            <w:vAlign w:val="center"/>
          </w:tcPr>
          <w:p w14:paraId="55F5DA39" w14:textId="77777777" w:rsidR="00347C49" w:rsidRPr="00330B02" w:rsidRDefault="00347C49"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Municipio</w:t>
            </w:r>
          </w:p>
        </w:tc>
        <w:tc>
          <w:tcPr>
            <w:tcW w:w="1701" w:type="dxa"/>
            <w:vAlign w:val="center"/>
          </w:tcPr>
          <w:p w14:paraId="53C1AA5B" w14:textId="77777777" w:rsidR="00347C49" w:rsidRPr="00330B02" w:rsidRDefault="00347C49"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bCs w:val="0"/>
                <w:sz w:val="18"/>
                <w:szCs w:val="18"/>
              </w:rPr>
            </w:pPr>
            <w:r w:rsidRPr="680D215C">
              <w:rPr>
                <w:rFonts w:ascii="Verdana" w:hAnsi="Verdana"/>
                <w:b w:val="0"/>
                <w:bCs w:val="0"/>
                <w:sz w:val="18"/>
                <w:szCs w:val="18"/>
              </w:rPr>
              <w:t>Total Población Beneficiada</w:t>
            </w:r>
          </w:p>
        </w:tc>
        <w:tc>
          <w:tcPr>
            <w:tcW w:w="2137" w:type="dxa"/>
            <w:vAlign w:val="center"/>
          </w:tcPr>
          <w:p w14:paraId="47B13C5A" w14:textId="653AB629" w:rsidR="00347C49" w:rsidRPr="00330B02" w:rsidRDefault="00347C49" w:rsidP="005F457D">
            <w:pPr>
              <w:jc w:val="center"/>
              <w:cnfStyle w:val="100000000000" w:firstRow="1" w:lastRow="0" w:firstColumn="0" w:lastColumn="0" w:oddVBand="0" w:evenVBand="0" w:oddHBand="0" w:evenHBand="0" w:firstRowFirstColumn="0" w:firstRowLastColumn="0" w:lastRowFirstColumn="0" w:lastRowLastColumn="0"/>
              <w:rPr>
                <w:rFonts w:ascii="Verdana" w:hAnsi="Verdana"/>
                <w:b w:val="0"/>
                <w:sz w:val="18"/>
                <w:szCs w:val="18"/>
              </w:rPr>
            </w:pPr>
            <w:r w:rsidRPr="00330B02">
              <w:rPr>
                <w:rFonts w:ascii="Verdana" w:hAnsi="Verdana"/>
                <w:b w:val="0"/>
                <w:sz w:val="18"/>
                <w:szCs w:val="18"/>
              </w:rPr>
              <w:t>Clasificación poblacional</w:t>
            </w:r>
          </w:p>
        </w:tc>
      </w:tr>
      <w:tr w:rsidR="00D03501" w:rsidRPr="00330B02" w14:paraId="62205CBB" w14:textId="77777777" w:rsidTr="00A03615">
        <w:trPr>
          <w:trHeight w:val="1394"/>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5DA99F01" w14:textId="20F6B7DD" w:rsidR="00D03501" w:rsidRPr="00330B02" w:rsidRDefault="00D03501" w:rsidP="00D03501">
            <w:pPr>
              <w:jc w:val="center"/>
              <w:rPr>
                <w:rFonts w:ascii="Verdana" w:hAnsi="Verdana"/>
                <w:sz w:val="18"/>
                <w:szCs w:val="18"/>
              </w:rPr>
            </w:pPr>
            <w:r>
              <w:rPr>
                <w:rFonts w:ascii="Verdana" w:hAnsi="Verdana"/>
                <w:sz w:val="18"/>
                <w:szCs w:val="18"/>
              </w:rPr>
              <w:t>Cauca</w:t>
            </w:r>
          </w:p>
        </w:tc>
        <w:tc>
          <w:tcPr>
            <w:tcW w:w="3016" w:type="dxa"/>
            <w:vAlign w:val="center"/>
          </w:tcPr>
          <w:p w14:paraId="1302A913" w14:textId="681CE9CF"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283227">
              <w:rPr>
                <w:rFonts w:ascii="Verdana" w:hAnsi="Verdana"/>
                <w:sz w:val="18"/>
                <w:szCs w:val="18"/>
              </w:rPr>
              <w:t>Jambaló</w:t>
            </w:r>
          </w:p>
          <w:p w14:paraId="6D59E813"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4F45D7BB" w14:textId="5F4FC9EE"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283227">
              <w:rPr>
                <w:rFonts w:ascii="Verdana" w:hAnsi="Verdana"/>
                <w:sz w:val="18"/>
                <w:szCs w:val="18"/>
              </w:rPr>
              <w:t>Resguardo Indígena de Jambaló</w:t>
            </w:r>
          </w:p>
        </w:tc>
        <w:tc>
          <w:tcPr>
            <w:tcW w:w="1701" w:type="dxa"/>
            <w:vAlign w:val="center"/>
          </w:tcPr>
          <w:p w14:paraId="43E18ABE" w14:textId="65FB426D"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120 personas</w:t>
            </w:r>
          </w:p>
        </w:tc>
        <w:tc>
          <w:tcPr>
            <w:tcW w:w="2137" w:type="dxa"/>
            <w:vAlign w:val="center"/>
          </w:tcPr>
          <w:p w14:paraId="1DF6CE38" w14:textId="77777777"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2051F46A" w14:textId="77777777"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46 firmantes de paz</w:t>
            </w:r>
          </w:p>
          <w:p w14:paraId="031A5796" w14:textId="77777777"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12 autoridades étnicas</w:t>
            </w:r>
          </w:p>
          <w:p w14:paraId="26AD519B" w14:textId="249EB723" w:rsidR="00D03501" w:rsidRPr="00330B02"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 xml:space="preserve">62 personas de la comunidad </w:t>
            </w:r>
          </w:p>
        </w:tc>
      </w:tr>
      <w:tr w:rsidR="00D03501" w:rsidRPr="00330B02" w14:paraId="5678E80F" w14:textId="77777777" w:rsidTr="00A03615">
        <w:trPr>
          <w:trHeight w:val="1091"/>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1818323E" w14:textId="562EC5FA" w:rsidR="00D03501" w:rsidRDefault="00D03501" w:rsidP="00D03501">
            <w:pPr>
              <w:jc w:val="center"/>
              <w:rPr>
                <w:rFonts w:ascii="Verdana" w:hAnsi="Verdana"/>
                <w:sz w:val="18"/>
                <w:szCs w:val="18"/>
              </w:rPr>
            </w:pPr>
            <w:r w:rsidRPr="007B35F3">
              <w:rPr>
                <w:rFonts w:ascii="Verdana" w:hAnsi="Verdana"/>
                <w:sz w:val="18"/>
                <w:szCs w:val="18"/>
              </w:rPr>
              <w:t>Nari</w:t>
            </w:r>
            <w:r>
              <w:rPr>
                <w:rFonts w:ascii="Verdana" w:hAnsi="Verdana"/>
                <w:sz w:val="18"/>
                <w:szCs w:val="18"/>
              </w:rPr>
              <w:t>ñ</w:t>
            </w:r>
            <w:r w:rsidRPr="007B35F3">
              <w:rPr>
                <w:rFonts w:ascii="Verdana" w:hAnsi="Verdana"/>
                <w:sz w:val="18"/>
                <w:szCs w:val="18"/>
              </w:rPr>
              <w:t>o</w:t>
            </w:r>
          </w:p>
        </w:tc>
        <w:tc>
          <w:tcPr>
            <w:tcW w:w="3016" w:type="dxa"/>
            <w:vAlign w:val="center"/>
          </w:tcPr>
          <w:p w14:paraId="572B6001"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7B35F3">
              <w:rPr>
                <w:rFonts w:ascii="Verdana" w:hAnsi="Verdana"/>
                <w:sz w:val="18"/>
                <w:szCs w:val="18"/>
              </w:rPr>
              <w:t>Cumbal</w:t>
            </w:r>
            <w:r>
              <w:rPr>
                <w:rFonts w:ascii="Verdana" w:hAnsi="Verdana"/>
                <w:sz w:val="18"/>
                <w:szCs w:val="18"/>
              </w:rPr>
              <w:t xml:space="preserve"> </w:t>
            </w:r>
          </w:p>
          <w:p w14:paraId="73DB9B23"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32AE8BD9" w14:textId="360EE107" w:rsidR="00D03501" w:rsidRPr="007B35F3"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Pr>
                <w:rFonts w:ascii="Verdana" w:hAnsi="Verdana"/>
                <w:sz w:val="18"/>
                <w:szCs w:val="18"/>
              </w:rPr>
              <w:t xml:space="preserve">Resguardo </w:t>
            </w:r>
            <w:r w:rsidRPr="007B35F3">
              <w:rPr>
                <w:rFonts w:ascii="Verdana" w:hAnsi="Verdana"/>
                <w:sz w:val="18"/>
                <w:szCs w:val="18"/>
              </w:rPr>
              <w:t xml:space="preserve">Indígena </w:t>
            </w:r>
          </w:p>
          <w:p w14:paraId="734C29A5" w14:textId="1BD3239E" w:rsidR="00D03501" w:rsidRPr="0028322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7B35F3">
              <w:rPr>
                <w:rFonts w:ascii="Verdana" w:hAnsi="Verdana"/>
                <w:sz w:val="18"/>
                <w:szCs w:val="18"/>
              </w:rPr>
              <w:t xml:space="preserve">Mayasquer </w:t>
            </w:r>
          </w:p>
        </w:tc>
        <w:tc>
          <w:tcPr>
            <w:tcW w:w="1701" w:type="dxa"/>
            <w:vAlign w:val="center"/>
          </w:tcPr>
          <w:p w14:paraId="1471149F" w14:textId="77777777" w:rsidR="00D03501" w:rsidRPr="0028322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18"/>
                <w:szCs w:val="18"/>
              </w:rPr>
            </w:pPr>
          </w:p>
          <w:p w14:paraId="4BE696D4" w14:textId="5130D0A2" w:rsidR="00D03501" w:rsidRPr="00633AD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48C8D556">
              <w:rPr>
                <w:rFonts w:ascii="Calibri" w:eastAsia="Calibri" w:hAnsi="Calibri" w:cs="Calibri"/>
              </w:rPr>
              <w:t>130 personas</w:t>
            </w:r>
          </w:p>
        </w:tc>
        <w:tc>
          <w:tcPr>
            <w:tcW w:w="2137" w:type="dxa"/>
            <w:vAlign w:val="center"/>
          </w:tcPr>
          <w:p w14:paraId="7280F0E5" w14:textId="77777777" w:rsidR="00D03501" w:rsidRPr="00283227" w:rsidRDefault="00D03501" w:rsidP="00D03501">
            <w:pPr>
              <w:spacing w:after="160" w:line="257"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57A66A64" w14:textId="77777777" w:rsidR="00D03501" w:rsidRDefault="00D03501" w:rsidP="00D03501">
            <w:pPr>
              <w:spacing w:after="160" w:line="257"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48C8D556">
              <w:rPr>
                <w:rFonts w:ascii="Calibri" w:eastAsia="Calibri" w:hAnsi="Calibri" w:cs="Calibri"/>
              </w:rPr>
              <w:t>102 personas</w:t>
            </w:r>
          </w:p>
          <w:p w14:paraId="264C5911" w14:textId="77777777" w:rsidR="00D03501" w:rsidRDefault="00D03501" w:rsidP="00D03501">
            <w:pPr>
              <w:spacing w:after="160" w:line="257"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48C8D556">
              <w:rPr>
                <w:rFonts w:ascii="Calibri" w:eastAsia="Calibri" w:hAnsi="Calibri" w:cs="Calibri"/>
              </w:rPr>
              <w:t>10 autoridades</w:t>
            </w:r>
          </w:p>
          <w:p w14:paraId="68350E77" w14:textId="5A01B9BD" w:rsidR="00D03501" w:rsidRPr="00633AD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48C8D556">
              <w:rPr>
                <w:rFonts w:ascii="Calibri" w:eastAsia="Calibri" w:hAnsi="Calibri" w:cs="Calibri"/>
              </w:rPr>
              <w:t>18 personas de la comunidad</w:t>
            </w:r>
          </w:p>
        </w:tc>
      </w:tr>
      <w:tr w:rsidR="00D03501" w:rsidRPr="00330B02" w14:paraId="660A9DA2" w14:textId="77777777" w:rsidTr="00A03615">
        <w:trPr>
          <w:trHeight w:val="1394"/>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2B34C4B2" w14:textId="41964F0B" w:rsidR="00D03501" w:rsidRPr="007B35F3" w:rsidRDefault="00D03501" w:rsidP="00D03501">
            <w:pPr>
              <w:jc w:val="center"/>
              <w:rPr>
                <w:rFonts w:ascii="Verdana" w:hAnsi="Verdana"/>
                <w:sz w:val="18"/>
                <w:szCs w:val="18"/>
              </w:rPr>
            </w:pPr>
            <w:r w:rsidRPr="0060427E">
              <w:rPr>
                <w:rFonts w:ascii="Verdana" w:hAnsi="Verdana"/>
                <w:sz w:val="18"/>
                <w:szCs w:val="18"/>
              </w:rPr>
              <w:lastRenderedPageBreak/>
              <w:t>Caldas</w:t>
            </w:r>
          </w:p>
        </w:tc>
        <w:tc>
          <w:tcPr>
            <w:tcW w:w="3016" w:type="dxa"/>
            <w:vAlign w:val="center"/>
          </w:tcPr>
          <w:p w14:paraId="61E68B75"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60427E">
              <w:rPr>
                <w:rFonts w:ascii="Verdana" w:hAnsi="Verdana"/>
                <w:sz w:val="18"/>
                <w:szCs w:val="18"/>
              </w:rPr>
              <w:t>Riosucio y Sup</w:t>
            </w:r>
            <w:r>
              <w:rPr>
                <w:rFonts w:ascii="Verdana" w:hAnsi="Verdana"/>
                <w:sz w:val="18"/>
                <w:szCs w:val="18"/>
              </w:rPr>
              <w:t>í</w:t>
            </w:r>
            <w:r w:rsidRPr="0060427E">
              <w:rPr>
                <w:rFonts w:ascii="Verdana" w:hAnsi="Verdana"/>
                <w:sz w:val="18"/>
                <w:szCs w:val="18"/>
              </w:rPr>
              <w:t>a</w:t>
            </w:r>
            <w:r w:rsidRPr="005258B0">
              <w:rPr>
                <w:rFonts w:ascii="Verdana" w:hAnsi="Verdana"/>
                <w:sz w:val="18"/>
                <w:szCs w:val="18"/>
              </w:rPr>
              <w:t xml:space="preserve"> </w:t>
            </w:r>
          </w:p>
          <w:p w14:paraId="404613A6"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226A9903" w14:textId="7AB2ED5C"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5258B0">
              <w:rPr>
                <w:rFonts w:ascii="Verdana" w:hAnsi="Verdana"/>
                <w:sz w:val="18"/>
                <w:szCs w:val="18"/>
              </w:rPr>
              <w:t>Resguardo</w:t>
            </w:r>
            <w:r>
              <w:rPr>
                <w:rFonts w:ascii="Verdana" w:hAnsi="Verdana"/>
                <w:sz w:val="18"/>
                <w:szCs w:val="18"/>
              </w:rPr>
              <w:t xml:space="preserve"> </w:t>
            </w:r>
            <w:r w:rsidRPr="005258B0">
              <w:rPr>
                <w:rFonts w:ascii="Verdana" w:hAnsi="Verdana"/>
                <w:sz w:val="18"/>
                <w:szCs w:val="18"/>
              </w:rPr>
              <w:t>Indígena Ca</w:t>
            </w:r>
            <w:r>
              <w:rPr>
                <w:rFonts w:ascii="Verdana" w:hAnsi="Verdana"/>
                <w:sz w:val="18"/>
                <w:szCs w:val="18"/>
              </w:rPr>
              <w:t>ñ</w:t>
            </w:r>
            <w:r w:rsidRPr="005258B0">
              <w:rPr>
                <w:rFonts w:ascii="Verdana" w:hAnsi="Verdana"/>
                <w:sz w:val="18"/>
                <w:szCs w:val="18"/>
              </w:rPr>
              <w:t>amomo Lomaprieta</w:t>
            </w:r>
          </w:p>
        </w:tc>
        <w:tc>
          <w:tcPr>
            <w:tcW w:w="1701" w:type="dxa"/>
            <w:vAlign w:val="center"/>
          </w:tcPr>
          <w:p w14:paraId="11914EE0"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18"/>
                <w:szCs w:val="18"/>
              </w:rPr>
            </w:pPr>
          </w:p>
          <w:p w14:paraId="6E7CD257" w14:textId="0E8BAF3C" w:rsidR="00D03501" w:rsidRPr="0041152C"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cs="Segoe UI"/>
                <w:color w:val="000000" w:themeColor="text1"/>
                <w:sz w:val="18"/>
                <w:szCs w:val="18"/>
              </w:rPr>
            </w:pPr>
            <w:r w:rsidRPr="48C8D556">
              <w:rPr>
                <w:rFonts w:ascii="Verdana" w:eastAsia="Verdana" w:hAnsi="Verdana" w:cs="Verdana"/>
                <w:color w:val="000000" w:themeColor="text1"/>
                <w:sz w:val="18"/>
                <w:szCs w:val="18"/>
              </w:rPr>
              <w:t>110 personas</w:t>
            </w:r>
          </w:p>
        </w:tc>
        <w:tc>
          <w:tcPr>
            <w:tcW w:w="2137" w:type="dxa"/>
            <w:vAlign w:val="center"/>
          </w:tcPr>
          <w:p w14:paraId="483A964C"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18"/>
                <w:szCs w:val="18"/>
              </w:rPr>
            </w:pPr>
          </w:p>
          <w:p w14:paraId="0AA4C904"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 w:val="18"/>
                <w:szCs w:val="18"/>
              </w:rPr>
            </w:pPr>
            <w:r w:rsidRPr="48C8D556">
              <w:rPr>
                <w:rFonts w:ascii="Verdana" w:eastAsia="Verdana" w:hAnsi="Verdana" w:cs="Verdana"/>
                <w:color w:val="000000" w:themeColor="text1"/>
                <w:sz w:val="18"/>
                <w:szCs w:val="18"/>
              </w:rPr>
              <w:t>9 firmantes de paz</w:t>
            </w:r>
          </w:p>
          <w:p w14:paraId="6EC0450A"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 w:val="18"/>
                <w:szCs w:val="18"/>
              </w:rPr>
            </w:pPr>
            <w:r w:rsidRPr="48C8D556">
              <w:rPr>
                <w:rFonts w:ascii="Verdana" w:eastAsia="Verdana" w:hAnsi="Verdana" w:cs="Verdana"/>
                <w:color w:val="000000" w:themeColor="text1"/>
                <w:sz w:val="18"/>
                <w:szCs w:val="18"/>
              </w:rPr>
              <w:t>10 autoridades étnicas</w:t>
            </w:r>
          </w:p>
          <w:p w14:paraId="459E5408" w14:textId="61257F60" w:rsidR="00D03501" w:rsidRPr="00BB1882" w:rsidRDefault="00D03501" w:rsidP="00D03501">
            <w:pPr>
              <w:pStyle w:val="paragraph"/>
              <w:spacing w:before="0" w:beforeAutospacing="0" w:after="0" w:afterAutospacing="0"/>
              <w:jc w:val="center"/>
              <w:textAlignment w:val="baseline"/>
              <w:divId w:val="853879381"/>
              <w:cnfStyle w:val="000000000000" w:firstRow="0" w:lastRow="0" w:firstColumn="0" w:lastColumn="0" w:oddVBand="0" w:evenVBand="0" w:oddHBand="0" w:evenHBand="0" w:firstRowFirstColumn="0" w:firstRowLastColumn="0" w:lastRowFirstColumn="0" w:lastRowLastColumn="0"/>
              <w:rPr>
                <w:rFonts w:ascii="Verdana" w:hAnsi="Verdana" w:cs="Segoe UI"/>
                <w:color w:val="000000" w:themeColor="text1"/>
                <w:sz w:val="18"/>
                <w:szCs w:val="18"/>
              </w:rPr>
            </w:pPr>
            <w:r w:rsidRPr="48C8D556">
              <w:rPr>
                <w:rFonts w:ascii="Verdana" w:eastAsia="Verdana" w:hAnsi="Verdana" w:cs="Verdana"/>
                <w:color w:val="000000" w:themeColor="text1"/>
                <w:sz w:val="18"/>
                <w:szCs w:val="18"/>
              </w:rPr>
              <w:t>91 personas de la comunidad</w:t>
            </w:r>
          </w:p>
        </w:tc>
      </w:tr>
      <w:tr w:rsidR="00D03501" w:rsidRPr="00330B02" w14:paraId="3F7E980D" w14:textId="77777777" w:rsidTr="00A03615">
        <w:trPr>
          <w:trHeight w:val="279"/>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3A34267A" w14:textId="1FB46D09" w:rsidR="00D03501" w:rsidRPr="0060427E" w:rsidRDefault="00D03501" w:rsidP="00D03501">
            <w:pPr>
              <w:jc w:val="center"/>
              <w:rPr>
                <w:rFonts w:ascii="Verdana" w:hAnsi="Verdana"/>
                <w:sz w:val="18"/>
                <w:szCs w:val="18"/>
              </w:rPr>
            </w:pPr>
            <w:r w:rsidRPr="0060427E">
              <w:rPr>
                <w:rFonts w:ascii="Verdana" w:hAnsi="Verdana"/>
                <w:sz w:val="18"/>
                <w:szCs w:val="18"/>
              </w:rPr>
              <w:t>Nariño</w:t>
            </w:r>
          </w:p>
        </w:tc>
        <w:tc>
          <w:tcPr>
            <w:tcW w:w="3016" w:type="dxa"/>
            <w:vAlign w:val="center"/>
          </w:tcPr>
          <w:p w14:paraId="55EABB7B" w14:textId="5A0F51AE"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60427E">
              <w:rPr>
                <w:rFonts w:ascii="Verdana" w:hAnsi="Verdana"/>
                <w:sz w:val="18"/>
                <w:szCs w:val="18"/>
              </w:rPr>
              <w:t xml:space="preserve">San Andrés de Tumaco </w:t>
            </w:r>
          </w:p>
          <w:p w14:paraId="63D9DB33"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7DB4F181" w14:textId="5E35CAA1" w:rsidR="00D03501" w:rsidRPr="005258B0"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60427E">
              <w:rPr>
                <w:rFonts w:ascii="Verdana" w:hAnsi="Verdana"/>
                <w:sz w:val="18"/>
                <w:szCs w:val="18"/>
              </w:rPr>
              <w:t>Consejo Comunitario El Recuerdo de Nuestros Ancestros del Río Mejicano</w:t>
            </w:r>
          </w:p>
        </w:tc>
        <w:tc>
          <w:tcPr>
            <w:tcW w:w="1701" w:type="dxa"/>
            <w:vAlign w:val="center"/>
          </w:tcPr>
          <w:p w14:paraId="37DAA21D"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21A1E43E" w14:textId="598A14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111 personas</w:t>
            </w:r>
          </w:p>
        </w:tc>
        <w:tc>
          <w:tcPr>
            <w:tcW w:w="2137" w:type="dxa"/>
            <w:vAlign w:val="center"/>
          </w:tcPr>
          <w:p w14:paraId="2FAFD071"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06DC4F61"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52 firmantes de paz</w:t>
            </w:r>
          </w:p>
          <w:p w14:paraId="4CDDE4ED"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12 autoridades</w:t>
            </w:r>
          </w:p>
          <w:p w14:paraId="77A423C6"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48C8D556">
              <w:rPr>
                <w:rFonts w:ascii="Verdana" w:hAnsi="Verdana"/>
                <w:sz w:val="18"/>
                <w:szCs w:val="18"/>
              </w:rPr>
              <w:t>47 personas de la comunidad</w:t>
            </w:r>
          </w:p>
          <w:p w14:paraId="5ABDD419" w14:textId="21400295"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tc>
      </w:tr>
      <w:tr w:rsidR="00D03501" w:rsidRPr="00330B02" w14:paraId="334D1A5E" w14:textId="77777777" w:rsidTr="00D7562B">
        <w:trPr>
          <w:trHeight w:val="1178"/>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7ADB66EB" w14:textId="72F702C5" w:rsidR="00D03501" w:rsidRPr="0060427E" w:rsidRDefault="00D03501" w:rsidP="00D03501">
            <w:pPr>
              <w:jc w:val="center"/>
              <w:rPr>
                <w:rFonts w:ascii="Verdana" w:hAnsi="Verdana"/>
                <w:sz w:val="18"/>
                <w:szCs w:val="18"/>
              </w:rPr>
            </w:pPr>
            <w:r w:rsidRPr="00E82BF7">
              <w:rPr>
                <w:rFonts w:ascii="Verdana" w:hAnsi="Verdana"/>
                <w:sz w:val="18"/>
                <w:szCs w:val="18"/>
              </w:rPr>
              <w:t>Chocó</w:t>
            </w:r>
          </w:p>
        </w:tc>
        <w:tc>
          <w:tcPr>
            <w:tcW w:w="3016" w:type="dxa"/>
            <w:vAlign w:val="center"/>
          </w:tcPr>
          <w:p w14:paraId="3E85EF9B" w14:textId="78320823"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E82BF7">
              <w:rPr>
                <w:rFonts w:ascii="Verdana" w:hAnsi="Verdana"/>
                <w:sz w:val="18"/>
                <w:szCs w:val="18"/>
              </w:rPr>
              <w:t>Carmen del</w:t>
            </w:r>
            <w:r>
              <w:rPr>
                <w:rFonts w:ascii="Verdana" w:hAnsi="Verdana"/>
                <w:sz w:val="18"/>
                <w:szCs w:val="18"/>
              </w:rPr>
              <w:t xml:space="preserve"> </w:t>
            </w:r>
            <w:r w:rsidRPr="00E82BF7">
              <w:rPr>
                <w:rFonts w:ascii="Verdana" w:hAnsi="Verdana"/>
                <w:sz w:val="18"/>
                <w:szCs w:val="18"/>
              </w:rPr>
              <w:t xml:space="preserve">Darién </w:t>
            </w:r>
          </w:p>
          <w:p w14:paraId="1B0F367F"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4D835065" w14:textId="1A5C1BF8" w:rsidR="00D03501" w:rsidRPr="00E82BF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E82BF7">
              <w:rPr>
                <w:rFonts w:ascii="Verdana" w:hAnsi="Verdana"/>
                <w:sz w:val="18"/>
                <w:szCs w:val="18"/>
              </w:rPr>
              <w:t xml:space="preserve">Consejo Comunitario Mayor de la Comunidad Negra del Río </w:t>
            </w:r>
          </w:p>
          <w:p w14:paraId="4E0837DC" w14:textId="27A64CB6" w:rsidR="00D03501" w:rsidRPr="0060427E"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E82BF7">
              <w:rPr>
                <w:rFonts w:ascii="Verdana" w:hAnsi="Verdana"/>
                <w:sz w:val="18"/>
                <w:szCs w:val="18"/>
              </w:rPr>
              <w:t>Jiguamiand</w:t>
            </w:r>
            <w:r>
              <w:rPr>
                <w:rFonts w:ascii="Verdana" w:hAnsi="Verdana"/>
                <w:sz w:val="18"/>
                <w:szCs w:val="18"/>
              </w:rPr>
              <w:t>ó</w:t>
            </w:r>
          </w:p>
        </w:tc>
        <w:tc>
          <w:tcPr>
            <w:tcW w:w="1701" w:type="dxa"/>
            <w:vAlign w:val="center"/>
          </w:tcPr>
          <w:p w14:paraId="2C53E1BE" w14:textId="06B1C50E"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DC4DB5">
              <w:rPr>
                <w:rFonts w:ascii="Verdana" w:hAnsi="Verdana"/>
                <w:sz w:val="18"/>
                <w:szCs w:val="18"/>
              </w:rPr>
              <w:t>39 personas</w:t>
            </w:r>
          </w:p>
        </w:tc>
        <w:tc>
          <w:tcPr>
            <w:tcW w:w="2137" w:type="dxa"/>
            <w:vAlign w:val="center"/>
          </w:tcPr>
          <w:p w14:paraId="1D02ECA9" w14:textId="77777777" w:rsidR="00D03501" w:rsidRPr="00DC4DB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143DC4F9" w14:textId="77777777" w:rsidR="00D03501" w:rsidRPr="00DC4DB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DC4DB5">
              <w:rPr>
                <w:rFonts w:ascii="Verdana" w:hAnsi="Verdana"/>
                <w:sz w:val="18"/>
                <w:szCs w:val="18"/>
              </w:rPr>
              <w:t>24 firmantes de paz</w:t>
            </w:r>
          </w:p>
          <w:p w14:paraId="20BA3311" w14:textId="77777777" w:rsidR="00D03501" w:rsidRPr="00DC4DB5"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DC4DB5">
              <w:rPr>
                <w:rFonts w:ascii="Verdana" w:hAnsi="Verdana"/>
                <w:sz w:val="18"/>
                <w:szCs w:val="18"/>
              </w:rPr>
              <w:t>2 autoridades étnicas</w:t>
            </w:r>
          </w:p>
          <w:p w14:paraId="2908024D" w14:textId="2245C5E8" w:rsidR="00D03501" w:rsidRPr="00293C0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DC4DB5">
              <w:rPr>
                <w:rFonts w:ascii="Verdana" w:hAnsi="Verdana"/>
                <w:sz w:val="18"/>
                <w:szCs w:val="18"/>
              </w:rPr>
              <w:t>13 personas de la comunidad</w:t>
            </w:r>
          </w:p>
        </w:tc>
      </w:tr>
      <w:tr w:rsidR="00D03501" w:rsidRPr="00330B02" w14:paraId="2BA51920" w14:textId="77777777" w:rsidTr="00D7562B">
        <w:trPr>
          <w:trHeight w:val="1563"/>
          <w:jc w:val="center"/>
        </w:trPr>
        <w:tc>
          <w:tcPr>
            <w:cnfStyle w:val="001000000000" w:firstRow="0" w:lastRow="0" w:firstColumn="1" w:lastColumn="0" w:oddVBand="0" w:evenVBand="0" w:oddHBand="0" w:evenHBand="0" w:firstRowFirstColumn="0" w:firstRowLastColumn="0" w:lastRowFirstColumn="0" w:lastRowLastColumn="0"/>
            <w:tcW w:w="1515" w:type="dxa"/>
            <w:vAlign w:val="center"/>
          </w:tcPr>
          <w:p w14:paraId="19610680" w14:textId="579550EE" w:rsidR="00D03501" w:rsidRPr="00E82BF7" w:rsidRDefault="00D03501" w:rsidP="00D03501">
            <w:pPr>
              <w:jc w:val="center"/>
              <w:rPr>
                <w:rFonts w:ascii="Verdana" w:hAnsi="Verdana"/>
                <w:sz w:val="18"/>
                <w:szCs w:val="18"/>
              </w:rPr>
            </w:pPr>
            <w:r w:rsidRPr="00BE6329">
              <w:rPr>
                <w:rFonts w:ascii="Verdana" w:hAnsi="Verdana"/>
                <w:sz w:val="18"/>
                <w:szCs w:val="18"/>
              </w:rPr>
              <w:t>Antioquia</w:t>
            </w:r>
          </w:p>
        </w:tc>
        <w:tc>
          <w:tcPr>
            <w:tcW w:w="3016" w:type="dxa"/>
            <w:vAlign w:val="center"/>
          </w:tcPr>
          <w:p w14:paraId="4BCC0D5F"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BE6329">
              <w:rPr>
                <w:rFonts w:ascii="Verdana" w:hAnsi="Verdana"/>
                <w:sz w:val="18"/>
                <w:szCs w:val="18"/>
              </w:rPr>
              <w:t>Vigía del Fuerte</w:t>
            </w:r>
            <w:r w:rsidRPr="00946C85">
              <w:rPr>
                <w:rFonts w:ascii="Verdana" w:hAnsi="Verdana"/>
                <w:sz w:val="18"/>
                <w:szCs w:val="18"/>
              </w:rPr>
              <w:t xml:space="preserve"> </w:t>
            </w:r>
          </w:p>
          <w:p w14:paraId="5486070E"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p>
          <w:p w14:paraId="3A4326C1" w14:textId="70ECC132" w:rsidR="00D03501" w:rsidRPr="00E82BF7"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946C85">
              <w:rPr>
                <w:rFonts w:ascii="Verdana" w:hAnsi="Verdana"/>
                <w:sz w:val="18"/>
                <w:szCs w:val="18"/>
              </w:rPr>
              <w:t>Consejo Comunitario Mayor de la Asociación Campesina Integral del Atrato –COCOMACIA</w:t>
            </w:r>
          </w:p>
        </w:tc>
        <w:tc>
          <w:tcPr>
            <w:tcW w:w="1701" w:type="dxa"/>
            <w:vAlign w:val="center"/>
          </w:tcPr>
          <w:p w14:paraId="3D32942D" w14:textId="69C607A1" w:rsidR="00D03501" w:rsidRDefault="00D03501" w:rsidP="00D03501">
            <w:pPr>
              <w:cnfStyle w:val="000000000000" w:firstRow="0" w:lastRow="0" w:firstColumn="0" w:lastColumn="0" w:oddVBand="0" w:evenVBand="0" w:oddHBand="0" w:evenHBand="0" w:firstRowFirstColumn="0" w:firstRowLastColumn="0" w:lastRowFirstColumn="0" w:lastRowLastColumn="0"/>
              <w:rPr>
                <w:rFonts w:ascii="Verdana" w:hAnsi="Verdana"/>
                <w:sz w:val="18"/>
                <w:szCs w:val="18"/>
              </w:rPr>
            </w:pPr>
            <w:r w:rsidRPr="00EA7150">
              <w:rPr>
                <w:rFonts w:ascii="Verdana" w:eastAsia="Verdana" w:hAnsi="Verdana" w:cs="Verdana"/>
                <w:sz w:val="18"/>
                <w:szCs w:val="18"/>
              </w:rPr>
              <w:t>100 personas</w:t>
            </w:r>
          </w:p>
        </w:tc>
        <w:tc>
          <w:tcPr>
            <w:tcW w:w="2137" w:type="dxa"/>
            <w:vAlign w:val="center"/>
          </w:tcPr>
          <w:p w14:paraId="736672D5"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EA7150">
              <w:rPr>
                <w:rFonts w:ascii="Calibri" w:eastAsia="Calibri" w:hAnsi="Calibri" w:cs="Calibri"/>
              </w:rPr>
              <w:t>18 firmantes de paz</w:t>
            </w:r>
          </w:p>
          <w:p w14:paraId="3C504480" w14:textId="77777777" w:rsidR="00D03501"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EA7150">
              <w:rPr>
                <w:rFonts w:ascii="Calibri" w:eastAsia="Calibri" w:hAnsi="Calibri" w:cs="Calibri"/>
              </w:rPr>
              <w:t xml:space="preserve">6 autoridades étnicas </w:t>
            </w:r>
          </w:p>
          <w:p w14:paraId="586B68EC" w14:textId="6E60A45C" w:rsidR="00D03501" w:rsidRPr="008C314C" w:rsidRDefault="00D03501" w:rsidP="00D03501">
            <w:pPr>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EA7150">
              <w:rPr>
                <w:rFonts w:ascii="Calibri" w:eastAsia="Calibri" w:hAnsi="Calibri" w:cs="Calibri"/>
              </w:rPr>
              <w:t>76 personas de la comunidad</w:t>
            </w:r>
          </w:p>
        </w:tc>
      </w:tr>
    </w:tbl>
    <w:p w14:paraId="66766E55" w14:textId="77777777" w:rsidR="00496345" w:rsidRPr="00005CEA" w:rsidRDefault="00496345" w:rsidP="00496345">
      <w:pPr>
        <w:pStyle w:val="Prrafodelista"/>
        <w:spacing w:after="0" w:line="276" w:lineRule="auto"/>
        <w:jc w:val="both"/>
        <w:rPr>
          <w:rFonts w:ascii="Verdana" w:eastAsia="Calibri" w:hAnsi="Verdana" w:cs="Arial"/>
        </w:rPr>
      </w:pPr>
    </w:p>
    <w:p w14:paraId="6873A3B8" w14:textId="77777777" w:rsidR="00496345" w:rsidRPr="00AB06F3" w:rsidRDefault="00496345" w:rsidP="00164ED5">
      <w:pPr>
        <w:pStyle w:val="Prrafodelista"/>
        <w:numPr>
          <w:ilvl w:val="0"/>
          <w:numId w:val="20"/>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5286BEEC" w14:textId="022BD45F" w:rsidR="00DE7B8B" w:rsidRPr="00DE7B8B" w:rsidRDefault="00DE7B8B" w:rsidP="00DE7B8B">
      <w:pPr>
        <w:pStyle w:val="Descripcin"/>
        <w:keepNext/>
        <w:jc w:val="center"/>
        <w:rPr>
          <w:rFonts w:ascii="Verdana" w:eastAsia="Verdana" w:hAnsi="Verdana" w:cs="Arial"/>
          <w:i w:val="0"/>
          <w:iCs w:val="0"/>
          <w:color w:val="000000" w:themeColor="text1"/>
        </w:rPr>
      </w:pPr>
      <w:bookmarkStart w:id="66" w:name="_Toc225283173"/>
      <w:r w:rsidRPr="00DE7B8B">
        <w:rPr>
          <w:rFonts w:ascii="Verdana" w:eastAsia="Verdana" w:hAnsi="Verdana" w:cs="Arial"/>
          <w:i w:val="0"/>
          <w:iCs w:val="0"/>
          <w:color w:val="000000" w:themeColor="text1"/>
        </w:rPr>
        <w:t xml:space="preserve">Tabla </w:t>
      </w:r>
      <w:r w:rsidRPr="00DE7B8B">
        <w:rPr>
          <w:rFonts w:ascii="Verdana" w:eastAsia="Verdana" w:hAnsi="Verdana" w:cs="Arial"/>
          <w:i w:val="0"/>
          <w:iCs w:val="0"/>
          <w:color w:val="000000" w:themeColor="text1"/>
        </w:rPr>
        <w:fldChar w:fldCharType="begin"/>
      </w:r>
      <w:r w:rsidRPr="00DE7B8B">
        <w:rPr>
          <w:rFonts w:ascii="Verdana" w:eastAsia="Verdana" w:hAnsi="Verdana" w:cs="Arial"/>
          <w:i w:val="0"/>
          <w:iCs w:val="0"/>
          <w:color w:val="000000" w:themeColor="text1"/>
        </w:rPr>
        <w:instrText xml:space="preserve"> SEQ Tabla \* ARABIC </w:instrText>
      </w:r>
      <w:r w:rsidRPr="00DE7B8B">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61</w:t>
      </w:r>
      <w:r w:rsidRPr="00DE7B8B">
        <w:rPr>
          <w:rFonts w:ascii="Verdana" w:eastAsia="Verdana" w:hAnsi="Verdana" w:cs="Arial"/>
          <w:i w:val="0"/>
          <w:iCs w:val="0"/>
          <w:color w:val="000000" w:themeColor="text1"/>
        </w:rPr>
        <w:fldChar w:fldCharType="end"/>
      </w:r>
      <w:r w:rsidRPr="00DE7B8B">
        <w:rPr>
          <w:rFonts w:ascii="Verdana" w:eastAsia="Verdana" w:hAnsi="Verdana" w:cs="Arial"/>
          <w:i w:val="0"/>
          <w:iCs w:val="0"/>
          <w:color w:val="000000" w:themeColor="text1"/>
        </w:rPr>
        <w:t>. Desafíos y retos del indicador C.E.11.N</w:t>
      </w:r>
      <w:bookmarkEnd w:id="66"/>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10;"/>
      </w:tblPr>
      <w:tblGrid>
        <w:gridCol w:w="1408"/>
        <w:gridCol w:w="4257"/>
        <w:gridCol w:w="3163"/>
      </w:tblGrid>
      <w:tr w:rsidR="00496345" w:rsidRPr="00127B9D" w14:paraId="1B617780" w14:textId="77777777" w:rsidTr="0077302C">
        <w:trPr>
          <w:trHeight w:val="431"/>
          <w:tblHeader/>
        </w:trPr>
        <w:tc>
          <w:tcPr>
            <w:tcW w:w="1408" w:type="dxa"/>
            <w:tcMar>
              <w:left w:w="108" w:type="dxa"/>
              <w:right w:w="108" w:type="dxa"/>
            </w:tcMar>
          </w:tcPr>
          <w:p w14:paraId="7B2ADDC6" w14:textId="77777777" w:rsidR="00496345" w:rsidRPr="00127B9D" w:rsidRDefault="00496345" w:rsidP="005F457D">
            <w:pPr>
              <w:spacing w:line="276" w:lineRule="auto"/>
              <w:jc w:val="center"/>
              <w:rPr>
                <w:rFonts w:ascii="Verdana" w:eastAsia="Verdana" w:hAnsi="Verdana" w:cs="Arial"/>
                <w:b/>
                <w:bCs/>
                <w:color w:val="000000" w:themeColor="text1"/>
                <w:sz w:val="18"/>
                <w:szCs w:val="18"/>
              </w:rPr>
            </w:pPr>
            <w:r w:rsidRPr="00127B9D">
              <w:rPr>
                <w:rFonts w:ascii="Verdana" w:eastAsia="Verdana" w:hAnsi="Verdana" w:cs="Arial"/>
                <w:b/>
                <w:bCs/>
                <w:color w:val="000000" w:themeColor="text1"/>
                <w:sz w:val="18"/>
                <w:szCs w:val="18"/>
              </w:rPr>
              <w:t>Tipo de Reto</w:t>
            </w:r>
          </w:p>
        </w:tc>
        <w:tc>
          <w:tcPr>
            <w:tcW w:w="4257" w:type="dxa"/>
            <w:tcMar>
              <w:left w:w="108" w:type="dxa"/>
              <w:right w:w="108" w:type="dxa"/>
            </w:tcMar>
          </w:tcPr>
          <w:p w14:paraId="368AE972" w14:textId="77777777" w:rsidR="00496345" w:rsidRPr="00127B9D" w:rsidRDefault="00496345" w:rsidP="005F457D">
            <w:pPr>
              <w:spacing w:line="276" w:lineRule="auto"/>
              <w:jc w:val="center"/>
              <w:rPr>
                <w:rFonts w:ascii="Verdana" w:eastAsia="Verdana" w:hAnsi="Verdana" w:cs="Arial"/>
                <w:b/>
                <w:bCs/>
                <w:color w:val="000000" w:themeColor="text1"/>
                <w:sz w:val="18"/>
                <w:szCs w:val="18"/>
              </w:rPr>
            </w:pPr>
            <w:r w:rsidRPr="00127B9D">
              <w:rPr>
                <w:rFonts w:ascii="Verdana" w:eastAsia="Verdana" w:hAnsi="Verdana" w:cs="Arial"/>
                <w:b/>
                <w:bCs/>
                <w:color w:val="000000" w:themeColor="text1"/>
                <w:sz w:val="18"/>
                <w:szCs w:val="18"/>
              </w:rPr>
              <w:t>Descripción del Reto</w:t>
            </w:r>
          </w:p>
        </w:tc>
        <w:tc>
          <w:tcPr>
            <w:tcW w:w="3163" w:type="dxa"/>
            <w:tcMar>
              <w:left w:w="108" w:type="dxa"/>
              <w:right w:w="108" w:type="dxa"/>
            </w:tcMar>
          </w:tcPr>
          <w:p w14:paraId="0A2A7F47" w14:textId="77777777" w:rsidR="00496345" w:rsidRPr="00127B9D" w:rsidRDefault="00496345" w:rsidP="005F457D">
            <w:pPr>
              <w:spacing w:line="276" w:lineRule="auto"/>
              <w:jc w:val="center"/>
              <w:rPr>
                <w:rFonts w:ascii="Verdana" w:eastAsia="Verdana" w:hAnsi="Verdana" w:cs="Arial"/>
                <w:b/>
                <w:bCs/>
                <w:color w:val="000000" w:themeColor="text1"/>
                <w:sz w:val="18"/>
                <w:szCs w:val="18"/>
              </w:rPr>
            </w:pPr>
            <w:r w:rsidRPr="00127B9D">
              <w:rPr>
                <w:rFonts w:ascii="Verdana" w:eastAsia="Verdana" w:hAnsi="Verdana" w:cs="Arial"/>
                <w:b/>
                <w:bCs/>
                <w:color w:val="000000" w:themeColor="text1"/>
                <w:sz w:val="18"/>
                <w:szCs w:val="18"/>
              </w:rPr>
              <w:t>Medidas para mitigar el Reto</w:t>
            </w:r>
          </w:p>
        </w:tc>
      </w:tr>
      <w:tr w:rsidR="00496345" w:rsidRPr="00127B9D" w14:paraId="20FBC374" w14:textId="77777777" w:rsidTr="0077302C">
        <w:trPr>
          <w:trHeight w:val="300"/>
        </w:trPr>
        <w:tc>
          <w:tcPr>
            <w:tcW w:w="1408" w:type="dxa"/>
            <w:tcMar>
              <w:left w:w="108" w:type="dxa"/>
              <w:right w:w="108" w:type="dxa"/>
            </w:tcMar>
          </w:tcPr>
          <w:p w14:paraId="05321F87" w14:textId="0FFD47AF" w:rsidR="00496345" w:rsidRPr="00127B9D" w:rsidRDefault="0057550C" w:rsidP="005F457D">
            <w:pPr>
              <w:spacing w:line="276" w:lineRule="auto"/>
              <w:rPr>
                <w:rFonts w:ascii="Verdana" w:eastAsia="Verdana" w:hAnsi="Verdana" w:cs="Arial"/>
                <w:color w:val="000000" w:themeColor="text1"/>
                <w:sz w:val="18"/>
                <w:szCs w:val="18"/>
              </w:rPr>
            </w:pPr>
            <w:r w:rsidRPr="00127B9D">
              <w:rPr>
                <w:rFonts w:ascii="Verdana" w:eastAsia="Verdana" w:hAnsi="Verdana" w:cs="Arial"/>
                <w:color w:val="000000" w:themeColor="text1"/>
                <w:sz w:val="18"/>
                <w:szCs w:val="18"/>
              </w:rPr>
              <w:t>Institucional, presupuestal, seguridad</w:t>
            </w:r>
          </w:p>
        </w:tc>
        <w:tc>
          <w:tcPr>
            <w:tcW w:w="4257" w:type="dxa"/>
            <w:tcMar>
              <w:left w:w="108" w:type="dxa"/>
              <w:right w:w="108" w:type="dxa"/>
            </w:tcMar>
          </w:tcPr>
          <w:p w14:paraId="6EF03018" w14:textId="2FE0A576" w:rsidR="00496345" w:rsidRPr="00127B9D" w:rsidRDefault="009F1713" w:rsidP="00C401E4">
            <w:pPr>
              <w:spacing w:line="276" w:lineRule="auto"/>
              <w:jc w:val="both"/>
              <w:rPr>
                <w:rFonts w:ascii="Verdana" w:eastAsia="Verdana" w:hAnsi="Verdana" w:cs="Arial"/>
                <w:color w:val="000000" w:themeColor="text1"/>
                <w:sz w:val="18"/>
                <w:szCs w:val="18"/>
              </w:rPr>
            </w:pPr>
            <w:r w:rsidRPr="009F1713">
              <w:rPr>
                <w:rFonts w:ascii="Verdana" w:eastAsia="Verdana" w:hAnsi="Verdana" w:cs="Arial"/>
                <w:color w:val="000000" w:themeColor="text1"/>
                <w:sz w:val="18"/>
                <w:szCs w:val="18"/>
              </w:rPr>
              <w:t>La implementación de los Programas Especiales de Armonización (PEA) enfrenta retos estructurales y contextuales que limita</w:t>
            </w:r>
            <w:r w:rsidR="00097710">
              <w:rPr>
                <w:rFonts w:ascii="Verdana" w:eastAsia="Verdana" w:hAnsi="Verdana" w:cs="Arial"/>
                <w:color w:val="000000" w:themeColor="text1"/>
                <w:sz w:val="18"/>
                <w:szCs w:val="18"/>
              </w:rPr>
              <w:t xml:space="preserve">n </w:t>
            </w:r>
            <w:r w:rsidRPr="009F1713">
              <w:rPr>
                <w:rFonts w:ascii="Verdana" w:eastAsia="Verdana" w:hAnsi="Verdana" w:cs="Arial"/>
                <w:color w:val="000000" w:themeColor="text1"/>
                <w:sz w:val="18"/>
                <w:szCs w:val="18"/>
              </w:rPr>
              <w:t xml:space="preserve">su desarrollo. Entre </w:t>
            </w:r>
            <w:r w:rsidR="00097710">
              <w:rPr>
                <w:rFonts w:ascii="Verdana" w:eastAsia="Verdana" w:hAnsi="Verdana" w:cs="Arial"/>
                <w:color w:val="000000" w:themeColor="text1"/>
                <w:sz w:val="18"/>
                <w:szCs w:val="18"/>
              </w:rPr>
              <w:t>ellos</w:t>
            </w:r>
            <w:r w:rsidR="00CB003B">
              <w:rPr>
                <w:rFonts w:ascii="Verdana" w:eastAsia="Verdana" w:hAnsi="Verdana" w:cs="Arial"/>
                <w:color w:val="000000" w:themeColor="text1"/>
                <w:sz w:val="18"/>
                <w:szCs w:val="18"/>
              </w:rPr>
              <w:t xml:space="preserve"> se destacan l</w:t>
            </w:r>
            <w:r w:rsidR="00CB003B" w:rsidRPr="00CB003B">
              <w:rPr>
                <w:rFonts w:ascii="Verdana" w:eastAsia="Verdana" w:hAnsi="Verdana" w:cs="Arial"/>
                <w:color w:val="000000" w:themeColor="text1"/>
                <w:sz w:val="18"/>
                <w:szCs w:val="18"/>
              </w:rPr>
              <w:t xml:space="preserve">as condiciones de seguridad en algunos territorios, la persistencia de dinámicas del conflicto armado y situaciones de estigmatización hacia los firmantes de paz, lo cual afecta los procesos de retorno, la participación comunitaria y la ejecución de acciones concertadas. Asimismo, los territorios étnicos presentan altos niveles de vulnerabilidad asociados a desigualdades históricas, racismo estructural, impactos del cambio climático y deterioro ambiental, factores que inciden en la sostenibilidad de las iniciativas priorizadas con enfoque cultural, productivo y ambiental. A ello se </w:t>
            </w:r>
            <w:r w:rsidR="00CB003B" w:rsidRPr="00CB003B">
              <w:rPr>
                <w:rFonts w:ascii="Verdana" w:eastAsia="Verdana" w:hAnsi="Verdana" w:cs="Arial"/>
                <w:color w:val="000000" w:themeColor="text1"/>
                <w:sz w:val="18"/>
                <w:szCs w:val="18"/>
              </w:rPr>
              <w:lastRenderedPageBreak/>
              <w:t>suman retos institucionales relacionados con la articulación interinstitucional, la incorporación efectiva del enfoque étnico en la gestión pública y la aplicación de procedimientos administrativos que no siempre se ajustan a las dinámicas organizativas, culturales y territoriales de los pueblos étnicos.</w:t>
            </w:r>
          </w:p>
        </w:tc>
        <w:tc>
          <w:tcPr>
            <w:tcW w:w="3163" w:type="dxa"/>
            <w:tcMar>
              <w:left w:w="108" w:type="dxa"/>
              <w:right w:w="108" w:type="dxa"/>
            </w:tcMar>
          </w:tcPr>
          <w:p w14:paraId="0F71EF73" w14:textId="69FB6928" w:rsidR="00496345" w:rsidRPr="00127B9D" w:rsidRDefault="00CD55E9" w:rsidP="00C401E4">
            <w:pPr>
              <w:spacing w:line="276" w:lineRule="auto"/>
              <w:jc w:val="both"/>
              <w:rPr>
                <w:rFonts w:ascii="Verdana" w:eastAsia="Verdana" w:hAnsi="Verdana" w:cs="Arial"/>
                <w:color w:val="000000" w:themeColor="text1"/>
                <w:sz w:val="18"/>
                <w:szCs w:val="18"/>
              </w:rPr>
            </w:pPr>
            <w:r w:rsidRPr="00CD55E9">
              <w:rPr>
                <w:rFonts w:ascii="Verdana" w:eastAsia="Verdana" w:hAnsi="Verdana" w:cs="Arial"/>
                <w:color w:val="000000" w:themeColor="text1"/>
                <w:sz w:val="18"/>
                <w:szCs w:val="18"/>
              </w:rPr>
              <w:lastRenderedPageBreak/>
              <w:t xml:space="preserve">Para mitigar estos retos se continuará fortaleciendo la concertación con autoridades étnicas y comunidades mediante mecanismos de diálogo permanente y validación comunitaria de las acciones priorizadas. Asimismo, se promoverá la articulación interinstitucional para el cumplimiento de los compromisos del Acuerdo Final, en particular del Capítulo Étnico, y la implementación de los Programas Especiales de Armonización. De igual manera, se avanzará en la adecuación de los procesos administrativos a </w:t>
            </w:r>
            <w:r w:rsidRPr="00CD55E9">
              <w:rPr>
                <w:rFonts w:ascii="Verdana" w:eastAsia="Verdana" w:hAnsi="Verdana" w:cs="Arial"/>
                <w:color w:val="000000" w:themeColor="text1"/>
                <w:sz w:val="18"/>
                <w:szCs w:val="18"/>
              </w:rPr>
              <w:lastRenderedPageBreak/>
              <w:t>las particularidades territoriales y culturales, la gestión de recursos que permitan garantizar la sostenibilidad de las acciones con enfoque cultural, productivo y ambiental, y el acompañamiento institucional para consolidar las rutas de reincorporación en territorios étnicos, incluyendo estrategias de prevención y mitigación de riesgos de seguridad.</w:t>
            </w:r>
          </w:p>
        </w:tc>
      </w:tr>
    </w:tbl>
    <w:p w14:paraId="652FD5A7" w14:textId="0A7E221E" w:rsidR="00533FFF" w:rsidRDefault="00533FFF"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lastRenderedPageBreak/>
        <w:t xml:space="preserve">Producto: </w:t>
      </w:r>
      <w:r w:rsidR="00C93DC1" w:rsidRPr="00C93DC1">
        <w:rPr>
          <w:rFonts w:ascii="Verdana" w:eastAsia="Verdana" w:hAnsi="Verdana" w:cs="Arial"/>
          <w:b/>
          <w:bCs/>
          <w:color w:val="000000" w:themeColor="text1"/>
          <w:sz w:val="24"/>
          <w:szCs w:val="24"/>
        </w:rPr>
        <w:t>Apoyo al proceso de reincorporación a los integrantes de las FARC-EP acreditados en los Espacios Transitorios de Capacitación y Reincorporación</w:t>
      </w:r>
    </w:p>
    <w:p w14:paraId="772462C6" w14:textId="739889BB" w:rsidR="00533FFF" w:rsidRDefault="00533FFF" w:rsidP="00533FFF">
      <w:pPr>
        <w:spacing w:before="240" w:after="0" w:line="276" w:lineRule="auto"/>
        <w:rPr>
          <w:rFonts w:ascii="Verdana" w:eastAsia="Verdana" w:hAnsi="Verdana" w:cs="Arial"/>
          <w:color w:val="000000" w:themeColor="text1"/>
          <w:sz w:val="24"/>
          <w:szCs w:val="24"/>
        </w:rPr>
      </w:pPr>
      <w:r w:rsidRPr="009E02FB">
        <w:rPr>
          <w:rFonts w:ascii="Verdana" w:eastAsia="Verdana" w:hAnsi="Verdana" w:cs="Arial"/>
          <w:b/>
          <w:bCs/>
          <w:color w:val="000000" w:themeColor="text1"/>
          <w:sz w:val="24"/>
          <w:szCs w:val="24"/>
        </w:rPr>
        <w:t>C.</w:t>
      </w:r>
      <w:r w:rsidR="00B45725">
        <w:rPr>
          <w:rFonts w:ascii="Verdana" w:eastAsia="Verdana" w:hAnsi="Verdana" w:cs="Arial"/>
          <w:b/>
          <w:bCs/>
          <w:color w:val="000000" w:themeColor="text1"/>
          <w:sz w:val="24"/>
          <w:szCs w:val="24"/>
        </w:rPr>
        <w:t>MT</w:t>
      </w:r>
      <w:r>
        <w:rPr>
          <w:rFonts w:ascii="Verdana" w:eastAsia="Verdana" w:hAnsi="Verdana" w:cs="Arial"/>
          <w:b/>
          <w:bCs/>
          <w:color w:val="000000" w:themeColor="text1"/>
          <w:sz w:val="24"/>
          <w:szCs w:val="24"/>
        </w:rPr>
        <w:t>.</w:t>
      </w:r>
      <w:r w:rsidR="00B45725">
        <w:rPr>
          <w:rFonts w:ascii="Verdana" w:eastAsia="Verdana" w:hAnsi="Verdana" w:cs="Arial"/>
          <w:b/>
          <w:bCs/>
          <w:color w:val="000000" w:themeColor="text1"/>
          <w:sz w:val="24"/>
          <w:szCs w:val="24"/>
        </w:rPr>
        <w:t>6.</w:t>
      </w:r>
      <w:r>
        <w:rPr>
          <w:rFonts w:ascii="Verdana" w:eastAsia="Verdana" w:hAnsi="Verdana" w:cs="Arial"/>
          <w:b/>
          <w:bCs/>
          <w:color w:val="000000" w:themeColor="text1"/>
          <w:sz w:val="24"/>
          <w:szCs w:val="24"/>
        </w:rPr>
        <w:t>N</w:t>
      </w:r>
      <w:r w:rsidR="00C93DC1">
        <w:rPr>
          <w:rFonts w:ascii="Verdana" w:eastAsia="Verdana" w:hAnsi="Verdana" w:cs="Arial"/>
          <w:b/>
          <w:bCs/>
          <w:color w:val="000000" w:themeColor="text1"/>
          <w:sz w:val="24"/>
          <w:szCs w:val="24"/>
        </w:rPr>
        <w:t xml:space="preserve"> </w:t>
      </w:r>
      <w:r w:rsidR="00C93DC1" w:rsidRPr="00C93DC1">
        <w:rPr>
          <w:rFonts w:ascii="Verdana" w:eastAsia="Verdana" w:hAnsi="Verdana" w:cs="Arial"/>
          <w:color w:val="000000" w:themeColor="text1"/>
          <w:sz w:val="24"/>
          <w:szCs w:val="24"/>
        </w:rPr>
        <w:t>ETCR consolidados como áreas de reincorporación colectiva</w:t>
      </w:r>
    </w:p>
    <w:p w14:paraId="0D4BDA3E" w14:textId="77777777" w:rsidR="00442ED5" w:rsidRDefault="00442ED5" w:rsidP="00442ED5">
      <w:pPr>
        <w:pStyle w:val="Descripcin"/>
        <w:keepNext/>
        <w:jc w:val="center"/>
        <w:rPr>
          <w:rFonts w:ascii="Verdana" w:eastAsia="Verdana" w:hAnsi="Verdana" w:cs="Arial"/>
          <w:i w:val="0"/>
          <w:iCs w:val="0"/>
          <w:color w:val="000000" w:themeColor="text1"/>
        </w:rPr>
      </w:pPr>
    </w:p>
    <w:p w14:paraId="4B3A56F0" w14:textId="482FBDFC" w:rsidR="00442ED5" w:rsidRPr="00442ED5" w:rsidRDefault="00442ED5" w:rsidP="00442ED5">
      <w:pPr>
        <w:pStyle w:val="Descripcin"/>
        <w:keepNext/>
        <w:jc w:val="center"/>
        <w:rPr>
          <w:rFonts w:ascii="Verdana" w:eastAsia="Verdana" w:hAnsi="Verdana" w:cs="Arial"/>
          <w:i w:val="0"/>
          <w:iCs w:val="0"/>
          <w:color w:val="000000" w:themeColor="text1"/>
        </w:rPr>
      </w:pPr>
      <w:bookmarkStart w:id="67" w:name="_Toc225283174"/>
      <w:r w:rsidRPr="00442ED5">
        <w:rPr>
          <w:rFonts w:ascii="Verdana" w:eastAsia="Verdana" w:hAnsi="Verdana" w:cs="Arial"/>
          <w:i w:val="0"/>
          <w:iCs w:val="0"/>
          <w:color w:val="000000" w:themeColor="text1"/>
        </w:rPr>
        <w:t xml:space="preserve">Tabla </w:t>
      </w:r>
      <w:r w:rsidRPr="00442ED5">
        <w:rPr>
          <w:rFonts w:ascii="Verdana" w:eastAsia="Verdana" w:hAnsi="Verdana" w:cs="Arial"/>
          <w:i w:val="0"/>
          <w:iCs w:val="0"/>
          <w:color w:val="000000" w:themeColor="text1"/>
        </w:rPr>
        <w:fldChar w:fldCharType="begin"/>
      </w:r>
      <w:r w:rsidRPr="00442ED5">
        <w:rPr>
          <w:rFonts w:ascii="Verdana" w:eastAsia="Verdana" w:hAnsi="Verdana" w:cs="Arial"/>
          <w:i w:val="0"/>
          <w:iCs w:val="0"/>
          <w:color w:val="000000" w:themeColor="text1"/>
        </w:rPr>
        <w:instrText xml:space="preserve"> SEQ Tabla \* ARABIC </w:instrText>
      </w:r>
      <w:r w:rsidRPr="00442ED5">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62</w:t>
      </w:r>
      <w:r w:rsidRPr="00442ED5">
        <w:rPr>
          <w:rFonts w:ascii="Verdana" w:eastAsia="Verdana" w:hAnsi="Verdana" w:cs="Arial"/>
          <w:i w:val="0"/>
          <w:iCs w:val="0"/>
          <w:color w:val="000000" w:themeColor="text1"/>
        </w:rPr>
        <w:fldChar w:fldCharType="end"/>
      </w:r>
      <w:r w:rsidRPr="00442ED5">
        <w:rPr>
          <w:rFonts w:ascii="Verdana" w:eastAsia="Verdana" w:hAnsi="Verdana" w:cs="Arial"/>
          <w:i w:val="0"/>
          <w:iCs w:val="0"/>
          <w:color w:val="000000" w:themeColor="text1"/>
        </w:rPr>
        <w:t>. Detalle de avance en el indicador C.MT.6.N</w:t>
      </w:r>
      <w:bookmarkEnd w:id="67"/>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3676"/>
        <w:gridCol w:w="1487"/>
        <w:gridCol w:w="1217"/>
        <w:gridCol w:w="1211"/>
        <w:gridCol w:w="1244"/>
      </w:tblGrid>
      <w:tr w:rsidR="00533FFF" w:rsidRPr="00AB06F3" w14:paraId="231D1ABE" w14:textId="77777777" w:rsidTr="00CD55E9">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3676" w:type="dxa"/>
            <w:tcMar>
              <w:left w:w="108" w:type="dxa"/>
              <w:right w:w="108" w:type="dxa"/>
            </w:tcMar>
            <w:vAlign w:val="center"/>
          </w:tcPr>
          <w:p w14:paraId="51C69D8C" w14:textId="77777777" w:rsidR="00533FFF" w:rsidRPr="00AB06F3" w:rsidRDefault="00533FFF"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487" w:type="dxa"/>
            <w:tcMar>
              <w:left w:w="108" w:type="dxa"/>
              <w:right w:w="108" w:type="dxa"/>
            </w:tcMar>
            <w:vAlign w:val="center"/>
          </w:tcPr>
          <w:p w14:paraId="4B96ECE9" w14:textId="77777777" w:rsidR="00533FFF" w:rsidRPr="00AB06F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780B7371" w14:textId="77777777" w:rsidR="00533FFF" w:rsidRPr="00AB06F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6A58BD38" w14:textId="77777777" w:rsidR="00533FFF" w:rsidRPr="00AB06F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69600141" w14:textId="77777777" w:rsidR="00533FFF" w:rsidRPr="00AB06F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533FFF" w:rsidRPr="00AB06F3" w14:paraId="1B451412" w14:textId="77777777" w:rsidTr="00CD55E9">
        <w:trPr>
          <w:cnfStyle w:val="100000000000" w:firstRow="1" w:lastRow="0" w:firstColumn="0" w:lastColumn="0" w:oddVBand="0" w:evenVBand="0" w:oddHBand="0" w:evenHBand="0" w:firstRowFirstColumn="0" w:firstRowLastColumn="0" w:lastRowFirstColumn="0" w:lastRowLastColumn="0"/>
          <w:trHeight w:val="675"/>
          <w:tblHeader/>
        </w:trPr>
        <w:tc>
          <w:tcPr>
            <w:cnfStyle w:val="001000000000" w:firstRow="0" w:lastRow="0" w:firstColumn="1" w:lastColumn="0" w:oddVBand="0" w:evenVBand="0" w:oddHBand="0" w:evenHBand="0" w:firstRowFirstColumn="0" w:firstRowLastColumn="0" w:lastRowFirstColumn="0" w:lastRowLastColumn="0"/>
            <w:tcW w:w="3676" w:type="dxa"/>
            <w:tcMar>
              <w:left w:w="108" w:type="dxa"/>
              <w:right w:w="108" w:type="dxa"/>
            </w:tcMar>
            <w:vAlign w:val="center"/>
          </w:tcPr>
          <w:p w14:paraId="2E97B5BA" w14:textId="6B4E95E8" w:rsidR="00533FFF" w:rsidRPr="00C93DC1" w:rsidRDefault="00C93DC1" w:rsidP="005F457D">
            <w:pPr>
              <w:spacing w:before="240" w:line="276" w:lineRule="auto"/>
              <w:rPr>
                <w:rFonts w:ascii="Verdana" w:eastAsia="Verdana" w:hAnsi="Verdana" w:cs="Arial"/>
                <w:b w:val="0"/>
                <w:bCs w:val="0"/>
                <w:color w:val="000000" w:themeColor="text1"/>
                <w:sz w:val="18"/>
                <w:szCs w:val="18"/>
              </w:rPr>
            </w:pPr>
            <w:r w:rsidRPr="00C93DC1">
              <w:rPr>
                <w:rFonts w:ascii="Verdana" w:eastAsia="Verdana" w:hAnsi="Verdana" w:cs="Arial"/>
                <w:b w:val="0"/>
                <w:bCs w:val="0"/>
                <w:color w:val="000000" w:themeColor="text1"/>
                <w:sz w:val="18"/>
                <w:szCs w:val="18"/>
              </w:rPr>
              <w:t>C.MT.6.N ETCR consolidados como áreas de reincorporación colectiva</w:t>
            </w:r>
          </w:p>
        </w:tc>
        <w:tc>
          <w:tcPr>
            <w:tcW w:w="1487" w:type="dxa"/>
            <w:tcMar>
              <w:left w:w="108" w:type="dxa"/>
              <w:right w:w="108" w:type="dxa"/>
            </w:tcMar>
            <w:vAlign w:val="center"/>
          </w:tcPr>
          <w:p w14:paraId="0D237E16" w14:textId="77777777" w:rsidR="00533FFF" w:rsidRPr="0051775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sz w:val="18"/>
                <w:szCs w:val="18"/>
              </w:rPr>
              <w:t>Temático</w:t>
            </w:r>
          </w:p>
        </w:tc>
        <w:tc>
          <w:tcPr>
            <w:tcW w:w="1217" w:type="dxa"/>
            <w:shd w:val="clear" w:color="auto" w:fill="FFFFFF" w:themeFill="background1"/>
            <w:tcMar>
              <w:left w:w="108" w:type="dxa"/>
              <w:right w:w="108" w:type="dxa"/>
            </w:tcMar>
            <w:vAlign w:val="center"/>
          </w:tcPr>
          <w:p w14:paraId="25A8B97B" w14:textId="77777777" w:rsidR="00533FFF" w:rsidRPr="0051775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sz w:val="18"/>
                <w:szCs w:val="18"/>
              </w:rPr>
              <w:t>2025</w:t>
            </w:r>
          </w:p>
        </w:tc>
        <w:tc>
          <w:tcPr>
            <w:tcW w:w="1211" w:type="dxa"/>
            <w:shd w:val="clear" w:color="auto" w:fill="FFFFFF" w:themeFill="background1"/>
            <w:tcMar>
              <w:left w:w="108" w:type="dxa"/>
              <w:right w:w="108" w:type="dxa"/>
            </w:tcMar>
            <w:vAlign w:val="center"/>
          </w:tcPr>
          <w:p w14:paraId="54E072F5" w14:textId="77777777" w:rsidR="00533FFF" w:rsidRPr="0051775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sz w:val="18"/>
                <w:szCs w:val="18"/>
              </w:rPr>
              <w:t>2031</w:t>
            </w:r>
          </w:p>
        </w:tc>
        <w:tc>
          <w:tcPr>
            <w:tcW w:w="1244" w:type="dxa"/>
            <w:tcMar>
              <w:left w:w="108" w:type="dxa"/>
              <w:right w:w="108" w:type="dxa"/>
            </w:tcMar>
          </w:tcPr>
          <w:p w14:paraId="41A70196" w14:textId="77777777" w:rsidR="00533FFF" w:rsidRPr="00517753" w:rsidRDefault="00533FFF"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color w:val="000000" w:themeColor="text1"/>
                <w:sz w:val="18"/>
                <w:szCs w:val="18"/>
              </w:rPr>
              <w:t xml:space="preserve"> </w:t>
            </w:r>
          </w:p>
          <w:p w14:paraId="4D0A32A0" w14:textId="43426829" w:rsidR="00533FFF" w:rsidRPr="00517753" w:rsidRDefault="001C09FB"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517753">
              <w:rPr>
                <w:rFonts w:ascii="Verdana" w:eastAsia="Verdana" w:hAnsi="Verdana" w:cs="Arial"/>
                <w:b w:val="0"/>
                <w:bCs w:val="0"/>
                <w:color w:val="000000" w:themeColor="text1"/>
                <w:sz w:val="18"/>
                <w:szCs w:val="18"/>
              </w:rPr>
              <w:t>33,33</w:t>
            </w:r>
            <w:r w:rsidR="00533FFF" w:rsidRPr="00517753">
              <w:rPr>
                <w:rFonts w:ascii="Verdana" w:eastAsia="Verdana" w:hAnsi="Verdana" w:cs="Arial"/>
                <w:b w:val="0"/>
                <w:bCs w:val="0"/>
                <w:color w:val="000000" w:themeColor="text1"/>
                <w:sz w:val="18"/>
                <w:szCs w:val="18"/>
              </w:rPr>
              <w:t xml:space="preserve">% </w:t>
            </w:r>
          </w:p>
        </w:tc>
      </w:tr>
    </w:tbl>
    <w:p w14:paraId="6A00CCE5"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0FEC548E" w14:textId="77777777" w:rsidR="00533FFF" w:rsidRDefault="00533FFF" w:rsidP="00533FFF">
      <w:pPr>
        <w:spacing w:before="240" w:after="0" w:line="276" w:lineRule="auto"/>
        <w:rPr>
          <w:rFonts w:ascii="Verdana" w:eastAsia="Verdana" w:hAnsi="Verdana" w:cs="Arial"/>
          <w:sz w:val="18"/>
          <w:szCs w:val="18"/>
        </w:rPr>
      </w:pPr>
    </w:p>
    <w:p w14:paraId="7874953D" w14:textId="77777777" w:rsidR="00533FFF" w:rsidRPr="00A12308" w:rsidRDefault="00533FFF" w:rsidP="00164ED5">
      <w:pPr>
        <w:pStyle w:val="Prrafodelista"/>
        <w:numPr>
          <w:ilvl w:val="0"/>
          <w:numId w:val="26"/>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2B8E3435" w14:textId="3F2E4A63" w:rsidR="00533FFF" w:rsidRDefault="00533FFF" w:rsidP="00D2526F">
      <w:pPr>
        <w:spacing w:after="0" w:line="276" w:lineRule="auto"/>
        <w:jc w:val="both"/>
        <w:rPr>
          <w:rFonts w:ascii="Verdana" w:hAnsi="Verdana" w:cs="Arial"/>
        </w:rPr>
      </w:pPr>
    </w:p>
    <w:p w14:paraId="0EE47E96" w14:textId="77777777" w:rsidR="006A189B" w:rsidRDefault="003A08F8" w:rsidP="00C401E4">
      <w:pPr>
        <w:spacing w:after="0" w:line="276" w:lineRule="auto"/>
        <w:jc w:val="both"/>
        <w:rPr>
          <w:rFonts w:ascii="Verdana" w:hAnsi="Verdana" w:cs="Arial"/>
        </w:rPr>
      </w:pPr>
      <w:r>
        <w:rPr>
          <w:rFonts w:ascii="Verdana" w:hAnsi="Verdana" w:cs="Arial"/>
        </w:rPr>
        <w:t>Al cierre de l</w:t>
      </w:r>
      <w:r w:rsidR="00D2526F" w:rsidRPr="00D2526F">
        <w:rPr>
          <w:rFonts w:ascii="Verdana" w:hAnsi="Verdana" w:cs="Arial"/>
        </w:rPr>
        <w:t xml:space="preserve">a vigencia 2025, la </w:t>
      </w:r>
      <w:r w:rsidR="00FF5173">
        <w:rPr>
          <w:rFonts w:ascii="Verdana" w:hAnsi="Verdana" w:cs="Arial"/>
        </w:rPr>
        <w:t xml:space="preserve">Agencia para la Reincorporación y la Normalización </w:t>
      </w:r>
      <w:r w:rsidR="00D2526F" w:rsidRPr="00D2526F">
        <w:rPr>
          <w:rFonts w:ascii="Verdana" w:hAnsi="Verdana" w:cs="Arial"/>
        </w:rPr>
        <w:t>avanzó en la consolidación de los Espacios Territoriales de Capacitación y Reincorporación (ETCR) como Áreas Especiales de Reincorporación Colectiva (AERC)</w:t>
      </w:r>
      <w:r w:rsidR="00EC1FA2">
        <w:rPr>
          <w:rFonts w:ascii="Verdana" w:hAnsi="Verdana" w:cs="Arial"/>
        </w:rPr>
        <w:t xml:space="preserve">. </w:t>
      </w:r>
      <w:r w:rsidR="006A189B" w:rsidRPr="006A189B">
        <w:rPr>
          <w:rFonts w:ascii="Verdana" w:hAnsi="Verdana" w:cs="Arial"/>
        </w:rPr>
        <w:t>Para ello, se adoptó el marco normativo correspondiente mediante la Resolución 326 de 2025, modificada por la Resolución 2947 de 2025, en la cual se establecieron los criterios, fases y responsabilidades para el proceso de consolidación de estos espacios.</w:t>
      </w:r>
    </w:p>
    <w:p w14:paraId="15EE8D6E" w14:textId="77777777" w:rsidR="006A189B" w:rsidRDefault="006A189B" w:rsidP="007E50A5">
      <w:pPr>
        <w:spacing w:after="0" w:line="276" w:lineRule="auto"/>
        <w:rPr>
          <w:rFonts w:ascii="Verdana" w:hAnsi="Verdana" w:cs="Arial"/>
        </w:rPr>
      </w:pPr>
    </w:p>
    <w:p w14:paraId="715B39F2" w14:textId="21E83BE1" w:rsidR="00D2526F" w:rsidRDefault="00012F51" w:rsidP="00C401E4">
      <w:pPr>
        <w:spacing w:after="0" w:line="276" w:lineRule="auto"/>
        <w:jc w:val="both"/>
        <w:rPr>
          <w:rFonts w:ascii="Verdana" w:hAnsi="Verdana" w:cs="Arial"/>
        </w:rPr>
      </w:pPr>
      <w:r w:rsidRPr="00012F51">
        <w:rPr>
          <w:rFonts w:ascii="Verdana" w:hAnsi="Verdana" w:cs="Arial"/>
        </w:rPr>
        <w:t xml:space="preserve">De manera complementaria, se estructuraron y ejecutaron proyectos habitacionales en los ETCR Los Monos (Caldono, Cauca), El Doncello (Caquetá) y La Guajira (Acacías, Meta). Como resultado, se logró la entrega de 140 </w:t>
      </w:r>
      <w:r w:rsidRPr="00012F51">
        <w:rPr>
          <w:rFonts w:ascii="Verdana" w:hAnsi="Verdana" w:cs="Arial"/>
        </w:rPr>
        <w:lastRenderedPageBreak/>
        <w:t>viviendas rurales en el ETCR Los Monos y 106 viviendas en el ETCR El Doncello, ambas con acceso a servicios públicos y con procesos de formalización de la tierra. Estos avances permitieron cumplir parcialmente la meta anual, consolidando el ETCR Los Monos como Área Especial de Reincorporación Colectiva y estableciendo las bases técnicas, sociales y administrativas para la formalización de los demás espacios.</w:t>
      </w:r>
      <w:r>
        <w:rPr>
          <w:rFonts w:ascii="Verdana" w:hAnsi="Verdana" w:cs="Arial"/>
        </w:rPr>
        <w:t xml:space="preserve"> </w:t>
      </w:r>
    </w:p>
    <w:p w14:paraId="119EC927" w14:textId="77777777" w:rsidR="00861CB2" w:rsidRDefault="00861CB2" w:rsidP="007E50A5">
      <w:pPr>
        <w:spacing w:after="0" w:line="276" w:lineRule="auto"/>
        <w:rPr>
          <w:rFonts w:ascii="Verdana" w:hAnsi="Verdana" w:cs="Arial"/>
        </w:rPr>
      </w:pPr>
    </w:p>
    <w:p w14:paraId="3AEDA096" w14:textId="2E885BC1" w:rsidR="00861CB2" w:rsidRDefault="00861CB2" w:rsidP="00C401E4">
      <w:pPr>
        <w:spacing w:after="0" w:line="276" w:lineRule="auto"/>
        <w:jc w:val="both"/>
        <w:rPr>
          <w:rFonts w:ascii="Verdana" w:hAnsi="Verdana" w:cs="Arial"/>
        </w:rPr>
      </w:pPr>
      <w:r w:rsidRPr="00861CB2">
        <w:rPr>
          <w:rFonts w:ascii="Verdana" w:hAnsi="Verdana" w:cs="Arial"/>
        </w:rPr>
        <w:t>Estos resultados reflejan avances concretos en la estabilización territorial y en el fortalecimiento de los procesos de reincorporación colectiva, con un enfoque orientado a la sostenibilidad social, jurídica y territorial.</w:t>
      </w:r>
    </w:p>
    <w:p w14:paraId="12FECA91" w14:textId="77777777" w:rsidR="000224DB" w:rsidRPr="00D2526F" w:rsidRDefault="000224DB" w:rsidP="00C401E4">
      <w:pPr>
        <w:spacing w:after="0" w:line="276" w:lineRule="auto"/>
        <w:jc w:val="both"/>
        <w:rPr>
          <w:rFonts w:ascii="Verdana" w:hAnsi="Verdana" w:cs="Arial"/>
        </w:rPr>
      </w:pPr>
    </w:p>
    <w:p w14:paraId="53CAF43F" w14:textId="57521010" w:rsidR="00D2526F" w:rsidRDefault="00861CB2" w:rsidP="00C401E4">
      <w:pPr>
        <w:spacing w:after="0" w:line="276" w:lineRule="auto"/>
        <w:jc w:val="both"/>
        <w:rPr>
          <w:rFonts w:ascii="Verdana" w:hAnsi="Verdana" w:cs="Arial"/>
        </w:rPr>
      </w:pPr>
      <w:r w:rsidRPr="00861CB2">
        <w:rPr>
          <w:rFonts w:ascii="Verdana" w:hAnsi="Verdana" w:cs="Arial"/>
        </w:rPr>
        <w:t>No obstante, durante la vigencia se presentaron factores que incidieron en el ritmo de ejecución de algunas intervenciones, entre ellos ajustes en las formas asociativas, demoras en los procesos de adjudicación de tierras, trámites ambientales y condiciones climáticas adversas. Estas situaciones impactaron principalmente los avances en los ETCR El Doncello y La Guajira, donde este último alcanzó aproximadamente un 80% de avance en la construcción de soluciones habitacionales y en la instalación de redes de servicios al cierre del año</w:t>
      </w:r>
      <w:r>
        <w:rPr>
          <w:rFonts w:ascii="Verdana" w:hAnsi="Verdana" w:cs="Arial"/>
        </w:rPr>
        <w:t>.</w:t>
      </w:r>
    </w:p>
    <w:p w14:paraId="6C68B25A" w14:textId="77777777" w:rsidR="0017183B" w:rsidRDefault="0017183B" w:rsidP="00C401E4">
      <w:pPr>
        <w:spacing w:after="0" w:line="276" w:lineRule="auto"/>
        <w:jc w:val="both"/>
        <w:rPr>
          <w:rFonts w:ascii="Verdana" w:hAnsi="Verdana" w:cs="Arial"/>
        </w:rPr>
      </w:pPr>
    </w:p>
    <w:p w14:paraId="18BA63FA" w14:textId="5078C4B6" w:rsidR="0017183B" w:rsidRPr="00D2526F" w:rsidRDefault="0017183B" w:rsidP="00C401E4">
      <w:pPr>
        <w:spacing w:after="0" w:line="276" w:lineRule="auto"/>
        <w:jc w:val="both"/>
        <w:rPr>
          <w:rFonts w:ascii="Verdana" w:hAnsi="Verdana" w:cs="Arial"/>
        </w:rPr>
      </w:pPr>
      <w:r w:rsidRPr="0017183B">
        <w:rPr>
          <w:rFonts w:ascii="Verdana" w:hAnsi="Verdana" w:cs="Arial"/>
        </w:rPr>
        <w:t>En conjunto, la gestión adelantada permitió fortalecer el acceso a vivienda, tierra y servicios básicos para la población en proceso de reincorporación, así como consolidar diagnósticos territoriales y avanzar en la implementación del marco normativo establecido. Se prevé que durante la vigencia 2026 se adelanten los procesos de socialización de los planes de consolidación y la expedición de los actos administrativos de reconocimiento formal de estos espacios como Áreas Especiales de Reincorporación Colectiva.</w:t>
      </w:r>
    </w:p>
    <w:p w14:paraId="0975903A" w14:textId="4493D5AB" w:rsidR="00533FFF" w:rsidRPr="00053463" w:rsidRDefault="00533FFF" w:rsidP="00053463">
      <w:pPr>
        <w:spacing w:after="0" w:line="276" w:lineRule="auto"/>
        <w:rPr>
          <w:rFonts w:ascii="Verdana" w:eastAsia="Verdana" w:hAnsi="Verdana" w:cs="Arial"/>
          <w:color w:val="000000" w:themeColor="text1"/>
          <w:sz w:val="18"/>
          <w:szCs w:val="18"/>
        </w:rPr>
      </w:pPr>
    </w:p>
    <w:p w14:paraId="614BC605" w14:textId="5F1D7F4C" w:rsidR="00053463" w:rsidRPr="00053463" w:rsidRDefault="00053463" w:rsidP="00053463">
      <w:pPr>
        <w:spacing w:after="0" w:line="276" w:lineRule="auto"/>
        <w:jc w:val="center"/>
        <w:rPr>
          <w:rFonts w:ascii="Verdana" w:eastAsia="Verdana" w:hAnsi="Verdana" w:cs="Arial"/>
          <w:color w:val="000000" w:themeColor="text1"/>
          <w:sz w:val="18"/>
          <w:szCs w:val="18"/>
        </w:rPr>
      </w:pPr>
      <w:bookmarkStart w:id="68" w:name="_Toc225283175"/>
      <w:r w:rsidRPr="00053463">
        <w:rPr>
          <w:rFonts w:ascii="Verdana" w:eastAsia="Verdana" w:hAnsi="Verdana" w:cs="Arial"/>
          <w:color w:val="000000" w:themeColor="text1"/>
          <w:sz w:val="18"/>
          <w:szCs w:val="18"/>
        </w:rPr>
        <w:t xml:space="preserve">Tabla </w:t>
      </w:r>
      <w:r w:rsidRPr="00053463">
        <w:rPr>
          <w:rFonts w:ascii="Verdana" w:eastAsia="Verdana" w:hAnsi="Verdana" w:cs="Arial"/>
          <w:color w:val="000000" w:themeColor="text1"/>
          <w:sz w:val="18"/>
          <w:szCs w:val="18"/>
        </w:rPr>
        <w:fldChar w:fldCharType="begin"/>
      </w:r>
      <w:r w:rsidRPr="00053463">
        <w:rPr>
          <w:rFonts w:ascii="Verdana" w:eastAsia="Verdana" w:hAnsi="Verdana" w:cs="Arial"/>
          <w:color w:val="000000" w:themeColor="text1"/>
          <w:sz w:val="18"/>
          <w:szCs w:val="18"/>
        </w:rPr>
        <w:instrText xml:space="preserve"> SEQ Tabla \* ARABIC </w:instrText>
      </w:r>
      <w:r w:rsidRPr="00053463">
        <w:rPr>
          <w:rFonts w:ascii="Verdana" w:eastAsia="Verdana" w:hAnsi="Verdana" w:cs="Arial"/>
          <w:color w:val="000000" w:themeColor="text1"/>
          <w:sz w:val="18"/>
          <w:szCs w:val="18"/>
        </w:rPr>
        <w:fldChar w:fldCharType="separate"/>
      </w:r>
      <w:r w:rsidR="0078027F">
        <w:rPr>
          <w:rFonts w:ascii="Verdana" w:eastAsia="Verdana" w:hAnsi="Verdana" w:cs="Arial"/>
          <w:noProof/>
          <w:color w:val="000000" w:themeColor="text1"/>
          <w:sz w:val="18"/>
          <w:szCs w:val="18"/>
        </w:rPr>
        <w:t>63</w:t>
      </w:r>
      <w:r w:rsidRPr="00053463">
        <w:rPr>
          <w:rFonts w:ascii="Verdana" w:eastAsia="Verdana" w:hAnsi="Verdana" w:cs="Arial"/>
          <w:color w:val="000000" w:themeColor="text1"/>
          <w:sz w:val="18"/>
          <w:szCs w:val="18"/>
        </w:rPr>
        <w:fldChar w:fldCharType="end"/>
      </w:r>
      <w:r w:rsidRPr="00053463">
        <w:rPr>
          <w:rFonts w:ascii="Verdana" w:eastAsia="Verdana" w:hAnsi="Verdana" w:cs="Arial"/>
          <w:color w:val="000000" w:themeColor="text1"/>
          <w:sz w:val="18"/>
          <w:szCs w:val="18"/>
        </w:rPr>
        <w:t>. Detalle de las principales acciones del indicador C.MT.6.N</w:t>
      </w:r>
      <w:bookmarkEnd w:id="68"/>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533FFF" w:rsidRPr="00AB06F3" w14:paraId="37032D23" w14:textId="77777777" w:rsidTr="00651D59">
        <w:trPr>
          <w:trHeight w:val="113"/>
          <w:tblHeader/>
        </w:trPr>
        <w:tc>
          <w:tcPr>
            <w:tcW w:w="1985" w:type="dxa"/>
            <w:tcMar>
              <w:left w:w="108" w:type="dxa"/>
              <w:right w:w="108" w:type="dxa"/>
            </w:tcMar>
          </w:tcPr>
          <w:p w14:paraId="7E2AB2AB" w14:textId="77777777" w:rsidR="00533FFF" w:rsidRPr="00436D99" w:rsidRDefault="00533FFF"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471553C4" w14:textId="77777777" w:rsidR="00533FFF" w:rsidRPr="00436D99" w:rsidRDefault="00533FFF"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183B539B" w14:textId="77777777" w:rsidR="00533FFF" w:rsidRPr="00436D99" w:rsidRDefault="00533FFF"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533FFF" w:rsidRPr="00AB06F3" w14:paraId="070690B9" w14:textId="77777777" w:rsidTr="000D3BC3">
        <w:trPr>
          <w:trHeight w:val="475"/>
        </w:trPr>
        <w:tc>
          <w:tcPr>
            <w:tcW w:w="1985" w:type="dxa"/>
            <w:tcMar>
              <w:left w:w="108" w:type="dxa"/>
              <w:right w:w="108" w:type="dxa"/>
            </w:tcMar>
          </w:tcPr>
          <w:p w14:paraId="0FE76AAA" w14:textId="198B005A" w:rsidR="00533FFF" w:rsidRPr="00C93DC1" w:rsidRDefault="00C93DC1" w:rsidP="00C93DC1">
            <w:pPr>
              <w:spacing w:line="276" w:lineRule="auto"/>
              <w:rPr>
                <w:rFonts w:ascii="Verdana" w:hAnsi="Verdana" w:cs="Arial"/>
                <w:sz w:val="18"/>
                <w:szCs w:val="18"/>
              </w:rPr>
            </w:pPr>
            <w:r w:rsidRPr="00C93DC1">
              <w:rPr>
                <w:rFonts w:ascii="Verdana" w:hAnsi="Verdana" w:cs="Arial"/>
                <w:sz w:val="18"/>
                <w:szCs w:val="18"/>
              </w:rPr>
              <w:t>C.MT.6.N</w:t>
            </w:r>
            <w:r>
              <w:rPr>
                <w:rFonts w:ascii="Verdana" w:hAnsi="Verdana" w:cs="Arial"/>
                <w:sz w:val="18"/>
                <w:szCs w:val="18"/>
              </w:rPr>
              <w:t xml:space="preserve"> </w:t>
            </w:r>
            <w:r w:rsidRPr="00C93DC1">
              <w:rPr>
                <w:rFonts w:ascii="Verdana" w:hAnsi="Verdana" w:cs="Arial"/>
                <w:sz w:val="18"/>
                <w:szCs w:val="18"/>
              </w:rPr>
              <w:t>ETCR consolidados como áreas de reincorporación colectiva</w:t>
            </w:r>
          </w:p>
        </w:tc>
        <w:tc>
          <w:tcPr>
            <w:tcW w:w="4677" w:type="dxa"/>
            <w:tcMar>
              <w:left w:w="108" w:type="dxa"/>
              <w:right w:w="108" w:type="dxa"/>
            </w:tcMar>
          </w:tcPr>
          <w:p w14:paraId="6AFC32F8" w14:textId="606F7CCA" w:rsidR="000224DB" w:rsidRPr="00AC5F92" w:rsidRDefault="0062783D" w:rsidP="00164ED5">
            <w:pPr>
              <w:pStyle w:val="Prrafodelista"/>
              <w:numPr>
                <w:ilvl w:val="0"/>
                <w:numId w:val="14"/>
              </w:numPr>
              <w:spacing w:line="276" w:lineRule="auto"/>
              <w:rPr>
                <w:rFonts w:ascii="Verdana" w:eastAsia="Verdana" w:hAnsi="Verdana" w:cs="Arial"/>
                <w:color w:val="000000" w:themeColor="text1"/>
                <w:sz w:val="18"/>
                <w:szCs w:val="18"/>
              </w:rPr>
            </w:pPr>
            <w:r w:rsidRPr="00AC5F92">
              <w:rPr>
                <w:rFonts w:ascii="Verdana" w:eastAsia="Verdana" w:hAnsi="Verdana" w:cs="Arial"/>
                <w:color w:val="000000" w:themeColor="text1"/>
                <w:sz w:val="18"/>
                <w:szCs w:val="18"/>
              </w:rPr>
              <w:t>Adopción del marco normativo mediante la Resolución 326 de 2025 y su modificación</w:t>
            </w:r>
            <w:r w:rsidR="00482126">
              <w:rPr>
                <w:rFonts w:ascii="Verdana" w:eastAsia="Verdana" w:hAnsi="Verdana" w:cs="Arial"/>
                <w:color w:val="000000" w:themeColor="text1"/>
                <w:sz w:val="18"/>
                <w:szCs w:val="18"/>
              </w:rPr>
              <w:t xml:space="preserve"> posterior,</w:t>
            </w:r>
            <w:r w:rsidR="00482126" w:rsidRPr="00482126">
              <w:t xml:space="preserve"> </w:t>
            </w:r>
            <w:r w:rsidR="00482126" w:rsidRPr="00482126">
              <w:rPr>
                <w:rFonts w:ascii="Verdana" w:eastAsia="Verdana" w:hAnsi="Verdana" w:cs="Arial"/>
                <w:color w:val="000000" w:themeColor="text1"/>
                <w:sz w:val="18"/>
                <w:szCs w:val="18"/>
              </w:rPr>
              <w:t>a través de la cual se definieron los criterios técnicos, las fases y las responsabilidades institucionales para el proceso de transición de los Espacios Territoriales de Capacitación y Reincorporación (ETCR) a Áreas Especiales de Reincorporación Colectiva (AERC).</w:t>
            </w:r>
          </w:p>
          <w:p w14:paraId="6B07ED06" w14:textId="77777777" w:rsidR="00DC0D46" w:rsidRDefault="00F311E1" w:rsidP="00164ED5">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F311E1">
              <w:rPr>
                <w:rFonts w:ascii="Verdana" w:eastAsia="Verdana" w:hAnsi="Verdana" w:cs="Arial"/>
                <w:color w:val="000000" w:themeColor="text1"/>
                <w:sz w:val="18"/>
                <w:szCs w:val="18"/>
              </w:rPr>
              <w:t xml:space="preserve">Entrega de 140 viviendas rurales de interés social en el ETCR Los Monos, ubicado en el municipio de Caldono (Cauca), con acceso a servicios públicos </w:t>
            </w:r>
            <w:r w:rsidRPr="00F311E1">
              <w:rPr>
                <w:rFonts w:ascii="Verdana" w:eastAsia="Verdana" w:hAnsi="Verdana" w:cs="Arial"/>
                <w:color w:val="000000" w:themeColor="text1"/>
                <w:sz w:val="18"/>
                <w:szCs w:val="18"/>
              </w:rPr>
              <w:lastRenderedPageBreak/>
              <w:t>y cumplimiento de los criterios técnicos para su consolidación territorial, quedando pendiente la expedición del acto administrativo de reconocimiento formal como AERC.</w:t>
            </w:r>
          </w:p>
          <w:p w14:paraId="7D48C4BE" w14:textId="5FC9107D" w:rsidR="001F0382" w:rsidRDefault="00DC0D46" w:rsidP="00164ED5">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DC0D46">
              <w:rPr>
                <w:rFonts w:ascii="Verdana" w:eastAsia="Verdana" w:hAnsi="Verdana" w:cs="Arial"/>
                <w:color w:val="000000" w:themeColor="text1"/>
                <w:sz w:val="18"/>
                <w:szCs w:val="18"/>
              </w:rPr>
              <w:t>Entrega de 106 viviendas rurales en el ETCR El Doncello (Caquetá), garantizando el acceso a vivienda, tierra (70 hectáreas) y servicios básicos para 106 hogares de firmantes de paz y sus familias.</w:t>
            </w:r>
          </w:p>
          <w:p w14:paraId="62A2DD93" w14:textId="205CEDD4" w:rsidR="001F0382" w:rsidRPr="00AC5F92" w:rsidRDefault="00F47061" w:rsidP="00164ED5">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F47061">
              <w:rPr>
                <w:rFonts w:ascii="Verdana" w:eastAsia="Verdana" w:hAnsi="Verdana" w:cs="Arial"/>
                <w:color w:val="000000" w:themeColor="text1"/>
                <w:sz w:val="18"/>
                <w:szCs w:val="18"/>
              </w:rPr>
              <w:t>Avance del 80% en la construcción de soluciones habitacionales y en la instalación de redes de servicios en el ETCR La Guajira (Acacías, Meta), pese a afectaciones derivadas de condiciones climáticas durante la ejecución d</w:t>
            </w:r>
            <w:r>
              <w:rPr>
                <w:rFonts w:ascii="Verdana" w:eastAsia="Verdana" w:hAnsi="Verdana" w:cs="Arial"/>
                <w:color w:val="000000" w:themeColor="text1"/>
                <w:sz w:val="18"/>
                <w:szCs w:val="18"/>
              </w:rPr>
              <w:t>e las obras.</w:t>
            </w:r>
          </w:p>
          <w:p w14:paraId="3D746AA0" w14:textId="77777777" w:rsidR="00730329" w:rsidRDefault="0006031D" w:rsidP="00164ED5">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06031D">
              <w:rPr>
                <w:rFonts w:ascii="Verdana" w:eastAsia="Verdana" w:hAnsi="Verdana" w:cs="Arial"/>
                <w:color w:val="000000" w:themeColor="text1"/>
                <w:sz w:val="18"/>
                <w:szCs w:val="18"/>
              </w:rPr>
              <w:t>Fortalecimiento de la articulación interinstitucional y territorial, mediante la coordinación técnica, jurídica y operativa con las entidades competentes para asegurar la sostenibilidad de los proyectos de vivienda y los procesos de consolidación territorial.</w:t>
            </w:r>
          </w:p>
          <w:p w14:paraId="006CE94F" w14:textId="77777777" w:rsidR="000C4D46" w:rsidRDefault="00730329" w:rsidP="000C4D46">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730329">
              <w:rPr>
                <w:rFonts w:ascii="Verdana" w:eastAsia="Verdana" w:hAnsi="Verdana" w:cs="Arial"/>
                <w:color w:val="000000" w:themeColor="text1"/>
                <w:sz w:val="18"/>
                <w:szCs w:val="18"/>
              </w:rPr>
              <w:t>Elaboración de diagnósticos territoriales y planes de consolidación, mediante los cuales se verificaron las condiciones de acceso a tierra, vivienda y servicios públicos, como insumo para el reconocimiento formal de estos espacios como Áreas Especiales de Reincorporación Colectiva en la vigencia 2026.</w:t>
            </w:r>
            <w:r w:rsidR="000C4D46">
              <w:rPr>
                <w:rFonts w:ascii="Verdana" w:eastAsia="Verdana" w:hAnsi="Verdana" w:cs="Arial"/>
                <w:color w:val="000000" w:themeColor="text1"/>
                <w:sz w:val="18"/>
                <w:szCs w:val="18"/>
              </w:rPr>
              <w:t xml:space="preserve"> </w:t>
            </w:r>
          </w:p>
          <w:p w14:paraId="3BF3B228" w14:textId="466088CD" w:rsidR="000D3BC3" w:rsidRPr="002A01BF" w:rsidRDefault="002A01BF" w:rsidP="000C4D46">
            <w:pPr>
              <w:pStyle w:val="Prrafodelista"/>
              <w:numPr>
                <w:ilvl w:val="0"/>
                <w:numId w:val="14"/>
              </w:numPr>
              <w:tabs>
                <w:tab w:val="num" w:pos="720"/>
              </w:tabs>
              <w:spacing w:line="276" w:lineRule="auto"/>
              <w:rPr>
                <w:rFonts w:ascii="Verdana" w:eastAsia="Verdana" w:hAnsi="Verdana" w:cs="Arial"/>
                <w:color w:val="000000" w:themeColor="text1"/>
                <w:sz w:val="18"/>
                <w:szCs w:val="18"/>
              </w:rPr>
            </w:pPr>
            <w:r w:rsidRPr="002A01BF">
              <w:rPr>
                <w:rFonts w:ascii="Verdana" w:eastAsia="Verdana" w:hAnsi="Verdana" w:cs="Arial"/>
                <w:color w:val="000000" w:themeColor="text1"/>
                <w:sz w:val="18"/>
                <w:szCs w:val="18"/>
              </w:rPr>
              <w:t>Actualmente, la Agencia para la Reincorporación y la Normalización (ARN) se encuentra en proceso de elaboración de los actos administrativos mediante los cuales se formalizará la consolidación de estos ETCR y su reconocimiento como Áreas Especiales de Reincorporación Colectiva (AERC).</w:t>
            </w:r>
          </w:p>
        </w:tc>
        <w:tc>
          <w:tcPr>
            <w:tcW w:w="1985" w:type="dxa"/>
            <w:tcMar>
              <w:left w:w="108" w:type="dxa"/>
              <w:right w:w="108" w:type="dxa"/>
            </w:tcMar>
          </w:tcPr>
          <w:p w14:paraId="34346A3F" w14:textId="77777777" w:rsidR="004404A6" w:rsidRPr="004404A6" w:rsidRDefault="004404A6" w:rsidP="004404A6">
            <w:pPr>
              <w:spacing w:line="276" w:lineRule="auto"/>
              <w:jc w:val="both"/>
              <w:rPr>
                <w:rFonts w:ascii="Verdana" w:eastAsia="Verdana" w:hAnsi="Verdana" w:cs="Arial"/>
                <w:color w:val="000000" w:themeColor="text1"/>
                <w:sz w:val="18"/>
                <w:szCs w:val="18"/>
              </w:rPr>
            </w:pPr>
            <w:r w:rsidRPr="004404A6">
              <w:rPr>
                <w:rFonts w:ascii="Verdana" w:eastAsia="Verdana" w:hAnsi="Verdana" w:cs="Arial"/>
                <w:b/>
                <w:bCs/>
                <w:color w:val="000000" w:themeColor="text1"/>
                <w:sz w:val="18"/>
                <w:szCs w:val="18"/>
              </w:rPr>
              <w:lastRenderedPageBreak/>
              <w:t>ETCR San José – El Doncello (Caquetá).</w:t>
            </w:r>
            <w:r w:rsidRPr="004404A6">
              <w:rPr>
                <w:rFonts w:ascii="Verdana" w:eastAsia="Verdana" w:hAnsi="Verdana" w:cs="Arial"/>
                <w:color w:val="000000" w:themeColor="text1"/>
                <w:sz w:val="18"/>
                <w:szCs w:val="18"/>
              </w:rPr>
              <w:t xml:space="preserve"> Proyecto desarrollado con recursos del Ministerio de Vivienda, Ciudad y Territorio y de la ARN, por valor de </w:t>
            </w:r>
            <w:r w:rsidRPr="004404A6">
              <w:rPr>
                <w:rFonts w:ascii="Verdana" w:eastAsia="Verdana" w:hAnsi="Verdana" w:cs="Arial"/>
                <w:b/>
                <w:bCs/>
                <w:color w:val="000000" w:themeColor="text1"/>
                <w:sz w:val="18"/>
                <w:szCs w:val="18"/>
              </w:rPr>
              <w:t>$11.066.400.000</w:t>
            </w:r>
            <w:r w:rsidRPr="004404A6">
              <w:rPr>
                <w:rFonts w:ascii="Verdana" w:eastAsia="Verdana" w:hAnsi="Verdana" w:cs="Arial"/>
                <w:color w:val="000000" w:themeColor="text1"/>
                <w:sz w:val="18"/>
                <w:szCs w:val="18"/>
              </w:rPr>
              <w:t>, en el marco del Convenio 1125 de 2022.</w:t>
            </w:r>
          </w:p>
          <w:p w14:paraId="59DCC95A" w14:textId="77777777" w:rsidR="004404A6" w:rsidRPr="004404A6" w:rsidRDefault="004404A6" w:rsidP="004404A6">
            <w:pPr>
              <w:spacing w:line="276" w:lineRule="auto"/>
              <w:jc w:val="both"/>
              <w:rPr>
                <w:rFonts w:ascii="Verdana" w:eastAsia="Verdana" w:hAnsi="Verdana" w:cs="Arial"/>
                <w:color w:val="000000" w:themeColor="text1"/>
                <w:sz w:val="18"/>
                <w:szCs w:val="18"/>
              </w:rPr>
            </w:pPr>
            <w:r w:rsidRPr="004404A6">
              <w:rPr>
                <w:rFonts w:ascii="Verdana" w:eastAsia="Verdana" w:hAnsi="Verdana" w:cs="Arial"/>
                <w:b/>
                <w:bCs/>
                <w:color w:val="000000" w:themeColor="text1"/>
                <w:sz w:val="18"/>
                <w:szCs w:val="18"/>
              </w:rPr>
              <w:lastRenderedPageBreak/>
              <w:t>ETCR Los Monos – Caldono (Cauca).</w:t>
            </w:r>
            <w:r w:rsidRPr="004404A6">
              <w:rPr>
                <w:rFonts w:ascii="Verdana" w:eastAsia="Verdana" w:hAnsi="Verdana" w:cs="Arial"/>
                <w:color w:val="000000" w:themeColor="text1"/>
                <w:sz w:val="18"/>
                <w:szCs w:val="18"/>
              </w:rPr>
              <w:t xml:space="preserve"> Proyecto desarrollado con recursos del Ministerio de Vivienda, Ciudad y Territorio, por valor de </w:t>
            </w:r>
            <w:r w:rsidRPr="004404A6">
              <w:rPr>
                <w:rFonts w:ascii="Verdana" w:eastAsia="Verdana" w:hAnsi="Verdana" w:cs="Arial"/>
                <w:b/>
                <w:bCs/>
                <w:color w:val="000000" w:themeColor="text1"/>
                <w:sz w:val="18"/>
                <w:szCs w:val="18"/>
              </w:rPr>
              <w:t>$14.882.400.000</w:t>
            </w:r>
            <w:r w:rsidRPr="004404A6">
              <w:rPr>
                <w:rFonts w:ascii="Verdana" w:eastAsia="Verdana" w:hAnsi="Verdana" w:cs="Arial"/>
                <w:color w:val="000000" w:themeColor="text1"/>
                <w:sz w:val="18"/>
                <w:szCs w:val="18"/>
              </w:rPr>
              <w:t>.</w:t>
            </w:r>
          </w:p>
          <w:p w14:paraId="06257311" w14:textId="77777777" w:rsidR="004404A6" w:rsidRPr="004404A6" w:rsidRDefault="004404A6" w:rsidP="004404A6">
            <w:pPr>
              <w:spacing w:line="276" w:lineRule="auto"/>
              <w:jc w:val="both"/>
              <w:rPr>
                <w:rFonts w:ascii="Verdana" w:eastAsia="Verdana" w:hAnsi="Verdana" w:cs="Arial"/>
                <w:color w:val="000000" w:themeColor="text1"/>
                <w:sz w:val="18"/>
                <w:szCs w:val="18"/>
              </w:rPr>
            </w:pPr>
            <w:r w:rsidRPr="004404A6">
              <w:rPr>
                <w:rFonts w:ascii="Verdana" w:eastAsia="Verdana" w:hAnsi="Verdana" w:cs="Arial"/>
                <w:b/>
                <w:bCs/>
                <w:color w:val="000000" w:themeColor="text1"/>
                <w:sz w:val="18"/>
                <w:szCs w:val="18"/>
              </w:rPr>
              <w:t>ETCR La Guajira – Acacías (Meta).</w:t>
            </w:r>
            <w:r w:rsidRPr="004404A6">
              <w:rPr>
                <w:rFonts w:ascii="Verdana" w:eastAsia="Verdana" w:hAnsi="Verdana" w:cs="Arial"/>
                <w:color w:val="000000" w:themeColor="text1"/>
                <w:sz w:val="18"/>
                <w:szCs w:val="18"/>
              </w:rPr>
              <w:t xml:space="preserve"> Proyecto liderado por la ARN con recursos de cooperación internacional canalizados a través del PNUD.</w:t>
            </w:r>
          </w:p>
          <w:p w14:paraId="0F067D6E" w14:textId="48F6840B" w:rsidR="00157225" w:rsidRPr="00AB06F3" w:rsidRDefault="00157225" w:rsidP="00157225">
            <w:pPr>
              <w:spacing w:line="276" w:lineRule="auto"/>
              <w:jc w:val="both"/>
              <w:rPr>
                <w:rFonts w:ascii="Verdana" w:eastAsia="Verdana" w:hAnsi="Verdana" w:cs="Arial"/>
                <w:color w:val="000000" w:themeColor="text1"/>
                <w:sz w:val="18"/>
                <w:szCs w:val="18"/>
              </w:rPr>
            </w:pPr>
          </w:p>
        </w:tc>
      </w:tr>
    </w:tbl>
    <w:p w14:paraId="21EABFAF" w14:textId="3D92C0FA" w:rsidR="00533FFF" w:rsidRPr="00AB06F3" w:rsidRDefault="00533FFF" w:rsidP="00533FFF">
      <w:pPr>
        <w:spacing w:after="0" w:line="276" w:lineRule="auto"/>
        <w:jc w:val="center"/>
        <w:rPr>
          <w:rFonts w:ascii="Verdana" w:hAnsi="Verdana" w:cs="Arial"/>
        </w:rPr>
      </w:pPr>
      <w:r w:rsidRPr="00AB06F3">
        <w:rPr>
          <w:rFonts w:ascii="Verdana" w:eastAsia="Verdana" w:hAnsi="Verdana" w:cs="Arial"/>
          <w:sz w:val="24"/>
          <w:szCs w:val="24"/>
        </w:rPr>
        <w:lastRenderedPageBreak/>
        <w:t xml:space="preserve"> </w:t>
      </w:r>
      <w:r w:rsidRPr="00AB06F3">
        <w:rPr>
          <w:rFonts w:ascii="Verdana" w:eastAsia="Verdana" w:hAnsi="Verdana" w:cs="Arial"/>
          <w:sz w:val="18"/>
          <w:szCs w:val="18"/>
        </w:rPr>
        <w:t xml:space="preserve">Fuente: </w:t>
      </w:r>
      <w:r w:rsidR="00FF5173">
        <w:rPr>
          <w:rFonts w:ascii="Verdana" w:eastAsia="Verdana" w:hAnsi="Verdana" w:cs="Arial"/>
          <w:sz w:val="18"/>
          <w:szCs w:val="18"/>
        </w:rPr>
        <w:t xml:space="preserve">Agencia para la Reincorporación y la Normalización </w:t>
      </w:r>
      <w:r w:rsidR="00601530">
        <w:rPr>
          <w:rFonts w:ascii="Verdana" w:eastAsia="Verdana" w:hAnsi="Verdana" w:cs="Arial"/>
          <w:sz w:val="18"/>
          <w:szCs w:val="18"/>
        </w:rPr>
        <w:t xml:space="preserve">con corte </w:t>
      </w:r>
      <w:r w:rsidRPr="00AB06F3">
        <w:rPr>
          <w:rFonts w:ascii="Verdana" w:eastAsia="Verdana" w:hAnsi="Verdana" w:cs="Arial"/>
          <w:sz w:val="18"/>
          <w:szCs w:val="18"/>
        </w:rPr>
        <w:t>al 31 de diciembre del 202</w:t>
      </w:r>
      <w:r>
        <w:rPr>
          <w:rFonts w:ascii="Verdana" w:eastAsia="Verdana" w:hAnsi="Verdana" w:cs="Arial"/>
          <w:sz w:val="18"/>
          <w:szCs w:val="18"/>
        </w:rPr>
        <w:t>5</w:t>
      </w:r>
    </w:p>
    <w:p w14:paraId="45C85213" w14:textId="77777777" w:rsidR="00533FFF" w:rsidRPr="00AB06F3" w:rsidRDefault="00533FFF" w:rsidP="00533FFF">
      <w:pPr>
        <w:spacing w:after="0" w:line="276" w:lineRule="auto"/>
        <w:jc w:val="both"/>
        <w:rPr>
          <w:rFonts w:ascii="Verdana" w:hAnsi="Verdana" w:cs="Arial"/>
        </w:rPr>
      </w:pPr>
    </w:p>
    <w:p w14:paraId="310170E7" w14:textId="77777777" w:rsidR="00533FFF" w:rsidRDefault="00533FFF" w:rsidP="00164ED5">
      <w:pPr>
        <w:pStyle w:val="Prrafodelista"/>
        <w:numPr>
          <w:ilvl w:val="0"/>
          <w:numId w:val="26"/>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1E3E6279" w14:textId="77777777" w:rsidR="00442ED5" w:rsidRDefault="00442ED5" w:rsidP="00533FFF">
      <w:pPr>
        <w:pStyle w:val="Prrafodelista"/>
        <w:spacing w:after="0" w:line="276" w:lineRule="auto"/>
        <w:jc w:val="both"/>
        <w:rPr>
          <w:rFonts w:ascii="Verdana" w:eastAsia="Verdana" w:hAnsi="Verdana" w:cs="Arial"/>
          <w:color w:val="000000" w:themeColor="text1"/>
          <w:sz w:val="24"/>
          <w:szCs w:val="24"/>
        </w:rPr>
      </w:pPr>
    </w:p>
    <w:p w14:paraId="7F815EF8" w14:textId="4FF7E9A6" w:rsidR="00442ED5" w:rsidRPr="00442ED5" w:rsidRDefault="00442ED5" w:rsidP="00442ED5">
      <w:pPr>
        <w:pStyle w:val="Descripcin"/>
        <w:keepNext/>
        <w:jc w:val="center"/>
        <w:rPr>
          <w:rFonts w:ascii="Verdana" w:eastAsia="Verdana" w:hAnsi="Verdana" w:cs="Arial"/>
          <w:i w:val="0"/>
          <w:iCs w:val="0"/>
          <w:color w:val="000000" w:themeColor="text1"/>
        </w:rPr>
      </w:pPr>
      <w:bookmarkStart w:id="69" w:name="_Toc225283176"/>
      <w:r w:rsidRPr="00442ED5">
        <w:rPr>
          <w:rFonts w:ascii="Verdana" w:eastAsia="Verdana" w:hAnsi="Verdana" w:cs="Arial"/>
          <w:i w:val="0"/>
          <w:iCs w:val="0"/>
          <w:color w:val="000000" w:themeColor="text1"/>
        </w:rPr>
        <w:lastRenderedPageBreak/>
        <w:t xml:space="preserve">Tabla </w:t>
      </w:r>
      <w:r w:rsidRPr="00442ED5">
        <w:rPr>
          <w:rFonts w:ascii="Verdana" w:eastAsia="Verdana" w:hAnsi="Verdana" w:cs="Arial"/>
          <w:i w:val="0"/>
          <w:iCs w:val="0"/>
          <w:color w:val="000000" w:themeColor="text1"/>
        </w:rPr>
        <w:fldChar w:fldCharType="begin"/>
      </w:r>
      <w:r w:rsidRPr="00442ED5">
        <w:rPr>
          <w:rFonts w:ascii="Verdana" w:eastAsia="Verdana" w:hAnsi="Verdana" w:cs="Arial"/>
          <w:i w:val="0"/>
          <w:iCs w:val="0"/>
          <w:color w:val="000000" w:themeColor="text1"/>
        </w:rPr>
        <w:instrText xml:space="preserve"> SEQ Tabla \* ARABIC </w:instrText>
      </w:r>
      <w:r w:rsidRPr="00442ED5">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64</w:t>
      </w:r>
      <w:r w:rsidRPr="00442ED5">
        <w:rPr>
          <w:rFonts w:ascii="Verdana" w:eastAsia="Verdana" w:hAnsi="Verdana" w:cs="Arial"/>
          <w:i w:val="0"/>
          <w:iCs w:val="0"/>
          <w:color w:val="000000" w:themeColor="text1"/>
        </w:rPr>
        <w:fldChar w:fldCharType="end"/>
      </w:r>
      <w:r w:rsidRPr="00442ED5">
        <w:rPr>
          <w:rFonts w:ascii="Verdana" w:eastAsia="Verdana" w:hAnsi="Verdana" w:cs="Arial"/>
          <w:i w:val="0"/>
          <w:iCs w:val="0"/>
          <w:color w:val="000000" w:themeColor="text1"/>
        </w:rPr>
        <w:t>. Detalle de regionalización del indicador C.MT.6.N</w:t>
      </w:r>
      <w:bookmarkEnd w:id="69"/>
    </w:p>
    <w:tbl>
      <w:tblPr>
        <w:tblStyle w:val="Tablaconcuadrcula"/>
        <w:tblW w:w="0" w:type="auto"/>
        <w:tblInd w:w="36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regionalización del indicador"/>
        <w:tblDescription w:val="Tabla que contiene los siguientes items: indicador del PMI, regionalización y beneficiarios.&#10;"/>
      </w:tblPr>
      <w:tblGrid>
        <w:gridCol w:w="1762"/>
        <w:gridCol w:w="2551"/>
        <w:gridCol w:w="4111"/>
      </w:tblGrid>
      <w:tr w:rsidR="00533FFF" w:rsidRPr="00436D99" w14:paraId="6A39FE65" w14:textId="77777777" w:rsidTr="005F457D">
        <w:trPr>
          <w:trHeight w:val="113"/>
        </w:trPr>
        <w:tc>
          <w:tcPr>
            <w:tcW w:w="1762" w:type="dxa"/>
            <w:tcMar>
              <w:left w:w="108" w:type="dxa"/>
              <w:right w:w="108" w:type="dxa"/>
            </w:tcMar>
          </w:tcPr>
          <w:p w14:paraId="24299B47" w14:textId="77777777" w:rsidR="00533FFF" w:rsidRPr="00436D99" w:rsidRDefault="00533FFF"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2551" w:type="dxa"/>
            <w:tcMar>
              <w:left w:w="108" w:type="dxa"/>
              <w:right w:w="108" w:type="dxa"/>
            </w:tcMar>
          </w:tcPr>
          <w:p w14:paraId="6B36AB83" w14:textId="77777777" w:rsidR="00533FFF" w:rsidRPr="00436D99" w:rsidRDefault="00533FFF"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Regionalización </w:t>
            </w:r>
          </w:p>
        </w:tc>
        <w:tc>
          <w:tcPr>
            <w:tcW w:w="4111" w:type="dxa"/>
            <w:tcMar>
              <w:left w:w="108" w:type="dxa"/>
              <w:right w:w="108" w:type="dxa"/>
            </w:tcMar>
          </w:tcPr>
          <w:p w14:paraId="2B5EADB0" w14:textId="77777777" w:rsidR="00533FFF" w:rsidRPr="00436D99" w:rsidRDefault="00533FFF"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Beneficiarios </w:t>
            </w:r>
          </w:p>
        </w:tc>
      </w:tr>
      <w:tr w:rsidR="00533FFF" w:rsidRPr="00436D99" w14:paraId="10C6DFCD" w14:textId="77777777" w:rsidTr="005F457D">
        <w:trPr>
          <w:trHeight w:val="113"/>
        </w:trPr>
        <w:tc>
          <w:tcPr>
            <w:tcW w:w="1762" w:type="dxa"/>
            <w:tcMar>
              <w:left w:w="108" w:type="dxa"/>
              <w:right w:w="108" w:type="dxa"/>
            </w:tcMar>
          </w:tcPr>
          <w:p w14:paraId="4DE15124" w14:textId="721FCF8E" w:rsidR="00533FFF" w:rsidRPr="00C93DC1" w:rsidRDefault="00C93DC1" w:rsidP="005F457D">
            <w:pPr>
              <w:spacing w:line="276" w:lineRule="auto"/>
              <w:jc w:val="both"/>
              <w:rPr>
                <w:rFonts w:ascii="Verdana" w:eastAsia="Verdana" w:hAnsi="Verdana" w:cs="Arial"/>
                <w:color w:val="000000" w:themeColor="text1"/>
                <w:sz w:val="18"/>
                <w:szCs w:val="18"/>
              </w:rPr>
            </w:pPr>
            <w:r w:rsidRPr="00C93DC1">
              <w:rPr>
                <w:rFonts w:ascii="Verdana" w:eastAsia="Verdana" w:hAnsi="Verdana" w:cs="Arial"/>
                <w:color w:val="000000" w:themeColor="text1"/>
                <w:sz w:val="18"/>
                <w:szCs w:val="18"/>
              </w:rPr>
              <w:t>C.MT.6.N ETCR consolidados como áreas de reincorporación colectiva</w:t>
            </w:r>
          </w:p>
        </w:tc>
        <w:tc>
          <w:tcPr>
            <w:tcW w:w="2551" w:type="dxa"/>
            <w:tcMar>
              <w:left w:w="108" w:type="dxa"/>
              <w:right w:w="108" w:type="dxa"/>
            </w:tcMar>
          </w:tcPr>
          <w:p w14:paraId="51E1D9FE" w14:textId="77777777" w:rsidR="00533FFF" w:rsidRDefault="00704EEB" w:rsidP="005F457D">
            <w:pPr>
              <w:spacing w:line="276" w:lineRule="auto"/>
              <w:jc w:val="both"/>
              <w:rPr>
                <w:rFonts w:ascii="Verdana" w:eastAsia="Verdana" w:hAnsi="Verdana" w:cs="Arial"/>
                <w:sz w:val="18"/>
                <w:szCs w:val="18"/>
              </w:rPr>
            </w:pPr>
            <w:r w:rsidRPr="00704EEB">
              <w:rPr>
                <w:rFonts w:ascii="Verdana" w:eastAsia="Verdana" w:hAnsi="Verdana" w:cs="Arial"/>
                <w:sz w:val="18"/>
                <w:szCs w:val="18"/>
              </w:rPr>
              <w:t>ETCR Los Monos</w:t>
            </w:r>
            <w:r>
              <w:rPr>
                <w:rFonts w:ascii="Verdana" w:eastAsia="Verdana" w:hAnsi="Verdana" w:cs="Arial"/>
                <w:sz w:val="18"/>
                <w:szCs w:val="18"/>
              </w:rPr>
              <w:t xml:space="preserve">, </w:t>
            </w:r>
            <w:r w:rsidRPr="00704EEB">
              <w:rPr>
                <w:rFonts w:ascii="Verdana" w:eastAsia="Verdana" w:hAnsi="Verdana" w:cs="Arial"/>
                <w:sz w:val="18"/>
                <w:szCs w:val="18"/>
              </w:rPr>
              <w:t>Caldono (Cauca)</w:t>
            </w:r>
          </w:p>
          <w:p w14:paraId="78929BB0" w14:textId="77777777" w:rsidR="003C230C" w:rsidRDefault="003C230C" w:rsidP="005F457D">
            <w:pPr>
              <w:spacing w:line="276" w:lineRule="auto"/>
              <w:jc w:val="both"/>
              <w:rPr>
                <w:rFonts w:ascii="Verdana" w:eastAsia="Verdana" w:hAnsi="Verdana" w:cs="Arial"/>
                <w:sz w:val="18"/>
                <w:szCs w:val="18"/>
              </w:rPr>
            </w:pPr>
          </w:p>
          <w:p w14:paraId="5D478888" w14:textId="77777777" w:rsidR="003C230C" w:rsidRDefault="003C230C" w:rsidP="005F457D">
            <w:pPr>
              <w:spacing w:line="276" w:lineRule="auto"/>
              <w:jc w:val="both"/>
              <w:rPr>
                <w:rFonts w:ascii="Verdana" w:eastAsia="Verdana" w:hAnsi="Verdana" w:cs="Arial"/>
                <w:sz w:val="18"/>
                <w:szCs w:val="18"/>
              </w:rPr>
            </w:pPr>
          </w:p>
          <w:p w14:paraId="6A095338" w14:textId="77777777" w:rsidR="003C230C" w:rsidRDefault="003C230C" w:rsidP="005F457D">
            <w:pPr>
              <w:spacing w:line="276" w:lineRule="auto"/>
              <w:jc w:val="both"/>
              <w:rPr>
                <w:rFonts w:ascii="Verdana" w:eastAsia="Verdana" w:hAnsi="Verdana" w:cs="Arial"/>
                <w:sz w:val="18"/>
                <w:szCs w:val="18"/>
              </w:rPr>
            </w:pPr>
          </w:p>
          <w:p w14:paraId="2DC2FDC5" w14:textId="77777777" w:rsidR="003C230C" w:rsidRDefault="003C230C" w:rsidP="005F457D">
            <w:pPr>
              <w:spacing w:line="276" w:lineRule="auto"/>
              <w:jc w:val="both"/>
              <w:rPr>
                <w:rFonts w:ascii="Verdana" w:eastAsia="Verdana" w:hAnsi="Verdana" w:cs="Arial"/>
                <w:sz w:val="18"/>
                <w:szCs w:val="18"/>
              </w:rPr>
            </w:pPr>
          </w:p>
          <w:p w14:paraId="64833FBF" w14:textId="77777777" w:rsidR="003C230C" w:rsidRDefault="003C230C" w:rsidP="005F457D">
            <w:pPr>
              <w:spacing w:line="276" w:lineRule="auto"/>
              <w:jc w:val="both"/>
              <w:rPr>
                <w:rFonts w:ascii="Verdana" w:eastAsia="Verdana" w:hAnsi="Verdana" w:cs="Arial"/>
                <w:sz w:val="18"/>
                <w:szCs w:val="18"/>
              </w:rPr>
            </w:pPr>
          </w:p>
          <w:p w14:paraId="04B87FC3" w14:textId="77777777" w:rsidR="003C230C" w:rsidRDefault="003C230C" w:rsidP="005F457D">
            <w:pPr>
              <w:spacing w:line="276" w:lineRule="auto"/>
              <w:jc w:val="both"/>
              <w:rPr>
                <w:rFonts w:ascii="Verdana" w:eastAsia="Verdana" w:hAnsi="Verdana" w:cs="Arial"/>
                <w:sz w:val="18"/>
                <w:szCs w:val="18"/>
              </w:rPr>
            </w:pPr>
            <w:r w:rsidRPr="003C230C">
              <w:rPr>
                <w:rFonts w:ascii="Verdana" w:eastAsia="Verdana" w:hAnsi="Verdana" w:cs="Arial"/>
                <w:sz w:val="18"/>
                <w:szCs w:val="18"/>
              </w:rPr>
              <w:t>ETCR </w:t>
            </w:r>
            <w:r w:rsidRPr="003C230C">
              <w:rPr>
                <w:rFonts w:ascii="Verdana" w:eastAsia="Verdana" w:hAnsi="Verdana" w:cs="Arial"/>
                <w:sz w:val="18"/>
                <w:szCs w:val="18"/>
                <w:u w:val="single"/>
              </w:rPr>
              <w:t>Doncello</w:t>
            </w:r>
            <w:r w:rsidRPr="003C230C">
              <w:rPr>
                <w:rFonts w:ascii="Verdana" w:eastAsia="Verdana" w:hAnsi="Verdana" w:cs="Arial"/>
                <w:sz w:val="18"/>
                <w:szCs w:val="18"/>
              </w:rPr>
              <w:t> (</w:t>
            </w:r>
            <w:r w:rsidRPr="003C230C">
              <w:rPr>
                <w:rFonts w:ascii="Verdana" w:eastAsia="Verdana" w:hAnsi="Verdana" w:cs="Arial"/>
                <w:sz w:val="18"/>
                <w:szCs w:val="18"/>
                <w:u w:val="single"/>
              </w:rPr>
              <w:t>Caquetá</w:t>
            </w:r>
            <w:r w:rsidRPr="003C230C">
              <w:rPr>
                <w:rFonts w:ascii="Verdana" w:eastAsia="Verdana" w:hAnsi="Verdana" w:cs="Arial"/>
                <w:sz w:val="18"/>
                <w:szCs w:val="18"/>
              </w:rPr>
              <w:t>)</w:t>
            </w:r>
          </w:p>
          <w:p w14:paraId="5FC93346" w14:textId="77777777" w:rsidR="003C230C" w:rsidRDefault="003C230C" w:rsidP="005F457D">
            <w:pPr>
              <w:spacing w:line="276" w:lineRule="auto"/>
              <w:jc w:val="both"/>
              <w:rPr>
                <w:rFonts w:ascii="Verdana" w:eastAsia="Verdana" w:hAnsi="Verdana" w:cs="Arial"/>
                <w:sz w:val="18"/>
                <w:szCs w:val="18"/>
              </w:rPr>
            </w:pPr>
          </w:p>
          <w:p w14:paraId="3A1840D4" w14:textId="77777777" w:rsidR="003C230C" w:rsidRDefault="003C230C" w:rsidP="005F457D">
            <w:pPr>
              <w:spacing w:line="276" w:lineRule="auto"/>
              <w:jc w:val="both"/>
              <w:rPr>
                <w:rFonts w:ascii="Verdana" w:eastAsia="Verdana" w:hAnsi="Verdana" w:cs="Arial"/>
                <w:sz w:val="18"/>
                <w:szCs w:val="18"/>
              </w:rPr>
            </w:pPr>
          </w:p>
          <w:p w14:paraId="57F2B3DC" w14:textId="702E779B" w:rsidR="003C230C" w:rsidRPr="00ED3319" w:rsidRDefault="007A5309" w:rsidP="005F457D">
            <w:pPr>
              <w:spacing w:line="276" w:lineRule="auto"/>
              <w:jc w:val="both"/>
              <w:rPr>
                <w:rFonts w:ascii="Verdana" w:eastAsia="Verdana" w:hAnsi="Verdana" w:cs="Arial"/>
                <w:sz w:val="18"/>
                <w:szCs w:val="18"/>
              </w:rPr>
            </w:pPr>
            <w:r w:rsidRPr="007A5309">
              <w:rPr>
                <w:rFonts w:ascii="Verdana" w:eastAsia="Verdana" w:hAnsi="Verdana" w:cs="Arial"/>
                <w:sz w:val="18"/>
                <w:szCs w:val="18"/>
              </w:rPr>
              <w:t>ETCR La Guajira (Berlín) </w:t>
            </w:r>
            <w:r w:rsidR="003C230C" w:rsidRPr="003C230C">
              <w:rPr>
                <w:rFonts w:ascii="Verdana" w:eastAsia="Verdana" w:hAnsi="Verdana" w:cs="Arial"/>
                <w:sz w:val="18"/>
                <w:szCs w:val="18"/>
              </w:rPr>
              <w:t> </w:t>
            </w:r>
          </w:p>
        </w:tc>
        <w:tc>
          <w:tcPr>
            <w:tcW w:w="4111" w:type="dxa"/>
            <w:tcMar>
              <w:left w:w="108" w:type="dxa"/>
              <w:right w:w="108" w:type="dxa"/>
            </w:tcMar>
          </w:tcPr>
          <w:p w14:paraId="1587D6EE" w14:textId="2A07EDDF" w:rsidR="003C230C" w:rsidRDefault="000A01A0" w:rsidP="00034A45">
            <w:pPr>
              <w:pStyle w:val="Prrafodelista"/>
              <w:tabs>
                <w:tab w:val="left" w:pos="181"/>
              </w:tabs>
              <w:spacing w:line="276" w:lineRule="auto"/>
              <w:ind w:left="0"/>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Entrega de </w:t>
            </w:r>
            <w:r w:rsidR="000D45D9" w:rsidRPr="00521B75">
              <w:rPr>
                <w:rFonts w:ascii="Verdana" w:eastAsia="Verdana" w:hAnsi="Verdana" w:cs="Arial"/>
                <w:color w:val="000000" w:themeColor="text1"/>
                <w:sz w:val="18"/>
                <w:szCs w:val="18"/>
              </w:rPr>
              <w:t>140 viviendas rurales de interés social</w:t>
            </w:r>
            <w:r w:rsidR="000A7CCA" w:rsidRPr="00521B75">
              <w:rPr>
                <w:rFonts w:ascii="Verdana" w:eastAsia="Verdana" w:hAnsi="Verdana" w:cs="Arial"/>
                <w:color w:val="000000" w:themeColor="text1"/>
                <w:sz w:val="18"/>
                <w:szCs w:val="18"/>
              </w:rPr>
              <w:t xml:space="preserve"> con acceso a servicios públicos</w:t>
            </w:r>
            <w:r w:rsidR="009477D5">
              <w:rPr>
                <w:rFonts w:ascii="Verdana" w:eastAsia="Verdana" w:hAnsi="Verdana" w:cs="Arial"/>
                <w:color w:val="000000" w:themeColor="text1"/>
                <w:sz w:val="18"/>
                <w:szCs w:val="18"/>
              </w:rPr>
              <w:t>, en u</w:t>
            </w:r>
            <w:r w:rsidR="000D45D9" w:rsidRPr="00521B75">
              <w:rPr>
                <w:rFonts w:ascii="Verdana" w:eastAsia="Verdana" w:hAnsi="Verdana" w:cs="Arial"/>
                <w:color w:val="000000" w:themeColor="text1"/>
                <w:sz w:val="18"/>
                <w:szCs w:val="18"/>
              </w:rPr>
              <w:t>n predio de 4,4 hectáreas adquirido colectivamente en 2020 por el cabildo indígena de San Lorenzo y la JAC de Santa Rosa</w:t>
            </w:r>
            <w:r w:rsidR="000A7CCA">
              <w:rPr>
                <w:rFonts w:ascii="Verdana" w:eastAsia="Verdana" w:hAnsi="Verdana" w:cs="Arial"/>
                <w:color w:val="000000" w:themeColor="text1"/>
                <w:sz w:val="18"/>
                <w:szCs w:val="18"/>
              </w:rPr>
              <w:t>.</w:t>
            </w:r>
          </w:p>
          <w:p w14:paraId="0668C452" w14:textId="77777777" w:rsidR="00AE6A04" w:rsidRDefault="00AE6A04" w:rsidP="00034A45">
            <w:pPr>
              <w:pStyle w:val="Prrafodelista"/>
              <w:tabs>
                <w:tab w:val="left" w:pos="181"/>
              </w:tabs>
              <w:spacing w:line="276" w:lineRule="auto"/>
              <w:ind w:left="0"/>
              <w:jc w:val="both"/>
              <w:rPr>
                <w:rFonts w:ascii="Verdana" w:eastAsia="Verdana" w:hAnsi="Verdana" w:cs="Arial"/>
                <w:color w:val="000000" w:themeColor="text1"/>
                <w:sz w:val="18"/>
                <w:szCs w:val="18"/>
              </w:rPr>
            </w:pPr>
          </w:p>
          <w:p w14:paraId="1037F832" w14:textId="77777777" w:rsidR="003C230C" w:rsidRDefault="003C230C" w:rsidP="00034A45">
            <w:pPr>
              <w:pStyle w:val="Prrafodelista"/>
              <w:tabs>
                <w:tab w:val="left" w:pos="181"/>
              </w:tabs>
              <w:spacing w:line="276" w:lineRule="auto"/>
              <w:ind w:left="0"/>
              <w:jc w:val="both"/>
              <w:rPr>
                <w:rFonts w:ascii="Verdana" w:eastAsia="Verdana" w:hAnsi="Verdana" w:cs="Arial"/>
                <w:color w:val="000000" w:themeColor="text1"/>
                <w:sz w:val="18"/>
                <w:szCs w:val="18"/>
              </w:rPr>
            </w:pPr>
            <w:r w:rsidRPr="003C230C">
              <w:rPr>
                <w:rFonts w:ascii="Verdana" w:eastAsia="Verdana" w:hAnsi="Verdana" w:cs="Arial"/>
                <w:color w:val="000000" w:themeColor="text1"/>
                <w:sz w:val="18"/>
                <w:szCs w:val="18"/>
              </w:rPr>
              <w:t>Entrega de 106 viviendas rurales de interés social con acceso a servicios públicos. </w:t>
            </w:r>
          </w:p>
          <w:p w14:paraId="08603805" w14:textId="77777777" w:rsidR="007A5309" w:rsidRDefault="007A5309" w:rsidP="00034A45">
            <w:pPr>
              <w:pStyle w:val="Prrafodelista"/>
              <w:tabs>
                <w:tab w:val="left" w:pos="181"/>
              </w:tabs>
              <w:spacing w:line="276" w:lineRule="auto"/>
              <w:ind w:left="0"/>
              <w:jc w:val="both"/>
              <w:rPr>
                <w:rFonts w:ascii="Verdana" w:eastAsia="Verdana" w:hAnsi="Verdana" w:cs="Arial"/>
                <w:color w:val="000000" w:themeColor="text1"/>
                <w:sz w:val="18"/>
                <w:szCs w:val="18"/>
              </w:rPr>
            </w:pPr>
          </w:p>
          <w:p w14:paraId="14EADA56" w14:textId="342F0F59" w:rsidR="007A5309" w:rsidRPr="00521B75" w:rsidRDefault="007A5309" w:rsidP="00034A45">
            <w:pPr>
              <w:pStyle w:val="Prrafodelista"/>
              <w:tabs>
                <w:tab w:val="left" w:pos="181"/>
              </w:tabs>
              <w:spacing w:line="276" w:lineRule="auto"/>
              <w:ind w:left="0"/>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E</w:t>
            </w:r>
            <w:r w:rsidRPr="007A5309">
              <w:rPr>
                <w:rFonts w:ascii="Verdana" w:eastAsia="Verdana" w:hAnsi="Verdana" w:cs="Arial"/>
                <w:color w:val="000000" w:themeColor="text1"/>
                <w:sz w:val="18"/>
                <w:szCs w:val="18"/>
              </w:rPr>
              <w:t>n 2025 se llegó a un 80% de avance en la construcción de 106 soluciones de vivienda temporales.</w:t>
            </w:r>
          </w:p>
        </w:tc>
      </w:tr>
    </w:tbl>
    <w:p w14:paraId="20E3669C" w14:textId="77777777" w:rsidR="00533FFF" w:rsidRDefault="00533FFF" w:rsidP="002C7BEA">
      <w:pPr>
        <w:spacing w:after="0" w:line="276" w:lineRule="auto"/>
        <w:jc w:val="both"/>
        <w:rPr>
          <w:rFonts w:ascii="Verdana" w:eastAsia="Calibri" w:hAnsi="Verdana" w:cs="Arial"/>
        </w:rPr>
      </w:pPr>
    </w:p>
    <w:p w14:paraId="779DD3F9" w14:textId="1A7BD0D7" w:rsidR="002C7BEA" w:rsidRDefault="002C7BEA" w:rsidP="002C7BEA">
      <w:pPr>
        <w:spacing w:after="0" w:line="276" w:lineRule="auto"/>
        <w:jc w:val="both"/>
        <w:rPr>
          <w:rFonts w:ascii="Verdana" w:eastAsia="Calibri" w:hAnsi="Verdana" w:cs="Arial"/>
        </w:rPr>
      </w:pPr>
      <w:r w:rsidRPr="002C7BEA">
        <w:rPr>
          <w:rFonts w:ascii="Verdana" w:eastAsia="Calibri" w:hAnsi="Verdana" w:cs="Arial"/>
          <w:b/>
          <w:bCs/>
        </w:rPr>
        <w:t>Nota:</w:t>
      </w:r>
      <w:r w:rsidRPr="002C7BEA">
        <w:rPr>
          <w:rFonts w:ascii="Verdana" w:eastAsia="Calibri" w:hAnsi="Verdana" w:cs="Arial"/>
        </w:rPr>
        <w:t xml:space="preserve"> </w:t>
      </w:r>
      <w:r w:rsidR="00EE78FF">
        <w:rPr>
          <w:rFonts w:ascii="Verdana" w:eastAsia="Calibri" w:hAnsi="Verdana" w:cs="Arial"/>
        </w:rPr>
        <w:t>L</w:t>
      </w:r>
      <w:r w:rsidR="00EE78FF" w:rsidRPr="00EE78FF">
        <w:rPr>
          <w:rFonts w:ascii="Verdana" w:eastAsia="Calibri" w:hAnsi="Verdana" w:cs="Arial"/>
        </w:rPr>
        <w:t xml:space="preserve">a meta establecida en el PMI para 2025 corresponde a los tres ETCR relacionados en la tabla. Sin embargo, solo </w:t>
      </w:r>
      <w:r w:rsidR="00EE78FF" w:rsidRPr="00141C1B">
        <w:rPr>
          <w:rFonts w:ascii="Verdana" w:eastAsia="Calibri" w:hAnsi="Verdana" w:cs="Arial"/>
        </w:rPr>
        <w:t xml:space="preserve">se logró culminar el diagnóstico de consolidación de Los Monos, en El Doncello y </w:t>
      </w:r>
      <w:r w:rsidR="00141C1B" w:rsidRPr="00141C1B">
        <w:rPr>
          <w:rFonts w:ascii="Verdana" w:eastAsia="Calibri" w:hAnsi="Verdana" w:cs="Arial"/>
        </w:rPr>
        <w:t xml:space="preserve">el </w:t>
      </w:r>
      <w:r w:rsidR="00EE78FF" w:rsidRPr="00141C1B">
        <w:rPr>
          <w:rFonts w:ascii="Verdana" w:eastAsia="Calibri" w:hAnsi="Verdana" w:cs="Arial"/>
        </w:rPr>
        <w:t>ETCR de La Guajira,</w:t>
      </w:r>
      <w:r w:rsidR="00EE78FF" w:rsidRPr="00EE78FF">
        <w:rPr>
          <w:rFonts w:ascii="Verdana" w:eastAsia="Calibri" w:hAnsi="Verdana" w:cs="Arial"/>
        </w:rPr>
        <w:t xml:space="preserve"> su culminación se tiene prevista para </w:t>
      </w:r>
      <w:r w:rsidR="00141C1B">
        <w:rPr>
          <w:rFonts w:ascii="Verdana" w:eastAsia="Calibri" w:hAnsi="Verdana" w:cs="Arial"/>
        </w:rPr>
        <w:t>la</w:t>
      </w:r>
      <w:r w:rsidR="00EE78FF" w:rsidRPr="00EE78FF">
        <w:rPr>
          <w:rFonts w:ascii="Verdana" w:eastAsia="Calibri" w:hAnsi="Verdana" w:cs="Arial"/>
        </w:rPr>
        <w:t xml:space="preserve"> vigencia</w:t>
      </w:r>
      <w:r w:rsidR="00141C1B">
        <w:rPr>
          <w:rFonts w:ascii="Verdana" w:eastAsia="Calibri" w:hAnsi="Verdana" w:cs="Arial"/>
        </w:rPr>
        <w:t xml:space="preserve"> 2026</w:t>
      </w:r>
      <w:r w:rsidR="00EE78FF" w:rsidRPr="00EE78FF">
        <w:rPr>
          <w:rFonts w:ascii="Verdana" w:eastAsia="Calibri" w:hAnsi="Verdana" w:cs="Arial"/>
        </w:rPr>
        <w:t>.</w:t>
      </w:r>
    </w:p>
    <w:p w14:paraId="615F83F8" w14:textId="77777777" w:rsidR="002C7BEA" w:rsidRPr="002C7BEA" w:rsidRDefault="002C7BEA" w:rsidP="002C7BEA">
      <w:pPr>
        <w:spacing w:after="0" w:line="276" w:lineRule="auto"/>
        <w:jc w:val="both"/>
        <w:rPr>
          <w:rFonts w:ascii="Verdana" w:eastAsia="Calibri" w:hAnsi="Verdana" w:cs="Arial"/>
        </w:rPr>
      </w:pPr>
    </w:p>
    <w:p w14:paraId="4EE431BB" w14:textId="77777777" w:rsidR="00533FFF" w:rsidRPr="00AB06F3" w:rsidRDefault="00533FFF" w:rsidP="00164ED5">
      <w:pPr>
        <w:pStyle w:val="Prrafodelista"/>
        <w:numPr>
          <w:ilvl w:val="0"/>
          <w:numId w:val="26"/>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1FD9AF7F" w14:textId="69F3C83A" w:rsidR="00442ED5" w:rsidRPr="00442ED5" w:rsidRDefault="00442ED5" w:rsidP="00442ED5">
      <w:pPr>
        <w:pStyle w:val="Descripcin"/>
        <w:keepNext/>
        <w:jc w:val="center"/>
        <w:rPr>
          <w:rFonts w:ascii="Verdana" w:eastAsia="Verdana" w:hAnsi="Verdana" w:cs="Arial"/>
          <w:i w:val="0"/>
          <w:iCs w:val="0"/>
          <w:color w:val="000000" w:themeColor="text1"/>
        </w:rPr>
      </w:pPr>
      <w:bookmarkStart w:id="70" w:name="_Toc225283177"/>
      <w:r w:rsidRPr="00442ED5">
        <w:rPr>
          <w:rFonts w:ascii="Verdana" w:eastAsia="Verdana" w:hAnsi="Verdana" w:cs="Arial"/>
          <w:i w:val="0"/>
          <w:iCs w:val="0"/>
          <w:color w:val="000000" w:themeColor="text1"/>
        </w:rPr>
        <w:t xml:space="preserve">Tabla </w:t>
      </w:r>
      <w:r w:rsidRPr="00442ED5">
        <w:rPr>
          <w:rFonts w:ascii="Verdana" w:eastAsia="Verdana" w:hAnsi="Verdana" w:cs="Arial"/>
          <w:i w:val="0"/>
          <w:iCs w:val="0"/>
          <w:color w:val="000000" w:themeColor="text1"/>
        </w:rPr>
        <w:fldChar w:fldCharType="begin"/>
      </w:r>
      <w:r w:rsidRPr="00442ED5">
        <w:rPr>
          <w:rFonts w:ascii="Verdana" w:eastAsia="Verdana" w:hAnsi="Verdana" w:cs="Arial"/>
          <w:i w:val="0"/>
          <w:iCs w:val="0"/>
          <w:color w:val="000000" w:themeColor="text1"/>
        </w:rPr>
        <w:instrText xml:space="preserve"> SEQ Tabla \* ARABIC </w:instrText>
      </w:r>
      <w:r w:rsidRPr="00442ED5">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65</w:t>
      </w:r>
      <w:r w:rsidRPr="00442ED5">
        <w:rPr>
          <w:rFonts w:ascii="Verdana" w:eastAsia="Verdana" w:hAnsi="Verdana" w:cs="Arial"/>
          <w:i w:val="0"/>
          <w:iCs w:val="0"/>
          <w:color w:val="000000" w:themeColor="text1"/>
        </w:rPr>
        <w:fldChar w:fldCharType="end"/>
      </w:r>
      <w:r w:rsidRPr="00442ED5">
        <w:rPr>
          <w:rFonts w:ascii="Verdana" w:eastAsia="Verdana" w:hAnsi="Verdana" w:cs="Arial"/>
          <w:i w:val="0"/>
          <w:iCs w:val="0"/>
          <w:color w:val="000000" w:themeColor="text1"/>
        </w:rPr>
        <w:t>. Desafíos y retos del indicador C.MT.6.N</w:t>
      </w:r>
      <w:bookmarkEnd w:id="70"/>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Pr>
      <w:tblGrid>
        <w:gridCol w:w="1408"/>
        <w:gridCol w:w="3265"/>
        <w:gridCol w:w="4155"/>
      </w:tblGrid>
      <w:tr w:rsidR="00533FFF" w:rsidRPr="00AB06F3" w14:paraId="1E8DD6BA" w14:textId="77777777" w:rsidTr="005F457D">
        <w:trPr>
          <w:trHeight w:val="300"/>
          <w:tblHeader/>
        </w:trPr>
        <w:tc>
          <w:tcPr>
            <w:tcW w:w="1408" w:type="dxa"/>
            <w:tcMar>
              <w:left w:w="108" w:type="dxa"/>
              <w:right w:w="108" w:type="dxa"/>
            </w:tcMar>
          </w:tcPr>
          <w:p w14:paraId="05B973F9" w14:textId="77777777" w:rsidR="00533FFF" w:rsidRPr="00436D99" w:rsidRDefault="00533FFF"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3265" w:type="dxa"/>
            <w:tcMar>
              <w:left w:w="108" w:type="dxa"/>
              <w:right w:w="108" w:type="dxa"/>
            </w:tcMar>
          </w:tcPr>
          <w:p w14:paraId="36A2C085" w14:textId="77777777" w:rsidR="00533FFF" w:rsidRPr="00436D99" w:rsidRDefault="00533FFF"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4155" w:type="dxa"/>
            <w:tcMar>
              <w:left w:w="108" w:type="dxa"/>
              <w:right w:w="108" w:type="dxa"/>
            </w:tcMar>
          </w:tcPr>
          <w:p w14:paraId="1CC0767A" w14:textId="77777777" w:rsidR="00533FFF" w:rsidRPr="00436D99" w:rsidRDefault="00533FFF"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533FFF" w:rsidRPr="00AB06F3" w14:paraId="5481B41D" w14:textId="77777777" w:rsidTr="005F457D">
        <w:trPr>
          <w:trHeight w:val="300"/>
        </w:trPr>
        <w:tc>
          <w:tcPr>
            <w:tcW w:w="1408" w:type="dxa"/>
            <w:tcMar>
              <w:left w:w="108" w:type="dxa"/>
              <w:right w:w="108" w:type="dxa"/>
            </w:tcMar>
          </w:tcPr>
          <w:p w14:paraId="42735E15" w14:textId="7AD36CA7" w:rsidR="00533FFF" w:rsidRPr="00AB06F3" w:rsidRDefault="00987D10" w:rsidP="005F457D">
            <w:pPr>
              <w:spacing w:line="276" w:lineRule="auto"/>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Institucional y climático </w:t>
            </w:r>
          </w:p>
        </w:tc>
        <w:tc>
          <w:tcPr>
            <w:tcW w:w="3265" w:type="dxa"/>
            <w:tcMar>
              <w:left w:w="108" w:type="dxa"/>
              <w:right w:w="108" w:type="dxa"/>
            </w:tcMar>
          </w:tcPr>
          <w:p w14:paraId="2C2260F7" w14:textId="77777777" w:rsidR="00D9622E" w:rsidRDefault="00D9622E" w:rsidP="00164ED5">
            <w:pPr>
              <w:pStyle w:val="Prrafodelista"/>
              <w:numPr>
                <w:ilvl w:val="0"/>
                <w:numId w:val="14"/>
              </w:numPr>
              <w:tabs>
                <w:tab w:val="left" w:pos="318"/>
              </w:tabs>
              <w:spacing w:line="276" w:lineRule="auto"/>
              <w:ind w:left="35" w:firstLine="23"/>
              <w:rPr>
                <w:rFonts w:ascii="Verdana" w:eastAsia="Verdana" w:hAnsi="Verdana" w:cs="Arial"/>
                <w:color w:val="000000" w:themeColor="text1"/>
                <w:sz w:val="18"/>
                <w:szCs w:val="18"/>
              </w:rPr>
            </w:pPr>
            <w:r w:rsidRPr="00D9622E">
              <w:rPr>
                <w:rFonts w:ascii="Verdana" w:eastAsia="Verdana" w:hAnsi="Verdana" w:cs="Arial"/>
                <w:color w:val="000000" w:themeColor="text1"/>
                <w:sz w:val="18"/>
                <w:szCs w:val="18"/>
              </w:rPr>
              <w:t>El ETCR El Doncello presentó cambios en la forma asociativa de la comunidad, lo cual generó retrasos en el proceso de adjudicación de la tierra, la formalización del ETCR y, en consecuencia, en su proceso de consolidación.</w:t>
            </w:r>
          </w:p>
          <w:p w14:paraId="5EED3487" w14:textId="1266AB07" w:rsidR="00E915E0" w:rsidRPr="00540F8A" w:rsidRDefault="009F14CF" w:rsidP="00164ED5">
            <w:pPr>
              <w:pStyle w:val="Prrafodelista"/>
              <w:numPr>
                <w:ilvl w:val="0"/>
                <w:numId w:val="14"/>
              </w:numPr>
              <w:tabs>
                <w:tab w:val="left" w:pos="318"/>
              </w:tabs>
              <w:spacing w:line="276" w:lineRule="auto"/>
              <w:ind w:left="35" w:firstLine="23"/>
              <w:rPr>
                <w:rFonts w:ascii="Verdana" w:eastAsia="Verdana" w:hAnsi="Verdana" w:cs="Arial"/>
                <w:color w:val="000000" w:themeColor="text1"/>
                <w:sz w:val="18"/>
                <w:szCs w:val="18"/>
              </w:rPr>
            </w:pPr>
            <w:r w:rsidRPr="009F14CF">
              <w:rPr>
                <w:rFonts w:ascii="Verdana" w:eastAsia="Verdana" w:hAnsi="Verdana" w:cs="Arial"/>
                <w:color w:val="000000" w:themeColor="text1"/>
                <w:sz w:val="18"/>
                <w:szCs w:val="18"/>
              </w:rPr>
              <w:t>En el ETCR La Guajira, ubicado en un predio de 1.445 hectáreas y 7.910 metros cuadrados en el municipio de Acacías (Meta), las condiciones climáticas del departamento afectaron la ejecución de las obras y el transporte de materiales necesarios para el desarrollo del proyecto.</w:t>
            </w:r>
          </w:p>
        </w:tc>
        <w:tc>
          <w:tcPr>
            <w:tcW w:w="4155" w:type="dxa"/>
            <w:tcMar>
              <w:left w:w="108" w:type="dxa"/>
              <w:right w:w="108" w:type="dxa"/>
            </w:tcMar>
          </w:tcPr>
          <w:p w14:paraId="5D0A7746" w14:textId="18E61EA9" w:rsidR="007A5309" w:rsidRDefault="00AF0837" w:rsidP="00164ED5">
            <w:pPr>
              <w:pStyle w:val="Prrafodelista"/>
              <w:numPr>
                <w:ilvl w:val="0"/>
                <w:numId w:val="14"/>
              </w:numPr>
              <w:tabs>
                <w:tab w:val="left" w:pos="181"/>
              </w:tabs>
              <w:spacing w:line="276" w:lineRule="auto"/>
              <w:ind w:left="0" w:firstLine="28"/>
              <w:rPr>
                <w:rFonts w:ascii="Verdana" w:eastAsia="Verdana" w:hAnsi="Verdana" w:cs="Arial"/>
                <w:color w:val="000000" w:themeColor="text1"/>
                <w:sz w:val="18"/>
                <w:szCs w:val="18"/>
              </w:rPr>
            </w:pPr>
            <w:r w:rsidRPr="00AF0837">
              <w:rPr>
                <w:rFonts w:ascii="Verdana" w:eastAsia="Verdana" w:hAnsi="Verdana" w:cs="Arial"/>
                <w:color w:val="000000" w:themeColor="text1"/>
                <w:sz w:val="18"/>
                <w:szCs w:val="18"/>
              </w:rPr>
              <w:t>Para el ETCR El Doncello se adelantaron mesas de trabajo con la Agencia Nacional de Tierras (ANT) y el Ministerio de Vivienda, Ciudad y Territorio (MVCT), con el fin de abordar los procesos de adjudicación individual de los lotes donde se construyeron las viviendas, así como la adjudicación del predio de uso común.</w:t>
            </w:r>
          </w:p>
          <w:p w14:paraId="4D050445" w14:textId="02A5F5E2" w:rsidR="000E4E1E" w:rsidRPr="0081519E" w:rsidRDefault="00026CF1" w:rsidP="00164ED5">
            <w:pPr>
              <w:pStyle w:val="Prrafodelista"/>
              <w:numPr>
                <w:ilvl w:val="0"/>
                <w:numId w:val="14"/>
              </w:numPr>
              <w:tabs>
                <w:tab w:val="left" w:pos="181"/>
              </w:tabs>
              <w:spacing w:line="276" w:lineRule="auto"/>
              <w:ind w:left="0" w:firstLine="28"/>
              <w:jc w:val="both"/>
              <w:rPr>
                <w:rFonts w:ascii="Verdana" w:eastAsia="Verdana" w:hAnsi="Verdana" w:cs="Arial"/>
                <w:color w:val="000000" w:themeColor="text1"/>
                <w:sz w:val="18"/>
                <w:szCs w:val="18"/>
              </w:rPr>
            </w:pPr>
            <w:r w:rsidRPr="00026CF1">
              <w:rPr>
                <w:rFonts w:ascii="Verdana" w:eastAsia="Verdana" w:hAnsi="Verdana" w:cs="Arial"/>
                <w:color w:val="000000" w:themeColor="text1"/>
                <w:sz w:val="18"/>
                <w:szCs w:val="18"/>
              </w:rPr>
              <w:t>Para el ETCR La Guajira se tiene previsto realizar el evento de entrega de las obras durante el primer bimestre de 2026, lo que permitirá avanzar en la socialización del plan de consolidación y en la expedición del acto administrativo para su reconocimiento como Área Especial de Reincorporación Colectiva (AERC).</w:t>
            </w:r>
          </w:p>
        </w:tc>
      </w:tr>
    </w:tbl>
    <w:p w14:paraId="56C470C7" w14:textId="78C24D60" w:rsidR="00B45725" w:rsidRDefault="00B45725" w:rsidP="00031DF5">
      <w:pPr>
        <w:pStyle w:val="Prrafodelista"/>
        <w:numPr>
          <w:ilvl w:val="2"/>
          <w:numId w:val="13"/>
        </w:numPr>
        <w:spacing w:before="240" w:after="0" w:line="276" w:lineRule="auto"/>
        <w:rPr>
          <w:rFonts w:ascii="Verdana" w:eastAsia="Verdana" w:hAnsi="Verdana" w:cs="Arial"/>
          <w:b/>
          <w:bCs/>
          <w:color w:val="000000" w:themeColor="text1"/>
          <w:sz w:val="24"/>
          <w:szCs w:val="24"/>
        </w:rPr>
      </w:pPr>
      <w:r>
        <w:rPr>
          <w:rFonts w:ascii="Verdana" w:eastAsia="Verdana" w:hAnsi="Verdana" w:cs="Arial"/>
          <w:b/>
          <w:bCs/>
          <w:color w:val="000000" w:themeColor="text1"/>
          <w:sz w:val="24"/>
          <w:szCs w:val="24"/>
        </w:rPr>
        <w:lastRenderedPageBreak/>
        <w:t xml:space="preserve">Producto: </w:t>
      </w:r>
      <w:r w:rsidR="00BA1A58" w:rsidRPr="00BA1A58">
        <w:rPr>
          <w:rFonts w:ascii="Verdana" w:eastAsia="Verdana" w:hAnsi="Verdana" w:cs="Arial"/>
          <w:b/>
          <w:bCs/>
          <w:color w:val="000000" w:themeColor="text1"/>
          <w:sz w:val="24"/>
          <w:szCs w:val="24"/>
        </w:rPr>
        <w:t>Atención a enfermedades de alto costo y rehabilitación de lesiones derivadas del conflicto</w:t>
      </w:r>
    </w:p>
    <w:p w14:paraId="4927724F" w14:textId="5A837571" w:rsidR="00B45725" w:rsidRDefault="00B45725" w:rsidP="00B45725">
      <w:pPr>
        <w:spacing w:before="240" w:after="0" w:line="276" w:lineRule="auto"/>
        <w:rPr>
          <w:rFonts w:ascii="Verdana" w:eastAsia="Verdana" w:hAnsi="Verdana" w:cs="Arial"/>
          <w:b/>
          <w:bCs/>
          <w:color w:val="000000" w:themeColor="text1"/>
          <w:sz w:val="24"/>
          <w:szCs w:val="24"/>
        </w:rPr>
      </w:pPr>
      <w:r w:rsidRPr="009E02FB">
        <w:rPr>
          <w:rFonts w:ascii="Verdana" w:eastAsia="Verdana" w:hAnsi="Verdana" w:cs="Arial"/>
          <w:b/>
          <w:bCs/>
          <w:color w:val="000000" w:themeColor="text1"/>
          <w:sz w:val="24"/>
          <w:szCs w:val="24"/>
        </w:rPr>
        <w:t>C.</w:t>
      </w:r>
      <w:r>
        <w:rPr>
          <w:rFonts w:ascii="Verdana" w:eastAsia="Verdana" w:hAnsi="Verdana" w:cs="Arial"/>
          <w:b/>
          <w:bCs/>
          <w:color w:val="000000" w:themeColor="text1"/>
          <w:sz w:val="24"/>
          <w:szCs w:val="24"/>
        </w:rPr>
        <w:t>MT.8.N</w:t>
      </w:r>
      <w:r w:rsidR="00BA1A58">
        <w:rPr>
          <w:rFonts w:ascii="Verdana" w:eastAsia="Verdana" w:hAnsi="Verdana" w:cs="Arial"/>
          <w:b/>
          <w:bCs/>
          <w:color w:val="000000" w:themeColor="text1"/>
          <w:sz w:val="24"/>
          <w:szCs w:val="24"/>
        </w:rPr>
        <w:t xml:space="preserve"> </w:t>
      </w:r>
      <w:r w:rsidR="001E0D35" w:rsidRPr="001E0D35">
        <w:rPr>
          <w:rFonts w:ascii="Verdana" w:eastAsia="Verdana" w:hAnsi="Verdana" w:cs="Arial"/>
          <w:color w:val="000000" w:themeColor="text1"/>
          <w:sz w:val="24"/>
          <w:szCs w:val="24"/>
        </w:rPr>
        <w:t>Avance de planes de reincorporación individual de las personas con discapacidad, personas mayores y personas con enfermedades de alto costo</w:t>
      </w:r>
    </w:p>
    <w:p w14:paraId="4FF2FFE0" w14:textId="77777777" w:rsidR="001E0D35" w:rsidRDefault="001E0D35" w:rsidP="00C25470">
      <w:pPr>
        <w:pStyle w:val="Descripcin"/>
        <w:keepNext/>
        <w:jc w:val="center"/>
        <w:rPr>
          <w:rFonts w:ascii="Verdana" w:eastAsia="Verdana" w:hAnsi="Verdana" w:cs="Arial"/>
          <w:i w:val="0"/>
          <w:iCs w:val="0"/>
          <w:color w:val="000000" w:themeColor="text1"/>
        </w:rPr>
      </w:pPr>
    </w:p>
    <w:p w14:paraId="3F4FDA75" w14:textId="615052D7" w:rsidR="00C25470" w:rsidRPr="00C25470" w:rsidRDefault="00C25470" w:rsidP="00C25470">
      <w:pPr>
        <w:pStyle w:val="Descripcin"/>
        <w:keepNext/>
        <w:jc w:val="center"/>
        <w:rPr>
          <w:rFonts w:ascii="Verdana" w:eastAsia="Verdana" w:hAnsi="Verdana" w:cs="Arial"/>
          <w:i w:val="0"/>
          <w:iCs w:val="0"/>
          <w:color w:val="000000" w:themeColor="text1"/>
        </w:rPr>
      </w:pPr>
      <w:bookmarkStart w:id="71" w:name="_Toc225283178"/>
      <w:r w:rsidRPr="00C25470">
        <w:rPr>
          <w:rFonts w:ascii="Verdana" w:eastAsia="Verdana" w:hAnsi="Verdana" w:cs="Arial"/>
          <w:i w:val="0"/>
          <w:iCs w:val="0"/>
          <w:color w:val="000000" w:themeColor="text1"/>
        </w:rPr>
        <w:t xml:space="preserve">Tabla </w:t>
      </w:r>
      <w:r w:rsidRPr="00C25470">
        <w:rPr>
          <w:rFonts w:ascii="Verdana" w:eastAsia="Verdana" w:hAnsi="Verdana" w:cs="Arial"/>
          <w:i w:val="0"/>
          <w:iCs w:val="0"/>
          <w:color w:val="000000" w:themeColor="text1"/>
        </w:rPr>
        <w:fldChar w:fldCharType="begin"/>
      </w:r>
      <w:r w:rsidRPr="00C25470">
        <w:rPr>
          <w:rFonts w:ascii="Verdana" w:eastAsia="Verdana" w:hAnsi="Verdana" w:cs="Arial"/>
          <w:i w:val="0"/>
          <w:iCs w:val="0"/>
          <w:color w:val="000000" w:themeColor="text1"/>
        </w:rPr>
        <w:instrText xml:space="preserve"> SEQ Tabla \* ARABIC </w:instrText>
      </w:r>
      <w:r w:rsidRPr="00C25470">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66</w:t>
      </w:r>
      <w:r w:rsidRPr="00C25470">
        <w:rPr>
          <w:rFonts w:ascii="Verdana" w:eastAsia="Verdana" w:hAnsi="Verdana" w:cs="Arial"/>
          <w:i w:val="0"/>
          <w:iCs w:val="0"/>
          <w:color w:val="000000" w:themeColor="text1"/>
        </w:rPr>
        <w:fldChar w:fldCharType="end"/>
      </w:r>
      <w:r w:rsidRPr="00C25470">
        <w:rPr>
          <w:rFonts w:ascii="Verdana" w:eastAsia="Verdana" w:hAnsi="Verdana" w:cs="Arial"/>
          <w:i w:val="0"/>
          <w:iCs w:val="0"/>
          <w:color w:val="000000" w:themeColor="text1"/>
        </w:rPr>
        <w:t>. Detalle de avance en el indicador C.MT.8.N</w:t>
      </w:r>
      <w:bookmarkEnd w:id="71"/>
    </w:p>
    <w:tbl>
      <w:tblPr>
        <w:tblStyle w:val="Tablaconcuadrcula1clara-nfasis4"/>
        <w:tblW w:w="8835" w:type="dxa"/>
        <w:tblBorders>
          <w:top w:val="single" w:sz="8" w:space="0" w:color="FFE599" w:themeColor="accent4" w:themeTint="66"/>
          <w:left w:val="single" w:sz="8" w:space="0" w:color="FFE599" w:themeColor="accent4" w:themeTint="66"/>
          <w:bottom w:val="single" w:sz="8" w:space="0" w:color="FFE599" w:themeColor="accent4" w:themeTint="66"/>
          <w:right w:val="single" w:sz="8" w:space="0" w:color="FFE599" w:themeColor="accent4" w:themeTint="66"/>
          <w:insideH w:val="single" w:sz="12" w:space="0" w:color="FFD966" w:themeColor="accent4" w:themeTint="99"/>
          <w:insideV w:val="single" w:sz="8" w:space="0" w:color="FFE599" w:themeColor="accent4" w:themeTint="66"/>
        </w:tblBorders>
        <w:tblLayout w:type="fixed"/>
        <w:tblLook w:val="04A0" w:firstRow="1" w:lastRow="0" w:firstColumn="1" w:lastColumn="0" w:noHBand="0" w:noVBand="1"/>
        <w:tblCaption w:val="Detalle de avance en el indicador"/>
        <w:tblDescription w:val="Tabla que continene el nombre del indicador, el tipo, fecha de inicio, fecha fin y el avance al 2025."/>
      </w:tblPr>
      <w:tblGrid>
        <w:gridCol w:w="4101"/>
        <w:gridCol w:w="1062"/>
        <w:gridCol w:w="1217"/>
        <w:gridCol w:w="1211"/>
        <w:gridCol w:w="1244"/>
      </w:tblGrid>
      <w:tr w:rsidR="00B45725" w:rsidRPr="00AB06F3" w14:paraId="4CB92B82" w14:textId="77777777" w:rsidTr="00026CF1">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101" w:type="dxa"/>
            <w:tcMar>
              <w:left w:w="108" w:type="dxa"/>
              <w:right w:w="108" w:type="dxa"/>
            </w:tcMar>
            <w:vAlign w:val="center"/>
          </w:tcPr>
          <w:p w14:paraId="3D896D35" w14:textId="77777777" w:rsidR="00B45725" w:rsidRPr="00AB06F3" w:rsidRDefault="00B45725" w:rsidP="005F457D">
            <w:pPr>
              <w:spacing w:line="276" w:lineRule="auto"/>
              <w:jc w:val="center"/>
              <w:rPr>
                <w:rFonts w:ascii="Verdana" w:hAnsi="Verdana" w:cs="Arial"/>
              </w:rPr>
            </w:pPr>
            <w:r w:rsidRPr="00AB06F3">
              <w:rPr>
                <w:rFonts w:ascii="Verdana" w:eastAsia="Verdana" w:hAnsi="Verdana" w:cs="Arial"/>
                <w:sz w:val="18"/>
                <w:szCs w:val="18"/>
              </w:rPr>
              <w:t>Indicador</w:t>
            </w:r>
          </w:p>
        </w:tc>
        <w:tc>
          <w:tcPr>
            <w:tcW w:w="1062" w:type="dxa"/>
            <w:tcMar>
              <w:left w:w="108" w:type="dxa"/>
              <w:right w:w="108" w:type="dxa"/>
            </w:tcMar>
            <w:vAlign w:val="center"/>
          </w:tcPr>
          <w:p w14:paraId="5C2F5448" w14:textId="77777777" w:rsidR="00B45725" w:rsidRPr="00AB06F3" w:rsidRDefault="00B4572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Tipo</w:t>
            </w:r>
          </w:p>
        </w:tc>
        <w:tc>
          <w:tcPr>
            <w:tcW w:w="1217" w:type="dxa"/>
            <w:tcMar>
              <w:left w:w="108" w:type="dxa"/>
              <w:right w:w="108" w:type="dxa"/>
            </w:tcMar>
            <w:vAlign w:val="center"/>
          </w:tcPr>
          <w:p w14:paraId="1EC139AE" w14:textId="77777777" w:rsidR="00B45725" w:rsidRPr="00AB06F3" w:rsidRDefault="00B4572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Inicio</w:t>
            </w:r>
          </w:p>
        </w:tc>
        <w:tc>
          <w:tcPr>
            <w:tcW w:w="1211" w:type="dxa"/>
            <w:tcMar>
              <w:left w:w="108" w:type="dxa"/>
              <w:right w:w="108" w:type="dxa"/>
            </w:tcMar>
            <w:vAlign w:val="center"/>
          </w:tcPr>
          <w:p w14:paraId="75CE94C9" w14:textId="77777777" w:rsidR="00B45725" w:rsidRPr="00AB06F3" w:rsidRDefault="00B4572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Fin</w:t>
            </w:r>
          </w:p>
        </w:tc>
        <w:tc>
          <w:tcPr>
            <w:tcW w:w="1244" w:type="dxa"/>
            <w:tcMar>
              <w:left w:w="108" w:type="dxa"/>
              <w:right w:w="108" w:type="dxa"/>
            </w:tcMar>
          </w:tcPr>
          <w:p w14:paraId="112ED54A" w14:textId="77777777" w:rsidR="00B45725" w:rsidRPr="00AB06F3" w:rsidRDefault="00B45725" w:rsidP="005F457D">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color w:val="000000" w:themeColor="text1"/>
                <w:sz w:val="18"/>
                <w:szCs w:val="18"/>
              </w:rPr>
              <w:t>Avance al 202</w:t>
            </w:r>
            <w:r>
              <w:rPr>
                <w:rFonts w:ascii="Verdana" w:eastAsia="Verdana" w:hAnsi="Verdana" w:cs="Arial"/>
                <w:color w:val="000000" w:themeColor="text1"/>
                <w:sz w:val="18"/>
                <w:szCs w:val="18"/>
              </w:rPr>
              <w:t>5</w:t>
            </w:r>
          </w:p>
        </w:tc>
      </w:tr>
      <w:tr w:rsidR="00B45725" w:rsidRPr="00AB06F3" w14:paraId="1B30B7DD" w14:textId="77777777" w:rsidTr="00026CF1">
        <w:trPr>
          <w:trHeight w:val="675"/>
        </w:trPr>
        <w:tc>
          <w:tcPr>
            <w:cnfStyle w:val="001000000000" w:firstRow="0" w:lastRow="0" w:firstColumn="1" w:lastColumn="0" w:oddVBand="0" w:evenVBand="0" w:oddHBand="0" w:evenHBand="0" w:firstRowFirstColumn="0" w:firstRowLastColumn="0" w:lastRowFirstColumn="0" w:lastRowLastColumn="0"/>
            <w:tcW w:w="4101" w:type="dxa"/>
            <w:tcMar>
              <w:left w:w="108" w:type="dxa"/>
              <w:right w:w="108" w:type="dxa"/>
            </w:tcMar>
            <w:vAlign w:val="center"/>
          </w:tcPr>
          <w:p w14:paraId="76C6F9D5" w14:textId="49597917" w:rsidR="00B45725" w:rsidRPr="001E0D35" w:rsidRDefault="001E0D35" w:rsidP="005F457D">
            <w:pPr>
              <w:spacing w:before="240" w:line="276" w:lineRule="auto"/>
              <w:rPr>
                <w:rFonts w:ascii="Verdana" w:eastAsia="Verdana" w:hAnsi="Verdana" w:cs="Arial"/>
                <w:b w:val="0"/>
                <w:bCs w:val="0"/>
                <w:color w:val="000000" w:themeColor="text1"/>
                <w:sz w:val="18"/>
                <w:szCs w:val="18"/>
              </w:rPr>
            </w:pPr>
            <w:r w:rsidRPr="001E0D35">
              <w:rPr>
                <w:rFonts w:ascii="Verdana" w:eastAsia="Verdana" w:hAnsi="Verdana" w:cs="Arial"/>
                <w:b w:val="0"/>
                <w:bCs w:val="0"/>
                <w:color w:val="000000" w:themeColor="text1"/>
                <w:sz w:val="18"/>
                <w:szCs w:val="18"/>
              </w:rPr>
              <w:t>C.MT.8.N Avance de planes de reincorporación individual de las personas con discapacidad, personas mayores y personas con enfermedades de alto costo</w:t>
            </w:r>
          </w:p>
        </w:tc>
        <w:tc>
          <w:tcPr>
            <w:tcW w:w="1062" w:type="dxa"/>
            <w:tcMar>
              <w:left w:w="108" w:type="dxa"/>
              <w:right w:w="108" w:type="dxa"/>
            </w:tcMar>
            <w:vAlign w:val="center"/>
          </w:tcPr>
          <w:p w14:paraId="4A6B57E4" w14:textId="77777777" w:rsidR="00B45725" w:rsidRPr="00AB06F3" w:rsidRDefault="00B4572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Temático</w:t>
            </w:r>
          </w:p>
        </w:tc>
        <w:tc>
          <w:tcPr>
            <w:tcW w:w="1217" w:type="dxa"/>
            <w:shd w:val="clear" w:color="auto" w:fill="FFFFFF" w:themeFill="background1"/>
            <w:tcMar>
              <w:left w:w="108" w:type="dxa"/>
              <w:right w:w="108" w:type="dxa"/>
            </w:tcMar>
            <w:vAlign w:val="center"/>
          </w:tcPr>
          <w:p w14:paraId="131794E1" w14:textId="77777777" w:rsidR="00B45725" w:rsidRPr="00AB06F3" w:rsidRDefault="00B4572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25</w:t>
            </w:r>
          </w:p>
        </w:tc>
        <w:tc>
          <w:tcPr>
            <w:tcW w:w="1211" w:type="dxa"/>
            <w:shd w:val="clear" w:color="auto" w:fill="FFFFFF" w:themeFill="background1"/>
            <w:tcMar>
              <w:left w:w="108" w:type="dxa"/>
              <w:right w:w="108" w:type="dxa"/>
            </w:tcMar>
            <w:vAlign w:val="center"/>
          </w:tcPr>
          <w:p w14:paraId="0AB7476B" w14:textId="77777777" w:rsidR="00B45725" w:rsidRPr="00AB06F3" w:rsidRDefault="00B4572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06F3">
              <w:rPr>
                <w:rFonts w:ascii="Verdana" w:eastAsia="Verdana" w:hAnsi="Verdana" w:cs="Arial"/>
                <w:sz w:val="18"/>
                <w:szCs w:val="18"/>
              </w:rPr>
              <w:t>20</w:t>
            </w:r>
            <w:r>
              <w:rPr>
                <w:rFonts w:ascii="Verdana" w:eastAsia="Verdana" w:hAnsi="Verdana" w:cs="Arial"/>
                <w:sz w:val="18"/>
                <w:szCs w:val="18"/>
              </w:rPr>
              <w:t>31</w:t>
            </w:r>
          </w:p>
        </w:tc>
        <w:tc>
          <w:tcPr>
            <w:tcW w:w="1244" w:type="dxa"/>
            <w:tcMar>
              <w:left w:w="108" w:type="dxa"/>
              <w:right w:w="108" w:type="dxa"/>
            </w:tcMar>
          </w:tcPr>
          <w:p w14:paraId="343B98E2" w14:textId="3368ABB4" w:rsidR="00B45725" w:rsidRDefault="00B45725"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6D64D4BD" w14:textId="77777777" w:rsidR="00026CF1" w:rsidRDefault="00026CF1"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p>
          <w:p w14:paraId="5042512B" w14:textId="33D400E4" w:rsidR="00B45725" w:rsidRPr="00AB06F3" w:rsidRDefault="00AB7EF6" w:rsidP="005F457D">
            <w:pPr>
              <w:spacing w:line="276" w:lineRule="auto"/>
              <w:jc w:val="center"/>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eastAsia="Verdana" w:hAnsi="Verdana" w:cs="Arial"/>
                <w:color w:val="000000" w:themeColor="text1"/>
                <w:sz w:val="18"/>
                <w:szCs w:val="18"/>
              </w:rPr>
              <w:t>10,62</w:t>
            </w:r>
            <w:r w:rsidR="00B45725" w:rsidRPr="00AB06F3">
              <w:rPr>
                <w:rFonts w:ascii="Verdana" w:eastAsia="Verdana" w:hAnsi="Verdana" w:cs="Arial"/>
                <w:color w:val="000000" w:themeColor="text1"/>
                <w:sz w:val="18"/>
                <w:szCs w:val="18"/>
              </w:rPr>
              <w:t xml:space="preserve">% </w:t>
            </w:r>
          </w:p>
        </w:tc>
      </w:tr>
    </w:tbl>
    <w:p w14:paraId="48D7A3AE"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231B3066" w14:textId="77777777" w:rsidR="00B45725" w:rsidRDefault="00B45725" w:rsidP="00B45725">
      <w:pPr>
        <w:spacing w:before="240" w:after="0" w:line="276" w:lineRule="auto"/>
        <w:rPr>
          <w:rFonts w:ascii="Verdana" w:eastAsia="Verdana" w:hAnsi="Verdana" w:cs="Arial"/>
          <w:sz w:val="18"/>
          <w:szCs w:val="18"/>
        </w:rPr>
      </w:pPr>
    </w:p>
    <w:p w14:paraId="651C8448" w14:textId="77777777" w:rsidR="00B45725" w:rsidRPr="00A12308" w:rsidRDefault="00B45725" w:rsidP="00164ED5">
      <w:pPr>
        <w:pStyle w:val="Prrafodelista"/>
        <w:numPr>
          <w:ilvl w:val="0"/>
          <w:numId w:val="27"/>
        </w:numPr>
        <w:spacing w:after="0" w:line="276" w:lineRule="auto"/>
        <w:jc w:val="both"/>
        <w:rPr>
          <w:rFonts w:ascii="Verdana" w:hAnsi="Verdana" w:cs="Arial"/>
        </w:rPr>
      </w:pPr>
      <w:r w:rsidRPr="00AB06F3">
        <w:rPr>
          <w:rFonts w:ascii="Verdana" w:eastAsia="Verdana" w:hAnsi="Verdana" w:cs="Arial"/>
          <w:color w:val="000000" w:themeColor="text1"/>
          <w:sz w:val="24"/>
          <w:szCs w:val="24"/>
        </w:rPr>
        <w:t>¿Cómo lo hicimos y con qué recursos?</w:t>
      </w:r>
    </w:p>
    <w:p w14:paraId="07796C11" w14:textId="77777777" w:rsidR="00BD75E5" w:rsidRDefault="00BD75E5" w:rsidP="00BD75E5">
      <w:pPr>
        <w:spacing w:after="0" w:line="276" w:lineRule="auto"/>
        <w:ind w:left="360"/>
        <w:jc w:val="both"/>
        <w:rPr>
          <w:rFonts w:ascii="Verdana" w:eastAsia="Calibri" w:hAnsi="Verdana" w:cs="Arial"/>
        </w:rPr>
      </w:pPr>
    </w:p>
    <w:p w14:paraId="28969CB4" w14:textId="68F75E84" w:rsidR="00BD75E5" w:rsidRPr="00BD75E5" w:rsidRDefault="00BD75E5" w:rsidP="00C401E4">
      <w:pPr>
        <w:spacing w:after="0" w:line="276" w:lineRule="auto"/>
        <w:jc w:val="both"/>
        <w:rPr>
          <w:rFonts w:ascii="Verdana" w:eastAsia="Calibri" w:hAnsi="Verdana" w:cs="Arial"/>
        </w:rPr>
      </w:pPr>
      <w:r w:rsidRPr="00BD75E5">
        <w:rPr>
          <w:rFonts w:ascii="Verdana" w:eastAsia="Calibri" w:hAnsi="Verdana" w:cs="Arial"/>
        </w:rPr>
        <w:t>Al cierre de la vigencia 2025, el indicador registra un avance acumulado del 10,62% en los Planes de Reincorporación Individual de personas mayores con discapacidad y con enfermedades de alto costo</w:t>
      </w:r>
      <w:r w:rsidR="00B46435">
        <w:rPr>
          <w:rFonts w:ascii="Verdana" w:eastAsia="Calibri" w:hAnsi="Verdana" w:cs="Arial"/>
        </w:rPr>
        <w:t xml:space="preserve">. </w:t>
      </w:r>
      <w:r w:rsidR="00326084">
        <w:rPr>
          <w:rFonts w:ascii="Verdana" w:eastAsia="Calibri" w:hAnsi="Verdana" w:cs="Arial"/>
        </w:rPr>
        <w:t xml:space="preserve">Este resultado se calcula </w:t>
      </w:r>
      <w:r w:rsidRPr="00BD75E5">
        <w:rPr>
          <w:rFonts w:ascii="Verdana" w:eastAsia="Calibri" w:hAnsi="Verdana" w:cs="Arial"/>
        </w:rPr>
        <w:t xml:space="preserve">sobre 2.656 personas con planes evaluados en estado activo o ausente hasta por cuatro meses en el </w:t>
      </w:r>
      <w:r w:rsidR="005357B6">
        <w:rPr>
          <w:rFonts w:ascii="Verdana" w:eastAsia="Calibri" w:hAnsi="Verdana" w:cs="Arial"/>
        </w:rPr>
        <w:t>Sistema de Información para la Reintegración y la Reincorporación</w:t>
      </w:r>
      <w:r w:rsidR="00FF065F">
        <w:rPr>
          <w:rFonts w:ascii="Verdana" w:eastAsia="Calibri" w:hAnsi="Verdana" w:cs="Arial"/>
        </w:rPr>
        <w:t xml:space="preserve"> (</w:t>
      </w:r>
      <w:r w:rsidRPr="00BD75E5">
        <w:rPr>
          <w:rFonts w:ascii="Verdana" w:eastAsia="Calibri" w:hAnsi="Verdana" w:cs="Arial"/>
        </w:rPr>
        <w:t>SIRR</w:t>
      </w:r>
      <w:r w:rsidR="00FF065F">
        <w:rPr>
          <w:rFonts w:ascii="Verdana" w:eastAsia="Calibri" w:hAnsi="Verdana" w:cs="Arial"/>
        </w:rPr>
        <w:t>)</w:t>
      </w:r>
      <w:r w:rsidRPr="00BD75E5">
        <w:rPr>
          <w:rFonts w:ascii="Verdana" w:eastAsia="Calibri" w:hAnsi="Verdana" w:cs="Arial"/>
        </w:rPr>
        <w:t xml:space="preserve">. Si bien el porcentaje refleja el carácter progresivo de los planes individuales, evidencia una gestión sostenida y focalizada </w:t>
      </w:r>
      <w:r w:rsidR="000D5ED0">
        <w:rPr>
          <w:rFonts w:ascii="Verdana" w:eastAsia="Calibri" w:hAnsi="Verdana" w:cs="Arial"/>
        </w:rPr>
        <w:t xml:space="preserve">en </w:t>
      </w:r>
      <w:r w:rsidRPr="00BD75E5">
        <w:rPr>
          <w:rFonts w:ascii="Verdana" w:eastAsia="Calibri" w:hAnsi="Verdana" w:cs="Arial"/>
        </w:rPr>
        <w:t>población con mayores condiciones de vulnerabilidad</w:t>
      </w:r>
      <w:r w:rsidR="00E02418">
        <w:rPr>
          <w:rFonts w:ascii="Verdana" w:eastAsia="Calibri" w:hAnsi="Verdana" w:cs="Arial"/>
        </w:rPr>
        <w:t xml:space="preserve"> </w:t>
      </w:r>
      <w:r w:rsidR="00E02418" w:rsidRPr="00E02418">
        <w:rPr>
          <w:rFonts w:ascii="Verdana" w:eastAsia="Calibri" w:hAnsi="Verdana" w:cs="Arial"/>
        </w:rPr>
        <w:t>en el marco de la implementación del Programa de Reincorporación Integral</w:t>
      </w:r>
      <w:r w:rsidRPr="00BD75E5">
        <w:rPr>
          <w:rFonts w:ascii="Verdana" w:eastAsia="Calibri" w:hAnsi="Verdana" w:cs="Arial"/>
        </w:rPr>
        <w:t>.</w:t>
      </w:r>
    </w:p>
    <w:p w14:paraId="35066887" w14:textId="77777777" w:rsidR="00BD75E5" w:rsidRPr="00BD75E5" w:rsidRDefault="00BD75E5" w:rsidP="00C401E4">
      <w:pPr>
        <w:pStyle w:val="Prrafodelista"/>
        <w:spacing w:after="0" w:line="276" w:lineRule="auto"/>
        <w:jc w:val="both"/>
        <w:rPr>
          <w:rFonts w:ascii="Verdana" w:eastAsia="Calibri" w:hAnsi="Verdana" w:cs="Arial"/>
        </w:rPr>
      </w:pPr>
    </w:p>
    <w:p w14:paraId="18D6DEF3" w14:textId="77777777" w:rsidR="005F581D" w:rsidRDefault="00687131" w:rsidP="00C401E4">
      <w:pPr>
        <w:spacing w:after="0" w:line="276" w:lineRule="auto"/>
        <w:jc w:val="both"/>
        <w:rPr>
          <w:rFonts w:ascii="Verdana" w:eastAsia="Calibri" w:hAnsi="Verdana" w:cs="Arial"/>
        </w:rPr>
      </w:pPr>
      <w:r w:rsidRPr="00687131">
        <w:rPr>
          <w:rFonts w:ascii="Verdana" w:eastAsia="Calibri" w:hAnsi="Verdana" w:cs="Arial"/>
        </w:rPr>
        <w:t>Entre los principales logros del 2025 </w:t>
      </w:r>
      <w:r w:rsidR="00E02418">
        <w:rPr>
          <w:rFonts w:ascii="Verdana" w:eastAsia="Calibri" w:hAnsi="Verdana" w:cs="Arial"/>
        </w:rPr>
        <w:t xml:space="preserve">durante 2025 en materia de </w:t>
      </w:r>
      <w:r w:rsidRPr="00687131">
        <w:rPr>
          <w:rFonts w:ascii="Verdana" w:eastAsia="Calibri" w:hAnsi="Verdana" w:cs="Arial"/>
        </w:rPr>
        <w:t>atención diferencial </w:t>
      </w:r>
      <w:r w:rsidR="00E02418">
        <w:rPr>
          <w:rFonts w:ascii="Verdana" w:eastAsia="Calibri" w:hAnsi="Verdana" w:cs="Arial"/>
        </w:rPr>
        <w:t xml:space="preserve">a </w:t>
      </w:r>
      <w:r w:rsidRPr="00687131">
        <w:rPr>
          <w:rFonts w:ascii="Verdana" w:eastAsia="Calibri" w:hAnsi="Verdana" w:cs="Arial"/>
        </w:rPr>
        <w:t>firmantes de paz con discapacidad, enfermedades de alto costo y</w:t>
      </w:r>
      <w:r w:rsidR="00B304B4">
        <w:rPr>
          <w:rFonts w:ascii="Verdana" w:eastAsia="Calibri" w:hAnsi="Verdana" w:cs="Arial"/>
        </w:rPr>
        <w:t xml:space="preserve"> </w:t>
      </w:r>
      <w:r w:rsidRPr="00687131">
        <w:rPr>
          <w:rFonts w:ascii="Verdana" w:eastAsia="Calibri" w:hAnsi="Verdana" w:cs="Arial"/>
        </w:rPr>
        <w:t xml:space="preserve">personas mayores, se destaca el fortalecimiento de la Mesa Técnica CaPAZcidades en el marco de la transformación de la política de reincorporación social y económica </w:t>
      </w:r>
      <w:r w:rsidR="00DB17D8">
        <w:rPr>
          <w:rFonts w:ascii="Verdana" w:eastAsia="Calibri" w:hAnsi="Verdana" w:cs="Arial"/>
        </w:rPr>
        <w:t xml:space="preserve">hacia </w:t>
      </w:r>
      <w:r w:rsidRPr="00687131">
        <w:rPr>
          <w:rFonts w:ascii="Verdana" w:eastAsia="Calibri" w:hAnsi="Verdana" w:cs="Arial"/>
        </w:rPr>
        <w:t>el Programa de Reincorporación Integral. </w:t>
      </w:r>
      <w:r w:rsidR="005F581D" w:rsidRPr="005F581D">
        <w:rPr>
          <w:rFonts w:ascii="Verdana" w:eastAsia="Calibri" w:hAnsi="Verdana" w:cs="Arial"/>
        </w:rPr>
        <w:t>Esta instancia técnica de articulación y seguimiento interinstitucional a los compromisos derivados de las sesiones 117 y 153 del Consejo Nacional de Reincorporación (CNR) adelantó, durante la vigencia, un proceso de revisión de sus ejes y acciones afirmativas, con el propósito de alinearlos con la estructura y líneas estratégicas del PRI, armonizando su funcionamiento con el Sistema Nacional de Reincorporación</w:t>
      </w:r>
      <w:r w:rsidRPr="00687131">
        <w:rPr>
          <w:rFonts w:ascii="Verdana" w:eastAsia="Calibri" w:hAnsi="Verdana" w:cs="Arial"/>
        </w:rPr>
        <w:t>. </w:t>
      </w:r>
    </w:p>
    <w:p w14:paraId="0F7E6006" w14:textId="77777777" w:rsidR="005F581D" w:rsidRDefault="005F581D" w:rsidP="00BD75E5">
      <w:pPr>
        <w:spacing w:after="0" w:line="276" w:lineRule="auto"/>
        <w:rPr>
          <w:rFonts w:ascii="Verdana" w:eastAsia="Calibri" w:hAnsi="Verdana" w:cs="Arial"/>
        </w:rPr>
      </w:pPr>
    </w:p>
    <w:p w14:paraId="3FFDE8E5" w14:textId="528AE7CF" w:rsidR="00007414" w:rsidRPr="00694C10" w:rsidRDefault="00687131" w:rsidP="00C401E4">
      <w:pPr>
        <w:spacing w:after="0" w:line="276" w:lineRule="auto"/>
        <w:jc w:val="both"/>
        <w:rPr>
          <w:rFonts w:ascii="Verdana" w:eastAsia="Calibri" w:hAnsi="Verdana" w:cs="Arial"/>
        </w:rPr>
      </w:pPr>
      <w:r w:rsidRPr="00687131">
        <w:rPr>
          <w:rFonts w:ascii="Verdana" w:eastAsia="Calibri" w:hAnsi="Verdana" w:cs="Arial"/>
        </w:rPr>
        <w:lastRenderedPageBreak/>
        <w:t xml:space="preserve">Durante 2025 se </w:t>
      </w:r>
      <w:r w:rsidR="005F581D">
        <w:rPr>
          <w:rFonts w:ascii="Verdana" w:eastAsia="Calibri" w:hAnsi="Verdana" w:cs="Arial"/>
        </w:rPr>
        <w:t xml:space="preserve">realizaron </w:t>
      </w:r>
      <w:r w:rsidRPr="00687131">
        <w:rPr>
          <w:rFonts w:ascii="Verdana" w:eastAsia="Calibri" w:hAnsi="Verdana" w:cs="Arial"/>
        </w:rPr>
        <w:t>10 sesiones ordinarias y una sesión extraordinaria de la Mesa CaPAZcidades. </w:t>
      </w:r>
      <w:r w:rsidR="00694C10" w:rsidRPr="00694C10">
        <w:rPr>
          <w:rFonts w:ascii="Verdana" w:eastAsia="Calibri" w:hAnsi="Verdana" w:cs="Arial"/>
        </w:rPr>
        <w:t>Entre los principales hitos se destacan la aprobación de su reglamento interno y la armonización de su documento técnico con el Programa de Reincorporación Integral (PRI) y el Sistema Nacional de Reincorporación (SNR). Asimismo, se avanzó en la socialización del CONPES de discapacidad 2026–2035 y en el seguimiento al proceso de certificación de discapacidad, reportándose 323 firmantes de paz certificados durante 2025, de acuerdo con la información del Ministerio de Salud y Protección Social.</w:t>
      </w:r>
    </w:p>
    <w:p w14:paraId="33EC9F8B" w14:textId="77777777" w:rsidR="00694C10" w:rsidRDefault="00694C10" w:rsidP="00C401E4">
      <w:pPr>
        <w:spacing w:after="0" w:line="276" w:lineRule="auto"/>
        <w:jc w:val="both"/>
        <w:rPr>
          <w:rFonts w:ascii="Verdana" w:eastAsia="Calibri" w:hAnsi="Verdana" w:cs="Arial"/>
          <w:u w:val="single"/>
        </w:rPr>
      </w:pPr>
    </w:p>
    <w:p w14:paraId="1AA0F8EB" w14:textId="791992AF" w:rsidR="00007414" w:rsidRDefault="0081721D" w:rsidP="00C401E4">
      <w:pPr>
        <w:spacing w:after="0" w:line="276" w:lineRule="auto"/>
        <w:jc w:val="both"/>
        <w:rPr>
          <w:rFonts w:ascii="Verdana" w:eastAsia="Calibri" w:hAnsi="Verdana" w:cs="Arial"/>
        </w:rPr>
      </w:pPr>
      <w:r w:rsidRPr="0081721D">
        <w:rPr>
          <w:rFonts w:ascii="Verdana" w:eastAsia="Calibri" w:hAnsi="Verdana" w:cs="Arial"/>
        </w:rPr>
        <w:t>En el eje de salud y protección social, se garantizó la atención oftalmológica especializada de diez (10) firmantes de paz con baja visión o discapacidad visual, priorizados mediante el Contrato 2002 de 2024 suscrito con Oftalmos S.A. (Clínica Barraquer). Como resultado de este proceso, derivado del Convenio Marco 056 de 2024, se realizaron intervenciones de alta complejidad que contribuyeron a mejorar la autonomía funcional y la calidad de vida de las personas beneficiarias.</w:t>
      </w:r>
    </w:p>
    <w:p w14:paraId="4EB96057" w14:textId="77777777" w:rsidR="0077302C" w:rsidRPr="0081721D" w:rsidRDefault="0077302C" w:rsidP="00C401E4">
      <w:pPr>
        <w:spacing w:after="0" w:line="276" w:lineRule="auto"/>
        <w:jc w:val="both"/>
        <w:rPr>
          <w:rFonts w:ascii="Verdana" w:eastAsia="Calibri" w:hAnsi="Verdana" w:cs="Arial"/>
        </w:rPr>
      </w:pPr>
    </w:p>
    <w:p w14:paraId="120BA616" w14:textId="2978AFB1" w:rsidR="00B45725" w:rsidRPr="00AB06F3" w:rsidRDefault="0081721D" w:rsidP="00C401E4">
      <w:pPr>
        <w:spacing w:after="0" w:line="276" w:lineRule="auto"/>
        <w:jc w:val="both"/>
        <w:rPr>
          <w:rFonts w:ascii="Verdana" w:hAnsi="Verdana" w:cs="Arial"/>
        </w:rPr>
      </w:pPr>
      <w:r w:rsidRPr="0081721D">
        <w:rPr>
          <w:rFonts w:ascii="Verdana" w:eastAsia="Calibri" w:hAnsi="Verdana" w:cs="Arial"/>
        </w:rPr>
        <w:t>Por su parte, en la dimensión económica, se consolidó el Memorando de Entendimiento con la Fundación ONCE para la Solidaridad con las Personas Ciegas de América Latina (FOAL), orientado a vincular a firmantes de paz con discapacidad visual priorizada a rutas de inclusión laboral y de rehabilitación integral. En el marco de esta alianza se logró la identificación y caracterización territorial de 31 personas con discapacidad visual y baja visión como potenciales beneficiarias de estas rutas, así como la habilitación de los flujos de información requeridos para su activación. Estos avances contribuyen al fortalecimiento de la inclusión integral y diferencial en los procesos de reincorporación.</w:t>
      </w:r>
      <w:r w:rsidR="00B45725" w:rsidRPr="0081721D">
        <w:rPr>
          <w:rFonts w:ascii="Verdana" w:eastAsia="Calibri" w:hAnsi="Verdana" w:cs="Arial"/>
        </w:rPr>
        <w:t xml:space="preserve">   </w:t>
      </w:r>
    </w:p>
    <w:p w14:paraId="38CB4FEA" w14:textId="77777777" w:rsidR="0081721D" w:rsidRPr="0081721D" w:rsidRDefault="0081721D" w:rsidP="0081721D">
      <w:pPr>
        <w:spacing w:after="0" w:line="276" w:lineRule="auto"/>
        <w:jc w:val="both"/>
        <w:rPr>
          <w:rFonts w:ascii="Verdana" w:hAnsi="Verdana" w:cs="Arial"/>
          <w:b/>
          <w:bCs/>
        </w:rPr>
      </w:pPr>
    </w:p>
    <w:p w14:paraId="09958643" w14:textId="049DCBC8" w:rsidR="00997832" w:rsidRPr="00997832" w:rsidRDefault="00997832" w:rsidP="00997832">
      <w:pPr>
        <w:pStyle w:val="Descripcin"/>
        <w:keepNext/>
        <w:jc w:val="center"/>
        <w:rPr>
          <w:rFonts w:ascii="Verdana" w:eastAsia="Verdana" w:hAnsi="Verdana" w:cs="Arial"/>
          <w:i w:val="0"/>
          <w:iCs w:val="0"/>
          <w:color w:val="000000" w:themeColor="text1"/>
        </w:rPr>
      </w:pPr>
      <w:bookmarkStart w:id="72" w:name="_Toc225283179"/>
      <w:r w:rsidRPr="00A140D1">
        <w:rPr>
          <w:rFonts w:ascii="Verdana" w:eastAsia="Verdana" w:hAnsi="Verdana" w:cs="Arial"/>
          <w:i w:val="0"/>
          <w:iCs w:val="0"/>
          <w:color w:val="000000" w:themeColor="text1"/>
        </w:rPr>
        <w:t xml:space="preserve">Tabla </w:t>
      </w:r>
      <w:r w:rsidRPr="00A140D1">
        <w:rPr>
          <w:rFonts w:ascii="Verdana" w:eastAsia="Verdana" w:hAnsi="Verdana" w:cs="Arial"/>
          <w:i w:val="0"/>
          <w:iCs w:val="0"/>
          <w:color w:val="000000" w:themeColor="text1"/>
        </w:rPr>
        <w:fldChar w:fldCharType="begin"/>
      </w:r>
      <w:r w:rsidRPr="00A140D1">
        <w:rPr>
          <w:rFonts w:ascii="Verdana" w:eastAsia="Verdana" w:hAnsi="Verdana" w:cs="Arial"/>
          <w:i w:val="0"/>
          <w:iCs w:val="0"/>
          <w:color w:val="000000" w:themeColor="text1"/>
        </w:rPr>
        <w:instrText xml:space="preserve"> SEQ Tabla \* ARABIC </w:instrText>
      </w:r>
      <w:r w:rsidRPr="00A140D1">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67</w:t>
      </w:r>
      <w:r w:rsidRPr="00A140D1">
        <w:rPr>
          <w:rFonts w:ascii="Verdana" w:eastAsia="Verdana" w:hAnsi="Verdana" w:cs="Arial"/>
          <w:i w:val="0"/>
          <w:iCs w:val="0"/>
          <w:color w:val="000000" w:themeColor="text1"/>
        </w:rPr>
        <w:fldChar w:fldCharType="end"/>
      </w:r>
      <w:r w:rsidRPr="00A140D1">
        <w:rPr>
          <w:rFonts w:ascii="Verdana" w:eastAsia="Verdana" w:hAnsi="Verdana" w:cs="Arial"/>
          <w:i w:val="0"/>
          <w:iCs w:val="0"/>
          <w:color w:val="000000" w:themeColor="text1"/>
        </w:rPr>
        <w:t>. Detalle de las principales acciones del indicador C.MT.8.N</w:t>
      </w:r>
      <w:bookmarkEnd w:id="72"/>
    </w:p>
    <w:tbl>
      <w:tblPr>
        <w:tblStyle w:val="Tablaconcuadrcula"/>
        <w:tblW w:w="0" w:type="auto"/>
        <w:tblInd w:w="137"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las principales acciones del indicador"/>
        <w:tblDescription w:val="Tabla que contiene el indicador del PMI, principales logros y recursos 2025"/>
      </w:tblPr>
      <w:tblGrid>
        <w:gridCol w:w="1985"/>
        <w:gridCol w:w="4677"/>
        <w:gridCol w:w="1985"/>
      </w:tblGrid>
      <w:tr w:rsidR="00B45725" w:rsidRPr="00AB06F3" w14:paraId="4F22127D" w14:textId="77777777" w:rsidTr="005F457D">
        <w:trPr>
          <w:trHeight w:val="113"/>
        </w:trPr>
        <w:tc>
          <w:tcPr>
            <w:tcW w:w="1985" w:type="dxa"/>
            <w:tcMar>
              <w:left w:w="108" w:type="dxa"/>
              <w:right w:w="108" w:type="dxa"/>
            </w:tcMar>
          </w:tcPr>
          <w:p w14:paraId="6E1CEA88" w14:textId="77777777" w:rsidR="00B45725" w:rsidRPr="00436D99" w:rsidRDefault="00B45725"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Indicador del PMI</w:t>
            </w:r>
          </w:p>
        </w:tc>
        <w:tc>
          <w:tcPr>
            <w:tcW w:w="4677" w:type="dxa"/>
            <w:tcMar>
              <w:left w:w="108" w:type="dxa"/>
              <w:right w:w="108" w:type="dxa"/>
            </w:tcMar>
          </w:tcPr>
          <w:p w14:paraId="665E51B3" w14:textId="77777777" w:rsidR="00B45725" w:rsidRPr="00436D99" w:rsidRDefault="00B45725"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Principales Logros</w:t>
            </w:r>
          </w:p>
        </w:tc>
        <w:tc>
          <w:tcPr>
            <w:tcW w:w="1985" w:type="dxa"/>
            <w:tcMar>
              <w:left w:w="108" w:type="dxa"/>
              <w:right w:w="108" w:type="dxa"/>
            </w:tcMar>
          </w:tcPr>
          <w:p w14:paraId="4B712841" w14:textId="77777777" w:rsidR="00B45725" w:rsidRPr="00436D99" w:rsidRDefault="00B45725" w:rsidP="005F457D">
            <w:pPr>
              <w:spacing w:line="276" w:lineRule="auto"/>
              <w:jc w:val="center"/>
              <w:rPr>
                <w:rFonts w:ascii="Verdana" w:hAnsi="Verdana" w:cs="Arial"/>
                <w:b/>
                <w:bCs/>
              </w:rPr>
            </w:pPr>
            <w:r w:rsidRPr="00436D99">
              <w:rPr>
                <w:rFonts w:ascii="Verdana" w:eastAsia="Verdana" w:hAnsi="Verdana" w:cs="Arial"/>
                <w:b/>
                <w:bCs/>
                <w:color w:val="000000" w:themeColor="text1"/>
                <w:sz w:val="18"/>
                <w:szCs w:val="18"/>
              </w:rPr>
              <w:t>Recursos 202</w:t>
            </w:r>
            <w:r>
              <w:rPr>
                <w:rFonts w:ascii="Verdana" w:eastAsia="Verdana" w:hAnsi="Verdana" w:cs="Arial"/>
                <w:b/>
                <w:bCs/>
                <w:color w:val="000000" w:themeColor="text1"/>
                <w:sz w:val="18"/>
                <w:szCs w:val="18"/>
              </w:rPr>
              <w:t>5</w:t>
            </w:r>
          </w:p>
        </w:tc>
      </w:tr>
      <w:tr w:rsidR="00B45725" w:rsidRPr="00AB06F3" w14:paraId="03A61D92" w14:textId="77777777" w:rsidTr="00F25B1F">
        <w:trPr>
          <w:trHeight w:val="978"/>
        </w:trPr>
        <w:tc>
          <w:tcPr>
            <w:tcW w:w="1985" w:type="dxa"/>
            <w:tcMar>
              <w:left w:w="108" w:type="dxa"/>
              <w:right w:w="108" w:type="dxa"/>
            </w:tcMar>
          </w:tcPr>
          <w:p w14:paraId="692C2D2F" w14:textId="6EEE64FC" w:rsidR="00B45725" w:rsidRPr="001E0D35" w:rsidRDefault="001E0D35" w:rsidP="00C401E4">
            <w:pPr>
              <w:spacing w:line="276" w:lineRule="auto"/>
              <w:jc w:val="both"/>
              <w:rPr>
                <w:rFonts w:ascii="Verdana" w:hAnsi="Verdana" w:cs="Arial"/>
              </w:rPr>
            </w:pPr>
            <w:r w:rsidRPr="001E0D35">
              <w:rPr>
                <w:rFonts w:ascii="Verdana" w:eastAsia="Verdana" w:hAnsi="Verdana" w:cs="Arial"/>
                <w:color w:val="000000" w:themeColor="text1"/>
                <w:sz w:val="18"/>
                <w:szCs w:val="18"/>
              </w:rPr>
              <w:t>C.MT.8.N Avance de planes de reincorporación individual de las personas con discapacidad, personas mayores y personas con enfermedades de alto costo</w:t>
            </w:r>
          </w:p>
        </w:tc>
        <w:tc>
          <w:tcPr>
            <w:tcW w:w="4677" w:type="dxa"/>
            <w:tcMar>
              <w:left w:w="108" w:type="dxa"/>
              <w:right w:w="108" w:type="dxa"/>
            </w:tcMar>
          </w:tcPr>
          <w:p w14:paraId="01D16CA3" w14:textId="34A44FDF" w:rsidR="00F80D2F" w:rsidRPr="00E32FCF"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10,62% de avance acumulado en los </w:t>
            </w:r>
            <w:r w:rsidR="0094672B">
              <w:rPr>
                <w:rFonts w:ascii="Verdana" w:eastAsia="Verdana" w:hAnsi="Verdana" w:cs="Arial"/>
                <w:color w:val="000000" w:themeColor="text1"/>
                <w:sz w:val="18"/>
                <w:szCs w:val="18"/>
              </w:rPr>
              <w:t>P</w:t>
            </w:r>
            <w:r w:rsidRPr="00E32FCF">
              <w:rPr>
                <w:rFonts w:ascii="Verdana" w:eastAsia="Verdana" w:hAnsi="Verdana" w:cs="Arial"/>
                <w:color w:val="000000" w:themeColor="text1"/>
                <w:sz w:val="18"/>
                <w:szCs w:val="18"/>
              </w:rPr>
              <w:t xml:space="preserve">lanes </w:t>
            </w:r>
            <w:r w:rsidR="0094672B">
              <w:rPr>
                <w:rFonts w:ascii="Verdana" w:eastAsia="Verdana" w:hAnsi="Verdana" w:cs="Arial"/>
                <w:color w:val="000000" w:themeColor="text1"/>
                <w:sz w:val="18"/>
                <w:szCs w:val="18"/>
              </w:rPr>
              <w:t xml:space="preserve">de Reicorporación Individual de </w:t>
            </w:r>
            <w:r w:rsidRPr="00E32FCF">
              <w:rPr>
                <w:rFonts w:ascii="Verdana" w:eastAsia="Verdana" w:hAnsi="Verdana" w:cs="Arial"/>
                <w:color w:val="000000" w:themeColor="text1"/>
                <w:sz w:val="18"/>
                <w:szCs w:val="18"/>
              </w:rPr>
              <w:t>2.656 personas mayores, con discapacidad y con enfermedades de alto costo.</w:t>
            </w:r>
          </w:p>
          <w:p w14:paraId="355B99BA" w14:textId="5FCD1DA3" w:rsidR="00F064FE" w:rsidRPr="00E32FCF"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Seguimiento técnico a </w:t>
            </w:r>
            <w:r w:rsidR="0037252A">
              <w:rPr>
                <w:rFonts w:ascii="Verdana" w:eastAsia="Verdana" w:hAnsi="Verdana" w:cs="Arial"/>
                <w:color w:val="000000" w:themeColor="text1"/>
                <w:sz w:val="18"/>
                <w:szCs w:val="18"/>
              </w:rPr>
              <w:t xml:space="preserve">los </w:t>
            </w:r>
            <w:r w:rsidRPr="00E32FCF">
              <w:rPr>
                <w:rFonts w:ascii="Verdana" w:eastAsia="Verdana" w:hAnsi="Verdana" w:cs="Arial"/>
                <w:color w:val="000000" w:themeColor="text1"/>
                <w:sz w:val="18"/>
                <w:szCs w:val="18"/>
              </w:rPr>
              <w:t xml:space="preserve">planes evaluados en estado activo y ausente hasta </w:t>
            </w:r>
            <w:r w:rsidR="0037252A">
              <w:rPr>
                <w:rFonts w:ascii="Verdana" w:eastAsia="Verdana" w:hAnsi="Verdana" w:cs="Arial"/>
                <w:color w:val="000000" w:themeColor="text1"/>
                <w:sz w:val="18"/>
                <w:szCs w:val="18"/>
              </w:rPr>
              <w:t xml:space="preserve">por </w:t>
            </w:r>
            <w:r w:rsidRPr="00E32FCF">
              <w:rPr>
                <w:rFonts w:ascii="Verdana" w:eastAsia="Verdana" w:hAnsi="Verdana" w:cs="Arial"/>
                <w:color w:val="000000" w:themeColor="text1"/>
                <w:sz w:val="18"/>
                <w:szCs w:val="18"/>
              </w:rPr>
              <w:t xml:space="preserve">4 meses en </w:t>
            </w:r>
            <w:r w:rsidR="002E677B" w:rsidRPr="00E32FCF">
              <w:rPr>
                <w:rFonts w:ascii="Verdana" w:eastAsia="Verdana" w:hAnsi="Verdana" w:cs="Arial"/>
                <w:color w:val="000000" w:themeColor="text1"/>
                <w:sz w:val="18"/>
                <w:szCs w:val="18"/>
              </w:rPr>
              <w:t>Sistema de Información para la Reintegración y la Reincorporación</w:t>
            </w:r>
            <w:r w:rsidRPr="00E32FCF">
              <w:rPr>
                <w:rFonts w:ascii="Verdana" w:eastAsia="Verdana" w:hAnsi="Verdana" w:cs="Arial"/>
                <w:color w:val="000000" w:themeColor="text1"/>
                <w:sz w:val="18"/>
                <w:szCs w:val="18"/>
              </w:rPr>
              <w:t>.</w:t>
            </w:r>
          </w:p>
          <w:p w14:paraId="5E9C4E22" w14:textId="55C54E1D" w:rsidR="00546392" w:rsidRPr="00DA2828"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Realización de </w:t>
            </w:r>
            <w:r w:rsidR="00864B26" w:rsidRPr="00E32FCF">
              <w:rPr>
                <w:rFonts w:ascii="Verdana" w:eastAsia="Verdana" w:hAnsi="Verdana" w:cs="Arial"/>
                <w:color w:val="000000" w:themeColor="text1"/>
                <w:sz w:val="18"/>
                <w:szCs w:val="18"/>
              </w:rPr>
              <w:t>10</w:t>
            </w:r>
            <w:r w:rsidRPr="00E32FCF">
              <w:rPr>
                <w:rFonts w:ascii="Verdana" w:eastAsia="Verdana" w:hAnsi="Verdana" w:cs="Arial"/>
                <w:color w:val="000000" w:themeColor="text1"/>
                <w:sz w:val="18"/>
                <w:szCs w:val="18"/>
              </w:rPr>
              <w:t xml:space="preserve"> </w:t>
            </w:r>
            <w:r w:rsidR="00291C66">
              <w:rPr>
                <w:rFonts w:ascii="Verdana" w:eastAsia="Verdana" w:hAnsi="Verdana" w:cs="Arial"/>
                <w:color w:val="000000" w:themeColor="text1"/>
                <w:sz w:val="18"/>
                <w:szCs w:val="18"/>
              </w:rPr>
              <w:t>sesiones de la Mesa T</w:t>
            </w:r>
            <w:r w:rsidRPr="00E32FCF">
              <w:rPr>
                <w:rFonts w:ascii="Verdana" w:eastAsia="Verdana" w:hAnsi="Verdana" w:cs="Arial"/>
                <w:color w:val="000000" w:themeColor="text1"/>
                <w:sz w:val="18"/>
                <w:szCs w:val="18"/>
              </w:rPr>
              <w:t>écnica</w:t>
            </w:r>
            <w:r w:rsidR="00C54981" w:rsidRPr="00E32FCF">
              <w:rPr>
                <w:rFonts w:ascii="Verdana" w:eastAsia="Verdana" w:hAnsi="Verdana" w:cs="Arial"/>
                <w:color w:val="000000" w:themeColor="text1"/>
                <w:sz w:val="18"/>
                <w:szCs w:val="18"/>
              </w:rPr>
              <w:t xml:space="preserve"> CaPAZcidades</w:t>
            </w:r>
            <w:r w:rsidR="00546392" w:rsidRPr="00E32FCF">
              <w:rPr>
                <w:rFonts w:ascii="Verdana" w:eastAsia="Verdana" w:hAnsi="Verdana" w:cs="Arial"/>
                <w:color w:val="000000" w:themeColor="text1"/>
                <w:sz w:val="18"/>
                <w:szCs w:val="18"/>
              </w:rPr>
              <w:t>, con a</w:t>
            </w:r>
            <w:r w:rsidRPr="00E32FCF">
              <w:rPr>
                <w:rFonts w:ascii="Verdana" w:eastAsia="Verdana" w:hAnsi="Verdana" w:cs="Arial"/>
                <w:color w:val="000000" w:themeColor="text1"/>
                <w:sz w:val="18"/>
                <w:szCs w:val="18"/>
              </w:rPr>
              <w:t xml:space="preserve">probación de </w:t>
            </w:r>
            <w:r w:rsidR="00291C66">
              <w:rPr>
                <w:rFonts w:ascii="Verdana" w:eastAsia="Verdana" w:hAnsi="Verdana" w:cs="Arial"/>
                <w:color w:val="000000" w:themeColor="text1"/>
                <w:sz w:val="18"/>
                <w:szCs w:val="18"/>
              </w:rPr>
              <w:t xml:space="preserve">su </w:t>
            </w:r>
            <w:r w:rsidRPr="00E32FCF">
              <w:rPr>
                <w:rFonts w:ascii="Verdana" w:eastAsia="Verdana" w:hAnsi="Verdana" w:cs="Arial"/>
                <w:color w:val="000000" w:themeColor="text1"/>
                <w:sz w:val="18"/>
                <w:szCs w:val="18"/>
              </w:rPr>
              <w:t xml:space="preserve">reglamento interno y armonización </w:t>
            </w:r>
            <w:r w:rsidR="00291C66">
              <w:rPr>
                <w:rFonts w:ascii="Verdana" w:eastAsia="Verdana" w:hAnsi="Verdana" w:cs="Arial"/>
                <w:color w:val="000000" w:themeColor="text1"/>
                <w:sz w:val="18"/>
                <w:szCs w:val="18"/>
              </w:rPr>
              <w:t xml:space="preserve">de su documento </w:t>
            </w:r>
            <w:r w:rsidR="000753A4">
              <w:rPr>
                <w:rFonts w:ascii="Verdana" w:eastAsia="Verdana" w:hAnsi="Verdana" w:cs="Arial"/>
                <w:color w:val="000000" w:themeColor="text1"/>
                <w:sz w:val="18"/>
                <w:szCs w:val="18"/>
              </w:rPr>
              <w:t xml:space="preserve">técnico con el </w:t>
            </w:r>
            <w:r w:rsidRPr="00E32FCF">
              <w:rPr>
                <w:rFonts w:ascii="Verdana" w:eastAsia="Verdana" w:hAnsi="Verdana" w:cs="Arial"/>
                <w:color w:val="000000" w:themeColor="text1"/>
                <w:sz w:val="18"/>
                <w:szCs w:val="18"/>
              </w:rPr>
              <w:t xml:space="preserve">PRI y el </w:t>
            </w:r>
            <w:r w:rsidR="002E677B" w:rsidRPr="00E32FCF">
              <w:rPr>
                <w:rFonts w:ascii="Verdana" w:eastAsia="Verdana" w:hAnsi="Verdana" w:cs="Arial"/>
                <w:color w:val="000000" w:themeColor="text1"/>
                <w:sz w:val="18"/>
                <w:szCs w:val="18"/>
              </w:rPr>
              <w:t>Sistema Nacional de Reincorporación</w:t>
            </w:r>
            <w:r w:rsidRPr="00E32FCF">
              <w:rPr>
                <w:rFonts w:ascii="Verdana" w:eastAsia="Verdana" w:hAnsi="Verdana" w:cs="Arial"/>
                <w:color w:val="000000" w:themeColor="text1"/>
                <w:sz w:val="18"/>
                <w:szCs w:val="18"/>
              </w:rPr>
              <w:t>.</w:t>
            </w:r>
          </w:p>
          <w:p w14:paraId="634C2E3B" w14:textId="77777777" w:rsidR="00DA2828" w:rsidRPr="00DA2828" w:rsidRDefault="00DA2828"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DA2828">
              <w:rPr>
                <w:rFonts w:ascii="Verdana" w:eastAsia="Verdana" w:hAnsi="Verdana" w:cs="Arial"/>
                <w:color w:val="000000" w:themeColor="text1"/>
                <w:sz w:val="18"/>
                <w:szCs w:val="18"/>
              </w:rPr>
              <w:lastRenderedPageBreak/>
              <w:t>Certificación de discapacidad de 323 firmantes de paz, realizada por el Ministerio de Salud y Protección Social.</w:t>
            </w:r>
          </w:p>
          <w:p w14:paraId="4A595BAB" w14:textId="594FBEE6" w:rsidR="00E923E3" w:rsidRPr="00E32FCF"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Atención oftalmológica especializada a 10 firmantes </w:t>
            </w:r>
            <w:r w:rsidR="00E923E3" w:rsidRPr="00E32FCF">
              <w:rPr>
                <w:rFonts w:ascii="Verdana" w:eastAsia="Verdana" w:hAnsi="Verdana" w:cs="Arial"/>
                <w:color w:val="000000" w:themeColor="text1"/>
                <w:sz w:val="18"/>
                <w:szCs w:val="18"/>
              </w:rPr>
              <w:t>de paz con baja visión o discapacidad visual</w:t>
            </w:r>
            <w:r w:rsidR="00A121D5">
              <w:rPr>
                <w:rFonts w:ascii="Verdana" w:eastAsia="Verdana" w:hAnsi="Verdana" w:cs="Arial"/>
                <w:color w:val="000000" w:themeColor="text1"/>
                <w:sz w:val="18"/>
                <w:szCs w:val="18"/>
              </w:rPr>
              <w:t>,</w:t>
            </w:r>
            <w:r w:rsidR="00E923E3" w:rsidRPr="00E32FCF">
              <w:rPr>
                <w:rFonts w:ascii="Verdana" w:eastAsia="Verdana" w:hAnsi="Verdana" w:cs="Arial"/>
                <w:color w:val="000000" w:themeColor="text1"/>
                <w:sz w:val="18"/>
                <w:szCs w:val="18"/>
              </w:rPr>
              <w:t> priorizad</w:t>
            </w:r>
            <w:r w:rsidR="00A121D5">
              <w:rPr>
                <w:rFonts w:ascii="Verdana" w:eastAsia="Verdana" w:hAnsi="Verdana" w:cs="Arial"/>
                <w:color w:val="000000" w:themeColor="text1"/>
                <w:sz w:val="18"/>
                <w:szCs w:val="18"/>
              </w:rPr>
              <w:t xml:space="preserve">os </w:t>
            </w:r>
            <w:r w:rsidR="00E923E3" w:rsidRPr="00E32FCF">
              <w:rPr>
                <w:rFonts w:ascii="Verdana" w:eastAsia="Verdana" w:hAnsi="Verdana" w:cs="Arial"/>
                <w:color w:val="000000" w:themeColor="text1"/>
                <w:sz w:val="18"/>
                <w:szCs w:val="18"/>
              </w:rPr>
              <w:t xml:space="preserve">en el marco del contrato 2002 de 2024. </w:t>
            </w:r>
          </w:p>
          <w:p w14:paraId="4A26A032" w14:textId="339AC064" w:rsidR="00546392" w:rsidRPr="00E32FCF" w:rsidRDefault="00A121D5"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Realización de i</w:t>
            </w:r>
            <w:r w:rsidR="00F80D2F" w:rsidRPr="00E32FCF">
              <w:rPr>
                <w:rFonts w:ascii="Verdana" w:eastAsia="Verdana" w:hAnsi="Verdana" w:cs="Arial"/>
                <w:color w:val="000000" w:themeColor="text1"/>
                <w:sz w:val="18"/>
                <w:szCs w:val="18"/>
              </w:rPr>
              <w:t xml:space="preserve">ntervenciones de alta complejidad </w:t>
            </w:r>
            <w:r>
              <w:rPr>
                <w:rFonts w:ascii="Verdana" w:eastAsia="Verdana" w:hAnsi="Verdana" w:cs="Arial"/>
                <w:color w:val="000000" w:themeColor="text1"/>
                <w:sz w:val="18"/>
                <w:szCs w:val="18"/>
              </w:rPr>
              <w:t xml:space="preserve">que contribuyeron a la </w:t>
            </w:r>
            <w:r w:rsidR="00F80D2F" w:rsidRPr="00E32FCF">
              <w:rPr>
                <w:rFonts w:ascii="Verdana" w:eastAsia="Verdana" w:hAnsi="Verdana" w:cs="Arial"/>
                <w:color w:val="000000" w:themeColor="text1"/>
                <w:sz w:val="18"/>
                <w:szCs w:val="18"/>
              </w:rPr>
              <w:t>recuperación visual y rehabilitación funcional</w:t>
            </w:r>
            <w:r w:rsidR="00F07DF4" w:rsidRPr="00E32FCF">
              <w:rPr>
                <w:rFonts w:ascii="Verdana" w:eastAsia="Verdana" w:hAnsi="Verdana" w:cs="Arial"/>
                <w:color w:val="000000" w:themeColor="text1"/>
                <w:sz w:val="18"/>
                <w:szCs w:val="18"/>
              </w:rPr>
              <w:t xml:space="preserve"> </w:t>
            </w:r>
            <w:r>
              <w:rPr>
                <w:rFonts w:ascii="Verdana" w:eastAsia="Verdana" w:hAnsi="Verdana" w:cs="Arial"/>
                <w:color w:val="000000" w:themeColor="text1"/>
                <w:sz w:val="18"/>
                <w:szCs w:val="18"/>
              </w:rPr>
              <w:t xml:space="preserve">de los beneficiarios </w:t>
            </w:r>
            <w:r w:rsidR="00F07DF4" w:rsidRPr="00E32FCF">
              <w:rPr>
                <w:rFonts w:ascii="Verdana" w:eastAsia="Verdana" w:hAnsi="Verdana" w:cs="Arial"/>
                <w:color w:val="000000" w:themeColor="text1"/>
                <w:sz w:val="18"/>
                <w:szCs w:val="18"/>
              </w:rPr>
              <w:t>en el marco del contrato 2002 de 2024.</w:t>
            </w:r>
          </w:p>
          <w:p w14:paraId="385D7E47" w14:textId="02A2AAF0" w:rsidR="005A39C1" w:rsidRPr="007E50D8" w:rsidRDefault="00F80D2F"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E32FCF">
              <w:rPr>
                <w:rFonts w:ascii="Verdana" w:eastAsia="Verdana" w:hAnsi="Verdana" w:cs="Arial"/>
                <w:color w:val="000000" w:themeColor="text1"/>
                <w:sz w:val="18"/>
                <w:szCs w:val="18"/>
              </w:rPr>
              <w:t xml:space="preserve">Suscripción de convenio de intercambio de información </w:t>
            </w:r>
            <w:r w:rsidR="002F6BD2" w:rsidRPr="002F6BD2">
              <w:rPr>
                <w:rFonts w:ascii="Verdana" w:eastAsia="Verdana" w:hAnsi="Verdana" w:cs="Arial"/>
                <w:color w:val="000000" w:themeColor="text1"/>
                <w:sz w:val="18"/>
                <w:szCs w:val="18"/>
              </w:rPr>
              <w:t>con la Fundación ONCE para la Solidaridad con las Personas Ciegas de América La</w:t>
            </w:r>
            <w:r w:rsidR="002F6BD2" w:rsidRPr="007E50D8">
              <w:rPr>
                <w:rFonts w:ascii="Verdana" w:eastAsia="Verdana" w:hAnsi="Verdana" w:cs="Arial"/>
                <w:color w:val="000000" w:themeColor="text1"/>
                <w:sz w:val="18"/>
                <w:szCs w:val="18"/>
              </w:rPr>
              <w:t>tina (FOAL)</w:t>
            </w:r>
            <w:r w:rsidRPr="007E50D8">
              <w:rPr>
                <w:rFonts w:ascii="Verdana" w:eastAsia="Verdana" w:hAnsi="Verdana" w:cs="Arial"/>
                <w:color w:val="000000" w:themeColor="text1"/>
                <w:sz w:val="18"/>
                <w:szCs w:val="18"/>
              </w:rPr>
              <w:t>.</w:t>
            </w:r>
          </w:p>
          <w:p w14:paraId="5ECE53DE" w14:textId="5CFD0620" w:rsidR="00B45725" w:rsidRPr="00E32FCF" w:rsidRDefault="007E50D8" w:rsidP="00C401E4">
            <w:pPr>
              <w:pStyle w:val="Prrafodelista"/>
              <w:numPr>
                <w:ilvl w:val="0"/>
                <w:numId w:val="36"/>
              </w:numPr>
              <w:tabs>
                <w:tab w:val="left" w:pos="176"/>
              </w:tabs>
              <w:spacing w:line="276" w:lineRule="auto"/>
              <w:jc w:val="both"/>
              <w:rPr>
                <w:rFonts w:ascii="Verdana" w:eastAsia="Verdana" w:hAnsi="Verdana" w:cs="Arial"/>
                <w:color w:val="000000" w:themeColor="text1"/>
                <w:sz w:val="18"/>
                <w:szCs w:val="18"/>
              </w:rPr>
            </w:pPr>
            <w:r w:rsidRPr="007E50D8">
              <w:rPr>
                <w:rFonts w:ascii="Verdana" w:eastAsia="Verdana" w:hAnsi="Verdana" w:cs="Arial"/>
                <w:color w:val="000000" w:themeColor="text1"/>
                <w:sz w:val="18"/>
                <w:szCs w:val="18"/>
              </w:rPr>
              <w:t>Identificación y caracterización de 31 firmantes de paz con discapacidad visual, potenciales beneficiarios de rutas de empleabilidad y rehabilitación integral, en el marco del trabajo conjunto con FOAL.</w:t>
            </w:r>
          </w:p>
        </w:tc>
        <w:tc>
          <w:tcPr>
            <w:tcW w:w="1985" w:type="dxa"/>
            <w:tcMar>
              <w:left w:w="108" w:type="dxa"/>
              <w:right w:w="108" w:type="dxa"/>
            </w:tcMar>
          </w:tcPr>
          <w:p w14:paraId="2C7445CA" w14:textId="56830BD9" w:rsidR="00B45725" w:rsidRPr="00AB06F3" w:rsidRDefault="00443494" w:rsidP="00C401E4">
            <w:pPr>
              <w:spacing w:line="276" w:lineRule="auto"/>
              <w:jc w:val="both"/>
              <w:rPr>
                <w:rFonts w:ascii="Verdana" w:eastAsia="Verdana" w:hAnsi="Verdana" w:cs="Arial"/>
                <w:color w:val="000000" w:themeColor="text1"/>
                <w:sz w:val="18"/>
                <w:szCs w:val="18"/>
              </w:rPr>
            </w:pPr>
            <w:r w:rsidRPr="48C8D556">
              <w:rPr>
                <w:rFonts w:ascii="Verdana" w:eastAsia="Verdana" w:hAnsi="Verdana" w:cs="Arial"/>
                <w:color w:val="000000" w:themeColor="text1"/>
                <w:sz w:val="18"/>
                <w:szCs w:val="18"/>
              </w:rPr>
              <w:lastRenderedPageBreak/>
              <w:t>El contrato 2002 de 2024 tiene una asignación de $390.000.000, con recursos correspondientes a la vigencia fiscal 2024. Al cierre de la vigencia 2025, se había ejecutado $117.000.000 del total de $390.000.000</w:t>
            </w:r>
          </w:p>
        </w:tc>
      </w:tr>
    </w:tbl>
    <w:p w14:paraId="481A3BAA"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39F47FDA" w14:textId="77777777" w:rsidR="00B45725" w:rsidRPr="00AB06F3" w:rsidRDefault="00B45725" w:rsidP="00B45725">
      <w:pPr>
        <w:spacing w:after="0" w:line="276" w:lineRule="auto"/>
        <w:jc w:val="both"/>
        <w:rPr>
          <w:rFonts w:ascii="Verdana" w:hAnsi="Verdana" w:cs="Arial"/>
        </w:rPr>
      </w:pPr>
    </w:p>
    <w:p w14:paraId="7165D919" w14:textId="544F03B5" w:rsidR="00D67418" w:rsidRDefault="00B45725" w:rsidP="00164ED5">
      <w:pPr>
        <w:pStyle w:val="Prrafodelista"/>
        <w:numPr>
          <w:ilvl w:val="0"/>
          <w:numId w:val="27"/>
        </w:numPr>
        <w:spacing w:after="0" w:line="276" w:lineRule="auto"/>
        <w:jc w:val="both"/>
        <w:rPr>
          <w:rFonts w:ascii="Verdana" w:eastAsia="Verdana" w:hAnsi="Verdana" w:cs="Arial"/>
          <w:color w:val="000000" w:themeColor="text1"/>
          <w:sz w:val="24"/>
          <w:szCs w:val="24"/>
        </w:rPr>
      </w:pPr>
      <w:r w:rsidRPr="00AB06F3">
        <w:rPr>
          <w:rFonts w:ascii="Verdana" w:eastAsia="Verdana" w:hAnsi="Verdana" w:cs="Arial"/>
          <w:color w:val="000000" w:themeColor="text1"/>
          <w:sz w:val="24"/>
          <w:szCs w:val="24"/>
        </w:rPr>
        <w:t xml:space="preserve">Regionalización de las acciones y beneficiarios: </w:t>
      </w:r>
    </w:p>
    <w:p w14:paraId="2CB13F74" w14:textId="77777777" w:rsidR="009958CE" w:rsidRDefault="009958CE" w:rsidP="009958CE">
      <w:pPr>
        <w:spacing w:after="0" w:line="276" w:lineRule="auto"/>
        <w:ind w:left="360"/>
        <w:jc w:val="both"/>
        <w:rPr>
          <w:rFonts w:ascii="Verdana" w:eastAsia="Verdana" w:hAnsi="Verdana" w:cs="Arial"/>
          <w:color w:val="000000" w:themeColor="text1"/>
          <w:sz w:val="24"/>
          <w:szCs w:val="24"/>
        </w:rPr>
      </w:pPr>
    </w:p>
    <w:p w14:paraId="3C8E5556" w14:textId="4563B0A2" w:rsidR="009958CE" w:rsidRPr="008362DB" w:rsidRDefault="008362DB" w:rsidP="00C401E4">
      <w:pPr>
        <w:spacing w:after="0" w:line="276" w:lineRule="auto"/>
        <w:ind w:left="360"/>
        <w:jc w:val="both"/>
        <w:rPr>
          <w:rFonts w:ascii="Verdana" w:eastAsia="Verdana" w:hAnsi="Verdana" w:cs="Arial"/>
          <w:color w:val="000000" w:themeColor="text1"/>
          <w:sz w:val="24"/>
          <w:szCs w:val="24"/>
        </w:rPr>
      </w:pPr>
      <w:r>
        <w:rPr>
          <w:rFonts w:ascii="Verdana" w:eastAsia="Verdana" w:hAnsi="Verdana" w:cs="Arial"/>
          <w:color w:val="000000" w:themeColor="text1"/>
          <w:sz w:val="24"/>
          <w:szCs w:val="24"/>
        </w:rPr>
        <w:t>E</w:t>
      </w:r>
      <w:r w:rsidRPr="008362DB">
        <w:rPr>
          <w:rFonts w:ascii="Verdana" w:eastAsia="Verdana" w:hAnsi="Verdana" w:cs="Arial"/>
          <w:color w:val="000000" w:themeColor="text1"/>
          <w:sz w:val="24"/>
          <w:szCs w:val="24"/>
        </w:rPr>
        <w:t>n la siguiente tabla se presenta la desagregación por departamento del número de personas pertenecientes a la población CaPAZcidades (personas mayores, personas con discapacidad y/o con enfermedades de alto costo) que, al cierre de la vigencia, contaban con un Plan de Reincorporación Individual evaluado correspondiente al ciclo anual 2025.</w:t>
      </w:r>
    </w:p>
    <w:p w14:paraId="3919A85F" w14:textId="77777777" w:rsidR="009958CE" w:rsidRPr="008362DB" w:rsidRDefault="009958CE" w:rsidP="009958CE">
      <w:pPr>
        <w:spacing w:after="0" w:line="276" w:lineRule="auto"/>
        <w:ind w:left="360"/>
        <w:jc w:val="both"/>
        <w:rPr>
          <w:rFonts w:ascii="Verdana" w:eastAsia="Verdana" w:hAnsi="Verdana" w:cs="Arial"/>
          <w:color w:val="000000" w:themeColor="text1"/>
          <w:sz w:val="24"/>
          <w:szCs w:val="24"/>
        </w:rPr>
      </w:pPr>
    </w:p>
    <w:p w14:paraId="41632CE2" w14:textId="26D29D0D" w:rsidR="00D67418" w:rsidRPr="00D67418" w:rsidRDefault="00D67418" w:rsidP="00D67418">
      <w:pPr>
        <w:pStyle w:val="Descripcin"/>
        <w:keepNext/>
        <w:jc w:val="center"/>
        <w:rPr>
          <w:rFonts w:ascii="Verdana" w:eastAsia="Verdana" w:hAnsi="Verdana" w:cs="Arial"/>
          <w:i w:val="0"/>
          <w:iCs w:val="0"/>
          <w:color w:val="000000" w:themeColor="text1"/>
        </w:rPr>
      </w:pPr>
      <w:bookmarkStart w:id="73" w:name="_Toc225283180"/>
      <w:r w:rsidRPr="00D67418">
        <w:rPr>
          <w:rFonts w:ascii="Verdana" w:eastAsia="Verdana" w:hAnsi="Verdana" w:cs="Arial"/>
          <w:i w:val="0"/>
          <w:iCs w:val="0"/>
          <w:color w:val="000000" w:themeColor="text1"/>
        </w:rPr>
        <w:t xml:space="preserve">Tabla </w:t>
      </w:r>
      <w:r w:rsidRPr="00D67418">
        <w:rPr>
          <w:rFonts w:ascii="Verdana" w:eastAsia="Verdana" w:hAnsi="Verdana" w:cs="Arial"/>
          <w:i w:val="0"/>
          <w:iCs w:val="0"/>
          <w:color w:val="000000" w:themeColor="text1"/>
        </w:rPr>
        <w:fldChar w:fldCharType="begin"/>
      </w:r>
      <w:r w:rsidRPr="00D67418">
        <w:rPr>
          <w:rFonts w:ascii="Verdana" w:eastAsia="Verdana" w:hAnsi="Verdana" w:cs="Arial"/>
          <w:i w:val="0"/>
          <w:iCs w:val="0"/>
          <w:color w:val="000000" w:themeColor="text1"/>
        </w:rPr>
        <w:instrText xml:space="preserve"> SEQ Tabla \* ARABIC </w:instrText>
      </w:r>
      <w:r w:rsidRPr="00D67418">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68</w:t>
      </w:r>
      <w:r w:rsidRPr="00D67418">
        <w:rPr>
          <w:rFonts w:ascii="Verdana" w:eastAsia="Verdana" w:hAnsi="Verdana" w:cs="Arial"/>
          <w:i w:val="0"/>
          <w:iCs w:val="0"/>
          <w:color w:val="000000" w:themeColor="text1"/>
        </w:rPr>
        <w:fldChar w:fldCharType="end"/>
      </w:r>
      <w:r w:rsidRPr="00D67418">
        <w:rPr>
          <w:rFonts w:ascii="Verdana" w:eastAsia="Verdana" w:hAnsi="Verdana" w:cs="Arial"/>
          <w:i w:val="0"/>
          <w:iCs w:val="0"/>
          <w:color w:val="000000" w:themeColor="text1"/>
        </w:rPr>
        <w:t>. Detalle de regionalización del indicador C.MT.8.N</w:t>
      </w:r>
      <w:bookmarkEnd w:id="73"/>
    </w:p>
    <w:tbl>
      <w:tblPr>
        <w:tblStyle w:val="Tablaconcuadrcula"/>
        <w:tblW w:w="0" w:type="auto"/>
        <w:jc w:val="center"/>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Detalle de regionalización del indicador"/>
        <w:tblDescription w:val="Tabla que contiene los siguientes items: regionalización y beneficiarios"/>
      </w:tblPr>
      <w:tblGrid>
        <w:gridCol w:w="2551"/>
        <w:gridCol w:w="4111"/>
      </w:tblGrid>
      <w:tr w:rsidR="009457FD" w:rsidRPr="00436D99" w14:paraId="5CCA7305" w14:textId="77777777" w:rsidTr="009457FD">
        <w:trPr>
          <w:trHeight w:val="113"/>
          <w:jc w:val="center"/>
        </w:trPr>
        <w:tc>
          <w:tcPr>
            <w:tcW w:w="2551" w:type="dxa"/>
            <w:tcMar>
              <w:left w:w="108" w:type="dxa"/>
              <w:right w:w="108" w:type="dxa"/>
            </w:tcMar>
          </w:tcPr>
          <w:p w14:paraId="07416684" w14:textId="77777777" w:rsidR="009457FD" w:rsidRPr="00436D99" w:rsidRDefault="009457FD"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Regionalización </w:t>
            </w:r>
          </w:p>
        </w:tc>
        <w:tc>
          <w:tcPr>
            <w:tcW w:w="4111" w:type="dxa"/>
            <w:tcMar>
              <w:left w:w="108" w:type="dxa"/>
              <w:right w:w="108" w:type="dxa"/>
            </w:tcMar>
          </w:tcPr>
          <w:p w14:paraId="73068934" w14:textId="77777777" w:rsidR="009457FD" w:rsidRPr="00436D99" w:rsidRDefault="009457FD" w:rsidP="005F457D">
            <w:pPr>
              <w:spacing w:line="276" w:lineRule="auto"/>
              <w:jc w:val="center"/>
              <w:rPr>
                <w:rFonts w:ascii="Verdana" w:hAnsi="Verdana" w:cs="Arial"/>
                <w:b/>
                <w:bCs/>
              </w:rPr>
            </w:pPr>
            <w:r>
              <w:rPr>
                <w:rFonts w:ascii="Verdana" w:eastAsia="Verdana" w:hAnsi="Verdana" w:cs="Arial"/>
                <w:b/>
                <w:bCs/>
                <w:color w:val="000000" w:themeColor="text1"/>
                <w:sz w:val="18"/>
                <w:szCs w:val="18"/>
              </w:rPr>
              <w:t xml:space="preserve">Beneficiarios </w:t>
            </w:r>
          </w:p>
        </w:tc>
      </w:tr>
      <w:tr w:rsidR="009457FD" w:rsidRPr="00436D99" w14:paraId="28337F53" w14:textId="77777777" w:rsidTr="009457FD">
        <w:trPr>
          <w:trHeight w:val="113"/>
          <w:jc w:val="center"/>
        </w:trPr>
        <w:tc>
          <w:tcPr>
            <w:tcW w:w="2551" w:type="dxa"/>
            <w:tcMar>
              <w:left w:w="108" w:type="dxa"/>
              <w:right w:w="108" w:type="dxa"/>
            </w:tcMar>
          </w:tcPr>
          <w:p w14:paraId="31185EEF" w14:textId="5CDC1870" w:rsidR="00EB3964" w:rsidRDefault="00EB3964" w:rsidP="00E56F7B">
            <w:pPr>
              <w:pStyle w:val="paragraph"/>
              <w:spacing w:before="0" w:beforeAutospacing="0" w:after="0" w:afterAutospacing="0"/>
              <w:jc w:val="center"/>
              <w:textAlignment w:val="baseline"/>
              <w:divId w:val="1642806982"/>
              <w:rPr>
                <w:rStyle w:val="normaltextrun"/>
                <w:rFonts w:ascii="Verdana" w:hAnsi="Verdana" w:cs="Segoe UI"/>
                <w:sz w:val="18"/>
                <w:szCs w:val="18"/>
              </w:rPr>
            </w:pPr>
            <w:r>
              <w:rPr>
                <w:rStyle w:val="normaltextrun"/>
                <w:rFonts w:ascii="Verdana" w:hAnsi="Verdana" w:cs="Segoe UI"/>
                <w:sz w:val="18"/>
                <w:szCs w:val="18"/>
              </w:rPr>
              <w:t>Antioquia</w:t>
            </w:r>
          </w:p>
          <w:p w14:paraId="46AB5882" w14:textId="6C05AF06" w:rsidR="009457FD" w:rsidRPr="009457FD" w:rsidRDefault="009457FD" w:rsidP="00E56F7B">
            <w:pPr>
              <w:pStyle w:val="paragraph"/>
              <w:spacing w:before="0" w:beforeAutospacing="0" w:after="0" w:afterAutospacing="0"/>
              <w:jc w:val="center"/>
              <w:textAlignment w:val="baseline"/>
              <w:divId w:val="1642806982"/>
              <w:rPr>
                <w:rFonts w:ascii="Segoe UI" w:hAnsi="Segoe UI" w:cs="Segoe UI"/>
                <w:sz w:val="18"/>
                <w:szCs w:val="18"/>
              </w:rPr>
            </w:pPr>
            <w:r w:rsidRPr="009457FD">
              <w:rPr>
                <w:rStyle w:val="normaltextrun"/>
                <w:rFonts w:ascii="Verdana" w:hAnsi="Verdana" w:cs="Segoe UI"/>
                <w:sz w:val="18"/>
                <w:szCs w:val="18"/>
              </w:rPr>
              <w:t>Atlántico</w:t>
            </w:r>
          </w:p>
          <w:p w14:paraId="366F4D5E" w14:textId="7B0E5718" w:rsidR="009457FD" w:rsidRPr="009457FD" w:rsidRDefault="009457FD" w:rsidP="00E56F7B">
            <w:pPr>
              <w:pStyle w:val="paragraph"/>
              <w:spacing w:before="0" w:beforeAutospacing="0" w:after="0" w:afterAutospacing="0"/>
              <w:jc w:val="center"/>
              <w:textAlignment w:val="baseline"/>
              <w:divId w:val="969046288"/>
              <w:rPr>
                <w:rFonts w:ascii="Segoe UI" w:hAnsi="Segoe UI" w:cs="Segoe UI"/>
                <w:sz w:val="18"/>
                <w:szCs w:val="18"/>
              </w:rPr>
            </w:pPr>
            <w:r w:rsidRPr="009457FD">
              <w:rPr>
                <w:rStyle w:val="normaltextrun"/>
                <w:rFonts w:ascii="Verdana" w:hAnsi="Verdana" w:cs="Segoe UI"/>
                <w:sz w:val="18"/>
                <w:szCs w:val="18"/>
              </w:rPr>
              <w:t>Bogotá D.C.</w:t>
            </w:r>
          </w:p>
          <w:p w14:paraId="66F7D654" w14:textId="703031BF" w:rsidR="009457FD" w:rsidRPr="009457FD" w:rsidRDefault="009457FD" w:rsidP="00E56F7B">
            <w:pPr>
              <w:pStyle w:val="paragraph"/>
              <w:spacing w:before="0" w:beforeAutospacing="0" w:after="0" w:afterAutospacing="0"/>
              <w:jc w:val="center"/>
              <w:textAlignment w:val="baseline"/>
              <w:divId w:val="1959295893"/>
              <w:rPr>
                <w:rFonts w:ascii="Segoe UI" w:hAnsi="Segoe UI" w:cs="Segoe UI"/>
                <w:sz w:val="18"/>
                <w:szCs w:val="18"/>
              </w:rPr>
            </w:pPr>
            <w:r w:rsidRPr="009457FD">
              <w:rPr>
                <w:rStyle w:val="normaltextrun"/>
                <w:rFonts w:ascii="Verdana" w:hAnsi="Verdana" w:cs="Segoe UI"/>
                <w:sz w:val="18"/>
                <w:szCs w:val="18"/>
              </w:rPr>
              <w:t>Bolívar</w:t>
            </w:r>
          </w:p>
          <w:p w14:paraId="4CE643C9" w14:textId="03F15A4F" w:rsidR="009457FD" w:rsidRPr="009457FD" w:rsidRDefault="009457FD" w:rsidP="00E56F7B">
            <w:pPr>
              <w:pStyle w:val="paragraph"/>
              <w:spacing w:before="0" w:beforeAutospacing="0" w:after="0" w:afterAutospacing="0"/>
              <w:jc w:val="center"/>
              <w:textAlignment w:val="baseline"/>
              <w:divId w:val="609356239"/>
              <w:rPr>
                <w:rFonts w:ascii="Segoe UI" w:hAnsi="Segoe UI" w:cs="Segoe UI"/>
                <w:sz w:val="18"/>
                <w:szCs w:val="18"/>
              </w:rPr>
            </w:pPr>
            <w:r w:rsidRPr="009457FD">
              <w:rPr>
                <w:rStyle w:val="normaltextrun"/>
                <w:rFonts w:ascii="Verdana" w:hAnsi="Verdana" w:cs="Segoe UI"/>
                <w:sz w:val="18"/>
                <w:szCs w:val="18"/>
              </w:rPr>
              <w:t>Boyacá</w:t>
            </w:r>
          </w:p>
          <w:p w14:paraId="38C345BE" w14:textId="5D224E28" w:rsidR="009457FD" w:rsidRPr="009457FD" w:rsidRDefault="009457FD" w:rsidP="00E56F7B">
            <w:pPr>
              <w:pStyle w:val="paragraph"/>
              <w:spacing w:before="0" w:beforeAutospacing="0" w:after="0" w:afterAutospacing="0"/>
              <w:jc w:val="center"/>
              <w:textAlignment w:val="baseline"/>
              <w:divId w:val="1109861770"/>
              <w:rPr>
                <w:rFonts w:ascii="Segoe UI" w:hAnsi="Segoe UI" w:cs="Segoe UI"/>
                <w:sz w:val="18"/>
                <w:szCs w:val="18"/>
              </w:rPr>
            </w:pPr>
            <w:r w:rsidRPr="009457FD">
              <w:rPr>
                <w:rStyle w:val="normaltextrun"/>
                <w:rFonts w:ascii="Verdana" w:hAnsi="Verdana" w:cs="Segoe UI"/>
                <w:sz w:val="18"/>
                <w:szCs w:val="18"/>
              </w:rPr>
              <w:t>Caldas</w:t>
            </w:r>
          </w:p>
          <w:p w14:paraId="36576E0E" w14:textId="081D3CFC" w:rsidR="009457FD" w:rsidRPr="009457FD" w:rsidRDefault="009457FD" w:rsidP="00E56F7B">
            <w:pPr>
              <w:pStyle w:val="paragraph"/>
              <w:spacing w:before="0" w:beforeAutospacing="0" w:after="0" w:afterAutospacing="0"/>
              <w:jc w:val="center"/>
              <w:textAlignment w:val="baseline"/>
              <w:divId w:val="829298697"/>
              <w:rPr>
                <w:rFonts w:ascii="Segoe UI" w:hAnsi="Segoe UI" w:cs="Segoe UI"/>
                <w:sz w:val="18"/>
                <w:szCs w:val="18"/>
              </w:rPr>
            </w:pPr>
            <w:r w:rsidRPr="009457FD">
              <w:rPr>
                <w:rStyle w:val="normaltextrun"/>
                <w:rFonts w:ascii="Verdana" w:hAnsi="Verdana" w:cs="Segoe UI"/>
                <w:sz w:val="18"/>
                <w:szCs w:val="18"/>
              </w:rPr>
              <w:t>Caquetá</w:t>
            </w:r>
          </w:p>
          <w:p w14:paraId="5325D55E" w14:textId="64B94AF7" w:rsidR="009457FD" w:rsidRPr="009457FD" w:rsidRDefault="009457FD" w:rsidP="00E56F7B">
            <w:pPr>
              <w:pStyle w:val="paragraph"/>
              <w:spacing w:before="0" w:beforeAutospacing="0" w:after="0" w:afterAutospacing="0"/>
              <w:jc w:val="center"/>
              <w:textAlignment w:val="baseline"/>
              <w:divId w:val="487944131"/>
              <w:rPr>
                <w:rFonts w:ascii="Segoe UI" w:hAnsi="Segoe UI" w:cs="Segoe UI"/>
                <w:sz w:val="18"/>
                <w:szCs w:val="18"/>
              </w:rPr>
            </w:pPr>
            <w:r w:rsidRPr="009457FD">
              <w:rPr>
                <w:rStyle w:val="normaltextrun"/>
                <w:rFonts w:ascii="Verdana" w:hAnsi="Verdana" w:cs="Segoe UI"/>
                <w:sz w:val="18"/>
                <w:szCs w:val="18"/>
              </w:rPr>
              <w:t>Cauca</w:t>
            </w:r>
          </w:p>
          <w:p w14:paraId="6D775F85" w14:textId="337DC125" w:rsidR="009457FD" w:rsidRPr="009457FD" w:rsidRDefault="009457FD" w:rsidP="00E56F7B">
            <w:pPr>
              <w:pStyle w:val="paragraph"/>
              <w:spacing w:before="0" w:beforeAutospacing="0" w:after="0" w:afterAutospacing="0"/>
              <w:jc w:val="center"/>
              <w:textAlignment w:val="baseline"/>
              <w:divId w:val="737557040"/>
              <w:rPr>
                <w:rFonts w:ascii="Segoe UI" w:hAnsi="Segoe UI" w:cs="Segoe UI"/>
                <w:sz w:val="18"/>
                <w:szCs w:val="18"/>
              </w:rPr>
            </w:pPr>
            <w:r w:rsidRPr="009457FD">
              <w:rPr>
                <w:rStyle w:val="normaltextrun"/>
                <w:rFonts w:ascii="Verdana" w:hAnsi="Verdana" w:cs="Segoe UI"/>
                <w:sz w:val="18"/>
                <w:szCs w:val="18"/>
              </w:rPr>
              <w:t>Cesar</w:t>
            </w:r>
          </w:p>
          <w:p w14:paraId="1798727F" w14:textId="7A6772FE" w:rsidR="009457FD" w:rsidRPr="009457FD" w:rsidRDefault="009457FD" w:rsidP="00E56F7B">
            <w:pPr>
              <w:pStyle w:val="paragraph"/>
              <w:spacing w:before="0" w:beforeAutospacing="0" w:after="0" w:afterAutospacing="0"/>
              <w:jc w:val="center"/>
              <w:textAlignment w:val="baseline"/>
              <w:divId w:val="1315989942"/>
              <w:rPr>
                <w:rFonts w:ascii="Segoe UI" w:hAnsi="Segoe UI" w:cs="Segoe UI"/>
                <w:sz w:val="18"/>
                <w:szCs w:val="18"/>
              </w:rPr>
            </w:pPr>
            <w:r w:rsidRPr="009457FD">
              <w:rPr>
                <w:rStyle w:val="normaltextrun"/>
                <w:rFonts w:ascii="Verdana" w:hAnsi="Verdana" w:cs="Segoe UI"/>
                <w:sz w:val="18"/>
                <w:szCs w:val="18"/>
              </w:rPr>
              <w:t>Córdoba</w:t>
            </w:r>
          </w:p>
          <w:p w14:paraId="4E6D2B4E" w14:textId="6DB37035" w:rsidR="009457FD" w:rsidRPr="009457FD" w:rsidRDefault="009457FD" w:rsidP="00E56F7B">
            <w:pPr>
              <w:pStyle w:val="paragraph"/>
              <w:spacing w:before="0" w:beforeAutospacing="0" w:after="0" w:afterAutospacing="0"/>
              <w:jc w:val="center"/>
              <w:textAlignment w:val="baseline"/>
              <w:divId w:val="228469465"/>
              <w:rPr>
                <w:rFonts w:ascii="Segoe UI" w:hAnsi="Segoe UI" w:cs="Segoe UI"/>
                <w:sz w:val="18"/>
                <w:szCs w:val="18"/>
              </w:rPr>
            </w:pPr>
            <w:r w:rsidRPr="009457FD">
              <w:rPr>
                <w:rStyle w:val="normaltextrun"/>
                <w:rFonts w:ascii="Verdana" w:hAnsi="Verdana" w:cs="Segoe UI"/>
                <w:sz w:val="18"/>
                <w:szCs w:val="18"/>
              </w:rPr>
              <w:t>Cundinamarca</w:t>
            </w:r>
          </w:p>
          <w:p w14:paraId="4D233FE1" w14:textId="17E49DDD" w:rsidR="009457FD" w:rsidRPr="009457FD" w:rsidRDefault="009457FD" w:rsidP="00E56F7B">
            <w:pPr>
              <w:pStyle w:val="paragraph"/>
              <w:spacing w:before="0" w:beforeAutospacing="0" w:after="0" w:afterAutospacing="0"/>
              <w:jc w:val="center"/>
              <w:textAlignment w:val="baseline"/>
              <w:divId w:val="1418332960"/>
              <w:rPr>
                <w:rFonts w:ascii="Segoe UI" w:hAnsi="Segoe UI" w:cs="Segoe UI"/>
                <w:sz w:val="18"/>
                <w:szCs w:val="18"/>
              </w:rPr>
            </w:pPr>
            <w:r w:rsidRPr="009457FD">
              <w:rPr>
                <w:rStyle w:val="normaltextrun"/>
                <w:rFonts w:ascii="Verdana" w:hAnsi="Verdana" w:cs="Segoe UI"/>
                <w:sz w:val="18"/>
                <w:szCs w:val="18"/>
              </w:rPr>
              <w:t>Chocó</w:t>
            </w:r>
          </w:p>
          <w:p w14:paraId="5C566DD5" w14:textId="3888DD76" w:rsidR="009457FD" w:rsidRPr="009457FD" w:rsidRDefault="009457FD" w:rsidP="00E56F7B">
            <w:pPr>
              <w:pStyle w:val="paragraph"/>
              <w:spacing w:before="0" w:beforeAutospacing="0" w:after="0" w:afterAutospacing="0"/>
              <w:jc w:val="center"/>
              <w:textAlignment w:val="baseline"/>
              <w:divId w:val="1674331230"/>
              <w:rPr>
                <w:rFonts w:ascii="Segoe UI" w:hAnsi="Segoe UI" w:cs="Segoe UI"/>
                <w:sz w:val="18"/>
                <w:szCs w:val="18"/>
              </w:rPr>
            </w:pPr>
            <w:r w:rsidRPr="009457FD">
              <w:rPr>
                <w:rStyle w:val="normaltextrun"/>
                <w:rFonts w:ascii="Verdana" w:hAnsi="Verdana" w:cs="Segoe UI"/>
                <w:sz w:val="18"/>
                <w:szCs w:val="18"/>
              </w:rPr>
              <w:t>Huila</w:t>
            </w:r>
          </w:p>
          <w:p w14:paraId="7AC06F13" w14:textId="75A4B7DA" w:rsidR="009457FD" w:rsidRPr="009457FD" w:rsidRDefault="009457FD" w:rsidP="00E56F7B">
            <w:pPr>
              <w:pStyle w:val="paragraph"/>
              <w:spacing w:before="0" w:beforeAutospacing="0" w:after="0" w:afterAutospacing="0"/>
              <w:jc w:val="center"/>
              <w:textAlignment w:val="baseline"/>
              <w:divId w:val="1853912021"/>
              <w:rPr>
                <w:rFonts w:ascii="Segoe UI" w:hAnsi="Segoe UI" w:cs="Segoe UI"/>
                <w:sz w:val="18"/>
                <w:szCs w:val="18"/>
              </w:rPr>
            </w:pPr>
            <w:r w:rsidRPr="009457FD">
              <w:rPr>
                <w:rStyle w:val="normaltextrun"/>
                <w:rFonts w:ascii="Verdana" w:hAnsi="Verdana" w:cs="Segoe UI"/>
                <w:sz w:val="18"/>
                <w:szCs w:val="18"/>
              </w:rPr>
              <w:t>La Guajira</w:t>
            </w:r>
          </w:p>
          <w:p w14:paraId="43721EEB" w14:textId="4B2E2B0B" w:rsidR="009457FD" w:rsidRPr="009457FD" w:rsidRDefault="009457FD" w:rsidP="00E56F7B">
            <w:pPr>
              <w:pStyle w:val="paragraph"/>
              <w:spacing w:before="0" w:beforeAutospacing="0" w:after="0" w:afterAutospacing="0"/>
              <w:jc w:val="center"/>
              <w:textAlignment w:val="baseline"/>
              <w:divId w:val="1486164714"/>
              <w:rPr>
                <w:rFonts w:ascii="Segoe UI" w:hAnsi="Segoe UI" w:cs="Segoe UI"/>
                <w:sz w:val="18"/>
                <w:szCs w:val="18"/>
              </w:rPr>
            </w:pPr>
            <w:r w:rsidRPr="009457FD">
              <w:rPr>
                <w:rStyle w:val="normaltextrun"/>
                <w:rFonts w:ascii="Verdana" w:hAnsi="Verdana" w:cs="Segoe UI"/>
                <w:sz w:val="18"/>
                <w:szCs w:val="18"/>
              </w:rPr>
              <w:lastRenderedPageBreak/>
              <w:t>Magdalena</w:t>
            </w:r>
          </w:p>
          <w:p w14:paraId="0C18F052" w14:textId="453620C9" w:rsidR="009457FD" w:rsidRPr="009457FD" w:rsidRDefault="009457FD" w:rsidP="00E56F7B">
            <w:pPr>
              <w:pStyle w:val="paragraph"/>
              <w:spacing w:before="0" w:beforeAutospacing="0" w:after="0" w:afterAutospacing="0"/>
              <w:jc w:val="center"/>
              <w:textAlignment w:val="baseline"/>
              <w:divId w:val="378552816"/>
              <w:rPr>
                <w:rFonts w:ascii="Segoe UI" w:hAnsi="Segoe UI" w:cs="Segoe UI"/>
                <w:sz w:val="18"/>
                <w:szCs w:val="18"/>
              </w:rPr>
            </w:pPr>
            <w:r w:rsidRPr="009457FD">
              <w:rPr>
                <w:rStyle w:val="normaltextrun"/>
                <w:rFonts w:ascii="Verdana" w:hAnsi="Verdana" w:cs="Segoe UI"/>
                <w:sz w:val="18"/>
                <w:szCs w:val="18"/>
              </w:rPr>
              <w:t>Meta</w:t>
            </w:r>
          </w:p>
          <w:p w14:paraId="33C83030" w14:textId="4894860D" w:rsidR="009457FD" w:rsidRPr="009457FD" w:rsidRDefault="009457FD" w:rsidP="00E56F7B">
            <w:pPr>
              <w:pStyle w:val="paragraph"/>
              <w:spacing w:before="0" w:beforeAutospacing="0" w:after="0" w:afterAutospacing="0"/>
              <w:jc w:val="center"/>
              <w:textAlignment w:val="baseline"/>
              <w:divId w:val="639651773"/>
              <w:rPr>
                <w:rFonts w:ascii="Segoe UI" w:hAnsi="Segoe UI" w:cs="Segoe UI"/>
                <w:sz w:val="18"/>
                <w:szCs w:val="18"/>
              </w:rPr>
            </w:pPr>
            <w:r w:rsidRPr="009457FD">
              <w:rPr>
                <w:rStyle w:val="normaltextrun"/>
                <w:rFonts w:ascii="Verdana" w:hAnsi="Verdana" w:cs="Segoe UI"/>
                <w:sz w:val="18"/>
                <w:szCs w:val="18"/>
              </w:rPr>
              <w:t>Nariño</w:t>
            </w:r>
          </w:p>
          <w:p w14:paraId="21ED7655" w14:textId="04E7820F" w:rsidR="009457FD" w:rsidRPr="009457FD" w:rsidRDefault="009457FD" w:rsidP="00E56F7B">
            <w:pPr>
              <w:pStyle w:val="paragraph"/>
              <w:spacing w:before="0" w:beforeAutospacing="0" w:after="0" w:afterAutospacing="0"/>
              <w:jc w:val="center"/>
              <w:textAlignment w:val="baseline"/>
              <w:divId w:val="720862172"/>
              <w:rPr>
                <w:rFonts w:ascii="Segoe UI" w:hAnsi="Segoe UI" w:cs="Segoe UI"/>
                <w:sz w:val="18"/>
                <w:szCs w:val="18"/>
              </w:rPr>
            </w:pPr>
            <w:r w:rsidRPr="009457FD">
              <w:rPr>
                <w:rStyle w:val="normaltextrun"/>
                <w:rFonts w:ascii="Verdana" w:hAnsi="Verdana" w:cs="Segoe UI"/>
                <w:sz w:val="18"/>
                <w:szCs w:val="18"/>
              </w:rPr>
              <w:t>Norte de Santander</w:t>
            </w:r>
          </w:p>
          <w:p w14:paraId="2DE16D00" w14:textId="40752B0D" w:rsidR="009457FD" w:rsidRPr="009457FD" w:rsidRDefault="009457FD" w:rsidP="00E56F7B">
            <w:pPr>
              <w:pStyle w:val="paragraph"/>
              <w:spacing w:before="0" w:beforeAutospacing="0" w:after="0" w:afterAutospacing="0"/>
              <w:jc w:val="center"/>
              <w:textAlignment w:val="baseline"/>
              <w:divId w:val="1449082774"/>
              <w:rPr>
                <w:rFonts w:ascii="Segoe UI" w:hAnsi="Segoe UI" w:cs="Segoe UI"/>
                <w:sz w:val="18"/>
                <w:szCs w:val="18"/>
              </w:rPr>
            </w:pPr>
            <w:r w:rsidRPr="009457FD">
              <w:rPr>
                <w:rStyle w:val="normaltextrun"/>
                <w:rFonts w:ascii="Verdana" w:hAnsi="Verdana" w:cs="Segoe UI"/>
                <w:sz w:val="18"/>
                <w:szCs w:val="18"/>
              </w:rPr>
              <w:t>Quindío</w:t>
            </w:r>
          </w:p>
          <w:p w14:paraId="3C1F75D6" w14:textId="6A017500" w:rsidR="009457FD" w:rsidRPr="009457FD" w:rsidRDefault="009457FD" w:rsidP="00E56F7B">
            <w:pPr>
              <w:pStyle w:val="paragraph"/>
              <w:spacing w:before="0" w:beforeAutospacing="0" w:after="0" w:afterAutospacing="0"/>
              <w:jc w:val="center"/>
              <w:textAlignment w:val="baseline"/>
              <w:divId w:val="3750224"/>
              <w:rPr>
                <w:rFonts w:ascii="Segoe UI" w:hAnsi="Segoe UI" w:cs="Segoe UI"/>
                <w:sz w:val="18"/>
                <w:szCs w:val="18"/>
              </w:rPr>
            </w:pPr>
            <w:r w:rsidRPr="009457FD">
              <w:rPr>
                <w:rStyle w:val="normaltextrun"/>
                <w:rFonts w:ascii="Verdana" w:hAnsi="Verdana" w:cs="Segoe UI"/>
                <w:sz w:val="18"/>
                <w:szCs w:val="18"/>
              </w:rPr>
              <w:t>Risaralda</w:t>
            </w:r>
          </w:p>
          <w:p w14:paraId="1DF86E9B" w14:textId="54F274B0" w:rsidR="009457FD" w:rsidRPr="009457FD" w:rsidRDefault="009457FD" w:rsidP="00E56F7B">
            <w:pPr>
              <w:pStyle w:val="paragraph"/>
              <w:spacing w:before="0" w:beforeAutospacing="0" w:after="0" w:afterAutospacing="0"/>
              <w:jc w:val="center"/>
              <w:textAlignment w:val="baseline"/>
              <w:divId w:val="1004942248"/>
              <w:rPr>
                <w:rFonts w:ascii="Segoe UI" w:hAnsi="Segoe UI" w:cs="Segoe UI"/>
                <w:sz w:val="18"/>
                <w:szCs w:val="18"/>
              </w:rPr>
            </w:pPr>
            <w:r w:rsidRPr="009457FD">
              <w:rPr>
                <w:rStyle w:val="normaltextrun"/>
                <w:rFonts w:ascii="Verdana" w:hAnsi="Verdana" w:cs="Segoe UI"/>
                <w:sz w:val="18"/>
                <w:szCs w:val="18"/>
              </w:rPr>
              <w:t>Santander</w:t>
            </w:r>
          </w:p>
          <w:p w14:paraId="5EB7FE4F" w14:textId="74736F28" w:rsidR="009457FD" w:rsidRPr="009457FD" w:rsidRDefault="009457FD" w:rsidP="00E56F7B">
            <w:pPr>
              <w:pStyle w:val="paragraph"/>
              <w:spacing w:before="0" w:beforeAutospacing="0" w:after="0" w:afterAutospacing="0"/>
              <w:jc w:val="center"/>
              <w:textAlignment w:val="baseline"/>
              <w:divId w:val="1168207240"/>
              <w:rPr>
                <w:rFonts w:ascii="Segoe UI" w:hAnsi="Segoe UI" w:cs="Segoe UI"/>
                <w:sz w:val="18"/>
                <w:szCs w:val="18"/>
              </w:rPr>
            </w:pPr>
            <w:r w:rsidRPr="009457FD">
              <w:rPr>
                <w:rStyle w:val="normaltextrun"/>
                <w:rFonts w:ascii="Verdana" w:hAnsi="Verdana" w:cs="Segoe UI"/>
                <w:sz w:val="18"/>
                <w:szCs w:val="18"/>
              </w:rPr>
              <w:t>Sucre</w:t>
            </w:r>
          </w:p>
          <w:p w14:paraId="53A3F9E9" w14:textId="0B7C4EF7" w:rsidR="009457FD" w:rsidRPr="009457FD" w:rsidRDefault="009457FD" w:rsidP="00E56F7B">
            <w:pPr>
              <w:pStyle w:val="paragraph"/>
              <w:spacing w:before="0" w:beforeAutospacing="0" w:after="0" w:afterAutospacing="0"/>
              <w:jc w:val="center"/>
              <w:textAlignment w:val="baseline"/>
              <w:divId w:val="786117734"/>
              <w:rPr>
                <w:rFonts w:ascii="Segoe UI" w:hAnsi="Segoe UI" w:cs="Segoe UI"/>
                <w:sz w:val="18"/>
                <w:szCs w:val="18"/>
              </w:rPr>
            </w:pPr>
            <w:r w:rsidRPr="009457FD">
              <w:rPr>
                <w:rStyle w:val="normaltextrun"/>
                <w:rFonts w:ascii="Verdana" w:hAnsi="Verdana" w:cs="Segoe UI"/>
                <w:sz w:val="18"/>
                <w:szCs w:val="18"/>
              </w:rPr>
              <w:t>Tolima</w:t>
            </w:r>
          </w:p>
          <w:p w14:paraId="54B737FC" w14:textId="3AEE0FE7" w:rsidR="009457FD" w:rsidRPr="009457FD" w:rsidRDefault="009457FD" w:rsidP="00E56F7B">
            <w:pPr>
              <w:pStyle w:val="paragraph"/>
              <w:spacing w:before="0" w:beforeAutospacing="0" w:after="0" w:afterAutospacing="0"/>
              <w:jc w:val="center"/>
              <w:textAlignment w:val="baseline"/>
              <w:divId w:val="1059093722"/>
              <w:rPr>
                <w:rFonts w:ascii="Segoe UI" w:hAnsi="Segoe UI" w:cs="Segoe UI"/>
                <w:sz w:val="18"/>
                <w:szCs w:val="18"/>
              </w:rPr>
            </w:pPr>
            <w:r w:rsidRPr="009457FD">
              <w:rPr>
                <w:rStyle w:val="normaltextrun"/>
                <w:rFonts w:ascii="Verdana" w:hAnsi="Verdana" w:cs="Segoe UI"/>
                <w:sz w:val="18"/>
                <w:szCs w:val="18"/>
              </w:rPr>
              <w:t>Valle del Cauca</w:t>
            </w:r>
          </w:p>
          <w:p w14:paraId="13EB9E4F" w14:textId="59E4F745" w:rsidR="009457FD" w:rsidRPr="009457FD" w:rsidRDefault="009457FD" w:rsidP="00E56F7B">
            <w:pPr>
              <w:pStyle w:val="paragraph"/>
              <w:spacing w:before="0" w:beforeAutospacing="0" w:after="0" w:afterAutospacing="0"/>
              <w:jc w:val="center"/>
              <w:textAlignment w:val="baseline"/>
              <w:divId w:val="1700668637"/>
              <w:rPr>
                <w:rFonts w:ascii="Segoe UI" w:hAnsi="Segoe UI" w:cs="Segoe UI"/>
                <w:sz w:val="18"/>
                <w:szCs w:val="18"/>
              </w:rPr>
            </w:pPr>
            <w:r w:rsidRPr="009457FD">
              <w:rPr>
                <w:rStyle w:val="normaltextrun"/>
                <w:rFonts w:ascii="Verdana" w:hAnsi="Verdana" w:cs="Segoe UI"/>
                <w:sz w:val="18"/>
                <w:szCs w:val="18"/>
              </w:rPr>
              <w:t>Arauca</w:t>
            </w:r>
          </w:p>
          <w:p w14:paraId="5124F56B" w14:textId="3FEEF08D" w:rsidR="009457FD" w:rsidRPr="009457FD" w:rsidRDefault="009457FD" w:rsidP="00E56F7B">
            <w:pPr>
              <w:pStyle w:val="paragraph"/>
              <w:spacing w:before="0" w:beforeAutospacing="0" w:after="0" w:afterAutospacing="0"/>
              <w:jc w:val="center"/>
              <w:textAlignment w:val="baseline"/>
              <w:divId w:val="1131096534"/>
              <w:rPr>
                <w:rFonts w:ascii="Segoe UI" w:hAnsi="Segoe UI" w:cs="Segoe UI"/>
                <w:sz w:val="18"/>
                <w:szCs w:val="18"/>
              </w:rPr>
            </w:pPr>
            <w:r w:rsidRPr="009457FD">
              <w:rPr>
                <w:rStyle w:val="normaltextrun"/>
                <w:rFonts w:ascii="Verdana" w:hAnsi="Verdana" w:cs="Segoe UI"/>
                <w:sz w:val="18"/>
                <w:szCs w:val="18"/>
              </w:rPr>
              <w:t>Casanare</w:t>
            </w:r>
          </w:p>
          <w:p w14:paraId="11E7F6F8" w14:textId="4C8F2CEF" w:rsidR="009457FD" w:rsidRPr="009457FD" w:rsidRDefault="009457FD" w:rsidP="00E56F7B">
            <w:pPr>
              <w:pStyle w:val="paragraph"/>
              <w:spacing w:before="0" w:beforeAutospacing="0" w:after="0" w:afterAutospacing="0"/>
              <w:jc w:val="center"/>
              <w:textAlignment w:val="baseline"/>
              <w:divId w:val="2078698878"/>
              <w:rPr>
                <w:rFonts w:ascii="Segoe UI" w:hAnsi="Segoe UI" w:cs="Segoe UI"/>
                <w:sz w:val="18"/>
                <w:szCs w:val="18"/>
              </w:rPr>
            </w:pPr>
            <w:r w:rsidRPr="009457FD">
              <w:rPr>
                <w:rStyle w:val="normaltextrun"/>
                <w:rFonts w:ascii="Verdana" w:hAnsi="Verdana" w:cs="Segoe UI"/>
                <w:sz w:val="18"/>
                <w:szCs w:val="18"/>
              </w:rPr>
              <w:t>Putumayo</w:t>
            </w:r>
          </w:p>
          <w:p w14:paraId="3F7E02AC" w14:textId="5AD883B4" w:rsidR="009457FD" w:rsidRPr="009457FD" w:rsidRDefault="009457FD" w:rsidP="00E56F7B">
            <w:pPr>
              <w:pStyle w:val="paragraph"/>
              <w:spacing w:before="0" w:beforeAutospacing="0" w:after="0" w:afterAutospacing="0"/>
              <w:jc w:val="center"/>
              <w:textAlignment w:val="baseline"/>
              <w:divId w:val="1487553816"/>
              <w:rPr>
                <w:rFonts w:ascii="Segoe UI" w:hAnsi="Segoe UI" w:cs="Segoe UI"/>
                <w:sz w:val="18"/>
                <w:szCs w:val="18"/>
              </w:rPr>
            </w:pPr>
            <w:r w:rsidRPr="009457FD">
              <w:rPr>
                <w:rStyle w:val="normaltextrun"/>
                <w:rFonts w:ascii="Verdana" w:hAnsi="Verdana" w:cs="Segoe UI"/>
                <w:sz w:val="18"/>
                <w:szCs w:val="18"/>
              </w:rPr>
              <w:t>Guainía</w:t>
            </w:r>
          </w:p>
          <w:p w14:paraId="60396244" w14:textId="3F4167FB" w:rsidR="009457FD" w:rsidRPr="009457FD" w:rsidRDefault="009457FD" w:rsidP="00E56F7B">
            <w:pPr>
              <w:pStyle w:val="paragraph"/>
              <w:spacing w:before="0" w:beforeAutospacing="0" w:after="0" w:afterAutospacing="0"/>
              <w:jc w:val="center"/>
              <w:textAlignment w:val="baseline"/>
              <w:divId w:val="995114407"/>
              <w:rPr>
                <w:rFonts w:ascii="Segoe UI" w:hAnsi="Segoe UI" w:cs="Segoe UI"/>
                <w:sz w:val="18"/>
                <w:szCs w:val="18"/>
              </w:rPr>
            </w:pPr>
            <w:r w:rsidRPr="009457FD">
              <w:rPr>
                <w:rStyle w:val="normaltextrun"/>
                <w:rFonts w:ascii="Verdana" w:hAnsi="Verdana" w:cs="Segoe UI"/>
                <w:sz w:val="18"/>
                <w:szCs w:val="18"/>
              </w:rPr>
              <w:t>Guaviare</w:t>
            </w:r>
          </w:p>
          <w:p w14:paraId="147BA61E" w14:textId="4B3EEEFC" w:rsidR="009457FD" w:rsidRPr="009457FD" w:rsidRDefault="009457FD" w:rsidP="00E56F7B">
            <w:pPr>
              <w:pStyle w:val="paragraph"/>
              <w:spacing w:before="0" w:beforeAutospacing="0" w:after="0" w:afterAutospacing="0"/>
              <w:jc w:val="center"/>
              <w:textAlignment w:val="baseline"/>
              <w:divId w:val="1040397385"/>
              <w:rPr>
                <w:rFonts w:ascii="Segoe UI" w:hAnsi="Segoe UI" w:cs="Segoe UI"/>
                <w:sz w:val="18"/>
                <w:szCs w:val="18"/>
              </w:rPr>
            </w:pPr>
            <w:r w:rsidRPr="009457FD">
              <w:rPr>
                <w:rStyle w:val="normaltextrun"/>
                <w:rFonts w:ascii="Verdana" w:hAnsi="Verdana" w:cs="Segoe UI"/>
                <w:sz w:val="18"/>
                <w:szCs w:val="18"/>
              </w:rPr>
              <w:t>Vaupés</w:t>
            </w:r>
          </w:p>
          <w:p w14:paraId="66A09773" w14:textId="48631B7A" w:rsidR="009457FD" w:rsidRPr="009457FD" w:rsidRDefault="009457FD" w:rsidP="00E56F7B">
            <w:pPr>
              <w:pStyle w:val="paragraph"/>
              <w:spacing w:before="0" w:beforeAutospacing="0" w:after="0" w:afterAutospacing="0"/>
              <w:jc w:val="center"/>
              <w:textAlignment w:val="baseline"/>
              <w:divId w:val="1520700007"/>
              <w:rPr>
                <w:rFonts w:ascii="Segoe UI" w:hAnsi="Segoe UI" w:cs="Segoe UI"/>
                <w:sz w:val="18"/>
                <w:szCs w:val="18"/>
              </w:rPr>
            </w:pPr>
            <w:r w:rsidRPr="009457FD">
              <w:rPr>
                <w:rStyle w:val="normaltextrun"/>
                <w:rFonts w:ascii="Verdana" w:hAnsi="Verdana" w:cs="Segoe UI"/>
                <w:sz w:val="18"/>
                <w:szCs w:val="18"/>
              </w:rPr>
              <w:t>Vichada</w:t>
            </w:r>
          </w:p>
          <w:p w14:paraId="1473CA04" w14:textId="1D2200AC" w:rsidR="009457FD" w:rsidRPr="009457FD" w:rsidRDefault="009457FD" w:rsidP="00E56F7B">
            <w:pPr>
              <w:spacing w:line="276" w:lineRule="auto"/>
              <w:jc w:val="center"/>
              <w:rPr>
                <w:rFonts w:ascii="Verdana" w:eastAsia="Verdana" w:hAnsi="Verdana" w:cs="Arial"/>
                <w:sz w:val="18"/>
                <w:szCs w:val="18"/>
              </w:rPr>
            </w:pPr>
            <w:r w:rsidRPr="009457FD">
              <w:rPr>
                <w:rStyle w:val="normaltextrun"/>
                <w:rFonts w:ascii="Verdana" w:hAnsi="Verdana" w:cs="Segoe UI"/>
                <w:sz w:val="18"/>
                <w:szCs w:val="18"/>
              </w:rPr>
              <w:t>No registra</w:t>
            </w:r>
          </w:p>
        </w:tc>
        <w:tc>
          <w:tcPr>
            <w:tcW w:w="4111" w:type="dxa"/>
            <w:tcMar>
              <w:left w:w="108" w:type="dxa"/>
              <w:right w:w="108" w:type="dxa"/>
            </w:tcMar>
          </w:tcPr>
          <w:p w14:paraId="29CDFAD6" w14:textId="1D9F1000" w:rsidR="00EB3964" w:rsidRDefault="00EB3964" w:rsidP="00E56F7B">
            <w:pPr>
              <w:pStyle w:val="paragraph"/>
              <w:spacing w:before="0" w:beforeAutospacing="0" w:after="0" w:afterAutospacing="0"/>
              <w:jc w:val="center"/>
              <w:textAlignment w:val="baseline"/>
              <w:divId w:val="1855919978"/>
              <w:rPr>
                <w:rStyle w:val="normaltextrun"/>
                <w:rFonts w:ascii="Verdana" w:hAnsi="Verdana" w:cs="Segoe UI"/>
                <w:sz w:val="18"/>
                <w:szCs w:val="18"/>
              </w:rPr>
            </w:pPr>
            <w:r>
              <w:rPr>
                <w:rStyle w:val="normaltextrun"/>
                <w:rFonts w:ascii="Verdana" w:hAnsi="Verdana" w:cs="Segoe UI"/>
                <w:sz w:val="18"/>
                <w:szCs w:val="18"/>
              </w:rPr>
              <w:lastRenderedPageBreak/>
              <w:t>262 personas</w:t>
            </w:r>
          </w:p>
          <w:p w14:paraId="3CF79E93" w14:textId="02A25CC7" w:rsidR="009457FD" w:rsidRPr="009457FD" w:rsidRDefault="009457FD" w:rsidP="00E56F7B">
            <w:pPr>
              <w:pStyle w:val="paragraph"/>
              <w:spacing w:before="0" w:beforeAutospacing="0" w:after="0" w:afterAutospacing="0"/>
              <w:jc w:val="center"/>
              <w:textAlignment w:val="baseline"/>
              <w:divId w:val="1855919978"/>
              <w:rPr>
                <w:rFonts w:ascii="Segoe UI" w:hAnsi="Segoe UI" w:cs="Segoe UI"/>
                <w:sz w:val="18"/>
                <w:szCs w:val="18"/>
              </w:rPr>
            </w:pPr>
            <w:r w:rsidRPr="009457FD">
              <w:rPr>
                <w:rStyle w:val="normaltextrun"/>
                <w:rFonts w:ascii="Verdana" w:hAnsi="Verdana" w:cs="Segoe UI"/>
                <w:sz w:val="18"/>
                <w:szCs w:val="18"/>
              </w:rPr>
              <w:t>24 personas</w:t>
            </w:r>
          </w:p>
          <w:p w14:paraId="028B3BEE" w14:textId="2A0CCA6F" w:rsidR="009457FD" w:rsidRPr="009457FD" w:rsidRDefault="009457FD" w:rsidP="00E56F7B">
            <w:pPr>
              <w:pStyle w:val="paragraph"/>
              <w:spacing w:before="0" w:beforeAutospacing="0" w:after="0" w:afterAutospacing="0"/>
              <w:jc w:val="center"/>
              <w:textAlignment w:val="baseline"/>
              <w:divId w:val="1411076606"/>
              <w:rPr>
                <w:rFonts w:ascii="Segoe UI" w:hAnsi="Segoe UI" w:cs="Segoe UI"/>
                <w:sz w:val="18"/>
                <w:szCs w:val="18"/>
              </w:rPr>
            </w:pPr>
            <w:r w:rsidRPr="009457FD">
              <w:rPr>
                <w:rStyle w:val="normaltextrun"/>
                <w:rFonts w:ascii="Verdana" w:hAnsi="Verdana" w:cs="Segoe UI"/>
                <w:sz w:val="18"/>
                <w:szCs w:val="18"/>
              </w:rPr>
              <w:t>161 personas</w:t>
            </w:r>
          </w:p>
          <w:p w14:paraId="3286DABA" w14:textId="47BED360" w:rsidR="009457FD" w:rsidRPr="009457FD" w:rsidRDefault="009457FD" w:rsidP="00E56F7B">
            <w:pPr>
              <w:pStyle w:val="paragraph"/>
              <w:spacing w:before="0" w:beforeAutospacing="0" w:after="0" w:afterAutospacing="0"/>
              <w:jc w:val="center"/>
              <w:textAlignment w:val="baseline"/>
              <w:divId w:val="238758863"/>
              <w:rPr>
                <w:rFonts w:ascii="Segoe UI" w:hAnsi="Segoe UI" w:cs="Segoe UI"/>
                <w:sz w:val="18"/>
                <w:szCs w:val="18"/>
              </w:rPr>
            </w:pPr>
            <w:r w:rsidRPr="009457FD">
              <w:rPr>
                <w:rStyle w:val="normaltextrun"/>
                <w:rFonts w:ascii="Verdana" w:hAnsi="Verdana" w:cs="Segoe UI"/>
                <w:sz w:val="18"/>
                <w:szCs w:val="18"/>
              </w:rPr>
              <w:t>106 personas</w:t>
            </w:r>
          </w:p>
          <w:p w14:paraId="7A81CD10" w14:textId="7EBFD58D" w:rsidR="009457FD" w:rsidRPr="009457FD" w:rsidRDefault="009457FD" w:rsidP="00E56F7B">
            <w:pPr>
              <w:pStyle w:val="paragraph"/>
              <w:spacing w:before="0" w:beforeAutospacing="0" w:after="0" w:afterAutospacing="0"/>
              <w:jc w:val="center"/>
              <w:textAlignment w:val="baseline"/>
              <w:divId w:val="1058209793"/>
              <w:rPr>
                <w:rFonts w:ascii="Segoe UI" w:hAnsi="Segoe UI" w:cs="Segoe UI"/>
                <w:sz w:val="18"/>
                <w:szCs w:val="18"/>
              </w:rPr>
            </w:pPr>
            <w:r w:rsidRPr="009457FD">
              <w:rPr>
                <w:rStyle w:val="normaltextrun"/>
                <w:rFonts w:ascii="Verdana" w:hAnsi="Verdana" w:cs="Segoe UI"/>
                <w:sz w:val="18"/>
                <w:szCs w:val="18"/>
              </w:rPr>
              <w:t>9 personas</w:t>
            </w:r>
          </w:p>
          <w:p w14:paraId="60A4D832" w14:textId="20706D99" w:rsidR="009457FD" w:rsidRPr="009457FD" w:rsidRDefault="009457FD" w:rsidP="00E56F7B">
            <w:pPr>
              <w:pStyle w:val="paragraph"/>
              <w:spacing w:before="0" w:beforeAutospacing="0" w:after="0" w:afterAutospacing="0"/>
              <w:jc w:val="center"/>
              <w:textAlignment w:val="baseline"/>
              <w:divId w:val="573471898"/>
              <w:rPr>
                <w:rFonts w:ascii="Segoe UI" w:hAnsi="Segoe UI" w:cs="Segoe UI"/>
                <w:sz w:val="18"/>
                <w:szCs w:val="18"/>
              </w:rPr>
            </w:pPr>
            <w:r w:rsidRPr="009457FD">
              <w:rPr>
                <w:rStyle w:val="normaltextrun"/>
                <w:rFonts w:ascii="Verdana" w:hAnsi="Verdana" w:cs="Segoe UI"/>
                <w:sz w:val="18"/>
                <w:szCs w:val="18"/>
              </w:rPr>
              <w:t>29 personas</w:t>
            </w:r>
          </w:p>
          <w:p w14:paraId="2F06D9E5" w14:textId="1429454D" w:rsidR="009457FD" w:rsidRPr="009457FD" w:rsidRDefault="009457FD" w:rsidP="00E56F7B">
            <w:pPr>
              <w:pStyle w:val="paragraph"/>
              <w:spacing w:before="0" w:beforeAutospacing="0" w:after="0" w:afterAutospacing="0"/>
              <w:jc w:val="center"/>
              <w:textAlignment w:val="baseline"/>
              <w:divId w:val="1378361564"/>
              <w:rPr>
                <w:rFonts w:ascii="Segoe UI" w:hAnsi="Segoe UI" w:cs="Segoe UI"/>
                <w:sz w:val="18"/>
                <w:szCs w:val="18"/>
              </w:rPr>
            </w:pPr>
            <w:r w:rsidRPr="009457FD">
              <w:rPr>
                <w:rStyle w:val="normaltextrun"/>
                <w:rFonts w:ascii="Verdana" w:hAnsi="Verdana" w:cs="Segoe UI"/>
                <w:sz w:val="18"/>
                <w:szCs w:val="18"/>
              </w:rPr>
              <w:t>226 personas</w:t>
            </w:r>
          </w:p>
          <w:p w14:paraId="34E1F6F7" w14:textId="0E544FBA" w:rsidR="009457FD" w:rsidRPr="009457FD" w:rsidRDefault="009457FD" w:rsidP="00E56F7B">
            <w:pPr>
              <w:pStyle w:val="paragraph"/>
              <w:spacing w:before="0" w:beforeAutospacing="0" w:after="0" w:afterAutospacing="0"/>
              <w:jc w:val="center"/>
              <w:textAlignment w:val="baseline"/>
              <w:divId w:val="649217221"/>
              <w:rPr>
                <w:rFonts w:ascii="Segoe UI" w:hAnsi="Segoe UI" w:cs="Segoe UI"/>
                <w:sz w:val="18"/>
                <w:szCs w:val="18"/>
              </w:rPr>
            </w:pPr>
            <w:r w:rsidRPr="009457FD">
              <w:rPr>
                <w:rStyle w:val="normaltextrun"/>
                <w:rFonts w:ascii="Verdana" w:hAnsi="Verdana" w:cs="Segoe UI"/>
                <w:sz w:val="18"/>
                <w:szCs w:val="18"/>
              </w:rPr>
              <w:t>171 personas</w:t>
            </w:r>
          </w:p>
          <w:p w14:paraId="5BCC343A" w14:textId="53834140" w:rsidR="009457FD" w:rsidRPr="009457FD" w:rsidRDefault="009457FD" w:rsidP="00E56F7B">
            <w:pPr>
              <w:pStyle w:val="paragraph"/>
              <w:spacing w:before="0" w:beforeAutospacing="0" w:after="0" w:afterAutospacing="0"/>
              <w:jc w:val="center"/>
              <w:textAlignment w:val="baseline"/>
              <w:divId w:val="1209880275"/>
              <w:rPr>
                <w:rFonts w:ascii="Segoe UI" w:hAnsi="Segoe UI" w:cs="Segoe UI"/>
                <w:sz w:val="18"/>
                <w:szCs w:val="18"/>
              </w:rPr>
            </w:pPr>
            <w:r w:rsidRPr="009457FD">
              <w:rPr>
                <w:rStyle w:val="normaltextrun"/>
                <w:rFonts w:ascii="Verdana" w:hAnsi="Verdana" w:cs="Segoe UI"/>
                <w:sz w:val="18"/>
                <w:szCs w:val="18"/>
              </w:rPr>
              <w:t>33 personas</w:t>
            </w:r>
          </w:p>
          <w:p w14:paraId="43FC6E63" w14:textId="6D6B144E" w:rsidR="009457FD" w:rsidRPr="009457FD" w:rsidRDefault="009457FD" w:rsidP="00E56F7B">
            <w:pPr>
              <w:pStyle w:val="paragraph"/>
              <w:spacing w:before="0" w:beforeAutospacing="0" w:after="0" w:afterAutospacing="0"/>
              <w:jc w:val="center"/>
              <w:textAlignment w:val="baseline"/>
              <w:divId w:val="484586518"/>
              <w:rPr>
                <w:rFonts w:ascii="Segoe UI" w:hAnsi="Segoe UI" w:cs="Segoe UI"/>
                <w:sz w:val="18"/>
                <w:szCs w:val="18"/>
              </w:rPr>
            </w:pPr>
            <w:r w:rsidRPr="009457FD">
              <w:rPr>
                <w:rStyle w:val="normaltextrun"/>
                <w:rFonts w:ascii="Verdana" w:hAnsi="Verdana" w:cs="Segoe UI"/>
                <w:sz w:val="18"/>
                <w:szCs w:val="18"/>
              </w:rPr>
              <w:t>17 personas</w:t>
            </w:r>
          </w:p>
          <w:p w14:paraId="46239339" w14:textId="3FF6EF4B" w:rsidR="009457FD" w:rsidRPr="009457FD" w:rsidRDefault="009457FD" w:rsidP="00E56F7B">
            <w:pPr>
              <w:pStyle w:val="paragraph"/>
              <w:spacing w:before="0" w:beforeAutospacing="0" w:after="0" w:afterAutospacing="0"/>
              <w:jc w:val="center"/>
              <w:textAlignment w:val="baseline"/>
              <w:divId w:val="1457026294"/>
              <w:rPr>
                <w:rFonts w:ascii="Segoe UI" w:hAnsi="Segoe UI" w:cs="Segoe UI"/>
                <w:sz w:val="18"/>
                <w:szCs w:val="18"/>
              </w:rPr>
            </w:pPr>
            <w:r w:rsidRPr="009457FD">
              <w:rPr>
                <w:rStyle w:val="normaltextrun"/>
                <w:rFonts w:ascii="Verdana" w:hAnsi="Verdana" w:cs="Segoe UI"/>
                <w:sz w:val="18"/>
                <w:szCs w:val="18"/>
              </w:rPr>
              <w:t>75 personas</w:t>
            </w:r>
          </w:p>
          <w:p w14:paraId="5DD3C194" w14:textId="7F46ECEE" w:rsidR="009457FD" w:rsidRPr="009457FD" w:rsidRDefault="009457FD" w:rsidP="00E56F7B">
            <w:pPr>
              <w:pStyle w:val="paragraph"/>
              <w:spacing w:before="0" w:beforeAutospacing="0" w:after="0" w:afterAutospacing="0"/>
              <w:jc w:val="center"/>
              <w:textAlignment w:val="baseline"/>
              <w:divId w:val="632293722"/>
              <w:rPr>
                <w:rFonts w:ascii="Segoe UI" w:hAnsi="Segoe UI" w:cs="Segoe UI"/>
                <w:sz w:val="18"/>
                <w:szCs w:val="18"/>
              </w:rPr>
            </w:pPr>
            <w:r w:rsidRPr="009457FD">
              <w:rPr>
                <w:rStyle w:val="normaltextrun"/>
                <w:rFonts w:ascii="Verdana" w:hAnsi="Verdana" w:cs="Segoe UI"/>
                <w:sz w:val="18"/>
                <w:szCs w:val="18"/>
              </w:rPr>
              <w:t>36 personas</w:t>
            </w:r>
          </w:p>
          <w:p w14:paraId="1FB63CBC" w14:textId="5EFC5AC0" w:rsidR="009457FD" w:rsidRPr="009457FD" w:rsidRDefault="009457FD" w:rsidP="00E56F7B">
            <w:pPr>
              <w:pStyle w:val="paragraph"/>
              <w:spacing w:before="0" w:beforeAutospacing="0" w:after="0" w:afterAutospacing="0"/>
              <w:jc w:val="center"/>
              <w:textAlignment w:val="baseline"/>
              <w:divId w:val="1478719651"/>
              <w:rPr>
                <w:rFonts w:ascii="Segoe UI" w:hAnsi="Segoe UI" w:cs="Segoe UI"/>
                <w:sz w:val="18"/>
                <w:szCs w:val="18"/>
              </w:rPr>
            </w:pPr>
            <w:r w:rsidRPr="009457FD">
              <w:rPr>
                <w:rStyle w:val="normaltextrun"/>
                <w:rFonts w:ascii="Verdana" w:hAnsi="Verdana" w:cs="Segoe UI"/>
                <w:sz w:val="18"/>
                <w:szCs w:val="18"/>
              </w:rPr>
              <w:t>116 personas</w:t>
            </w:r>
          </w:p>
          <w:p w14:paraId="2D44B657" w14:textId="12324DFF" w:rsidR="009457FD" w:rsidRPr="009457FD" w:rsidRDefault="009457FD" w:rsidP="00E56F7B">
            <w:pPr>
              <w:pStyle w:val="paragraph"/>
              <w:spacing w:before="0" w:beforeAutospacing="0" w:after="0" w:afterAutospacing="0"/>
              <w:jc w:val="center"/>
              <w:textAlignment w:val="baseline"/>
              <w:divId w:val="968247684"/>
              <w:rPr>
                <w:rFonts w:ascii="Segoe UI" w:hAnsi="Segoe UI" w:cs="Segoe UI"/>
                <w:sz w:val="18"/>
                <w:szCs w:val="18"/>
              </w:rPr>
            </w:pPr>
            <w:r w:rsidRPr="009457FD">
              <w:rPr>
                <w:rStyle w:val="normaltextrun"/>
                <w:rFonts w:ascii="Verdana" w:hAnsi="Verdana" w:cs="Segoe UI"/>
                <w:sz w:val="18"/>
                <w:szCs w:val="18"/>
              </w:rPr>
              <w:t>135 personas</w:t>
            </w:r>
          </w:p>
          <w:p w14:paraId="4013EA5E" w14:textId="2EE6E5BC" w:rsidR="009457FD" w:rsidRPr="009457FD" w:rsidRDefault="009457FD" w:rsidP="00E56F7B">
            <w:pPr>
              <w:pStyle w:val="paragraph"/>
              <w:spacing w:before="0" w:beforeAutospacing="0" w:after="0" w:afterAutospacing="0"/>
              <w:jc w:val="center"/>
              <w:textAlignment w:val="baseline"/>
              <w:divId w:val="1773281195"/>
              <w:rPr>
                <w:rFonts w:ascii="Segoe UI" w:hAnsi="Segoe UI" w:cs="Segoe UI"/>
                <w:sz w:val="18"/>
                <w:szCs w:val="18"/>
              </w:rPr>
            </w:pPr>
            <w:r w:rsidRPr="009457FD">
              <w:rPr>
                <w:rStyle w:val="normaltextrun"/>
                <w:rFonts w:ascii="Verdana" w:hAnsi="Verdana" w:cs="Segoe UI"/>
                <w:sz w:val="18"/>
                <w:szCs w:val="18"/>
              </w:rPr>
              <w:lastRenderedPageBreak/>
              <w:t>14 personas</w:t>
            </w:r>
          </w:p>
          <w:p w14:paraId="5712EBEB" w14:textId="6B083CAE" w:rsidR="009457FD" w:rsidRPr="009457FD" w:rsidRDefault="009457FD" w:rsidP="00E56F7B">
            <w:pPr>
              <w:pStyle w:val="paragraph"/>
              <w:spacing w:before="0" w:beforeAutospacing="0" w:after="0" w:afterAutospacing="0"/>
              <w:jc w:val="center"/>
              <w:textAlignment w:val="baseline"/>
              <w:divId w:val="1852599776"/>
              <w:rPr>
                <w:rFonts w:ascii="Segoe UI" w:hAnsi="Segoe UI" w:cs="Segoe UI"/>
                <w:sz w:val="18"/>
                <w:szCs w:val="18"/>
              </w:rPr>
            </w:pPr>
            <w:r w:rsidRPr="009457FD">
              <w:rPr>
                <w:rStyle w:val="normaltextrun"/>
                <w:rFonts w:ascii="Verdana" w:hAnsi="Verdana" w:cs="Segoe UI"/>
                <w:sz w:val="18"/>
                <w:szCs w:val="18"/>
              </w:rPr>
              <w:t>312 personas</w:t>
            </w:r>
          </w:p>
          <w:p w14:paraId="0BF17310" w14:textId="360CC1D1" w:rsidR="009457FD" w:rsidRPr="009457FD" w:rsidRDefault="009457FD" w:rsidP="00E56F7B">
            <w:pPr>
              <w:pStyle w:val="paragraph"/>
              <w:spacing w:before="0" w:beforeAutospacing="0" w:after="0" w:afterAutospacing="0"/>
              <w:jc w:val="center"/>
              <w:textAlignment w:val="baseline"/>
              <w:divId w:val="1261178705"/>
              <w:rPr>
                <w:rFonts w:ascii="Segoe UI" w:hAnsi="Segoe UI" w:cs="Segoe UI"/>
                <w:sz w:val="18"/>
                <w:szCs w:val="18"/>
              </w:rPr>
            </w:pPr>
            <w:r w:rsidRPr="009457FD">
              <w:rPr>
                <w:rStyle w:val="normaltextrun"/>
                <w:rFonts w:ascii="Verdana" w:hAnsi="Verdana" w:cs="Segoe UI"/>
                <w:sz w:val="18"/>
                <w:szCs w:val="18"/>
              </w:rPr>
              <w:t>68 personas</w:t>
            </w:r>
          </w:p>
          <w:p w14:paraId="48D7D460" w14:textId="22744A44" w:rsidR="009457FD" w:rsidRPr="009457FD" w:rsidRDefault="009457FD" w:rsidP="00E56F7B">
            <w:pPr>
              <w:pStyle w:val="paragraph"/>
              <w:spacing w:before="0" w:beforeAutospacing="0" w:after="0" w:afterAutospacing="0"/>
              <w:jc w:val="center"/>
              <w:textAlignment w:val="baseline"/>
              <w:divId w:val="416027071"/>
              <w:rPr>
                <w:rFonts w:ascii="Segoe UI" w:hAnsi="Segoe UI" w:cs="Segoe UI"/>
                <w:sz w:val="18"/>
                <w:szCs w:val="18"/>
              </w:rPr>
            </w:pPr>
            <w:r w:rsidRPr="009457FD">
              <w:rPr>
                <w:rStyle w:val="normaltextrun"/>
                <w:rFonts w:ascii="Verdana" w:hAnsi="Verdana" w:cs="Segoe UI"/>
                <w:sz w:val="18"/>
                <w:szCs w:val="18"/>
              </w:rPr>
              <w:t>69 personas</w:t>
            </w:r>
          </w:p>
          <w:p w14:paraId="1AFB3D1F" w14:textId="6251D649" w:rsidR="009457FD" w:rsidRPr="009457FD" w:rsidRDefault="009457FD" w:rsidP="00E56F7B">
            <w:pPr>
              <w:pStyle w:val="paragraph"/>
              <w:spacing w:before="0" w:beforeAutospacing="0" w:after="0" w:afterAutospacing="0"/>
              <w:jc w:val="center"/>
              <w:textAlignment w:val="baseline"/>
              <w:divId w:val="1458836392"/>
              <w:rPr>
                <w:rFonts w:ascii="Segoe UI" w:hAnsi="Segoe UI" w:cs="Segoe UI"/>
                <w:sz w:val="18"/>
                <w:szCs w:val="18"/>
              </w:rPr>
            </w:pPr>
            <w:r w:rsidRPr="009457FD">
              <w:rPr>
                <w:rStyle w:val="normaltextrun"/>
                <w:rFonts w:ascii="Verdana" w:hAnsi="Verdana" w:cs="Segoe UI"/>
                <w:sz w:val="18"/>
                <w:szCs w:val="18"/>
              </w:rPr>
              <w:t>9 personas</w:t>
            </w:r>
          </w:p>
          <w:p w14:paraId="3364845C" w14:textId="7896A893" w:rsidR="009457FD" w:rsidRPr="009457FD" w:rsidRDefault="009457FD" w:rsidP="00E56F7B">
            <w:pPr>
              <w:pStyle w:val="paragraph"/>
              <w:spacing w:before="0" w:beforeAutospacing="0" w:after="0" w:afterAutospacing="0"/>
              <w:jc w:val="center"/>
              <w:textAlignment w:val="baseline"/>
              <w:divId w:val="339504698"/>
              <w:rPr>
                <w:rFonts w:ascii="Segoe UI" w:hAnsi="Segoe UI" w:cs="Segoe UI"/>
                <w:sz w:val="18"/>
                <w:szCs w:val="18"/>
              </w:rPr>
            </w:pPr>
            <w:r w:rsidRPr="009457FD">
              <w:rPr>
                <w:rStyle w:val="normaltextrun"/>
                <w:rFonts w:ascii="Verdana" w:hAnsi="Verdana" w:cs="Segoe UI"/>
                <w:sz w:val="18"/>
                <w:szCs w:val="18"/>
              </w:rPr>
              <w:t>18 personas</w:t>
            </w:r>
          </w:p>
          <w:p w14:paraId="32369CCF" w14:textId="46CE0B7C" w:rsidR="009457FD" w:rsidRPr="009457FD" w:rsidRDefault="009457FD" w:rsidP="00E56F7B">
            <w:pPr>
              <w:pStyle w:val="paragraph"/>
              <w:spacing w:before="0" w:beforeAutospacing="0" w:after="0" w:afterAutospacing="0"/>
              <w:jc w:val="center"/>
              <w:textAlignment w:val="baseline"/>
              <w:divId w:val="1252007571"/>
              <w:rPr>
                <w:rFonts w:ascii="Segoe UI" w:hAnsi="Segoe UI" w:cs="Segoe UI"/>
                <w:sz w:val="18"/>
                <w:szCs w:val="18"/>
              </w:rPr>
            </w:pPr>
            <w:r w:rsidRPr="009457FD">
              <w:rPr>
                <w:rStyle w:val="normaltextrun"/>
                <w:rFonts w:ascii="Verdana" w:hAnsi="Verdana" w:cs="Segoe UI"/>
                <w:sz w:val="18"/>
                <w:szCs w:val="18"/>
              </w:rPr>
              <w:t>89 personas</w:t>
            </w:r>
          </w:p>
          <w:p w14:paraId="742A6D70" w14:textId="699B6617" w:rsidR="009457FD" w:rsidRPr="009457FD" w:rsidRDefault="009457FD" w:rsidP="00E56F7B">
            <w:pPr>
              <w:pStyle w:val="paragraph"/>
              <w:spacing w:before="0" w:beforeAutospacing="0" w:after="0" w:afterAutospacing="0"/>
              <w:jc w:val="center"/>
              <w:textAlignment w:val="baseline"/>
              <w:divId w:val="2111312027"/>
              <w:rPr>
                <w:rFonts w:ascii="Segoe UI" w:hAnsi="Segoe UI" w:cs="Segoe UI"/>
                <w:sz w:val="18"/>
                <w:szCs w:val="18"/>
              </w:rPr>
            </w:pPr>
            <w:r w:rsidRPr="009457FD">
              <w:rPr>
                <w:rStyle w:val="normaltextrun"/>
                <w:rFonts w:ascii="Verdana" w:hAnsi="Verdana" w:cs="Segoe UI"/>
                <w:sz w:val="18"/>
                <w:szCs w:val="18"/>
              </w:rPr>
              <w:t>79 personas</w:t>
            </w:r>
          </w:p>
          <w:p w14:paraId="1AB56364" w14:textId="09A87C97" w:rsidR="009457FD" w:rsidRPr="009457FD" w:rsidRDefault="009457FD" w:rsidP="00E56F7B">
            <w:pPr>
              <w:pStyle w:val="paragraph"/>
              <w:spacing w:before="0" w:beforeAutospacing="0" w:after="0" w:afterAutospacing="0"/>
              <w:jc w:val="center"/>
              <w:textAlignment w:val="baseline"/>
              <w:divId w:val="284236637"/>
              <w:rPr>
                <w:rFonts w:ascii="Segoe UI" w:hAnsi="Segoe UI" w:cs="Segoe UI"/>
                <w:sz w:val="18"/>
                <w:szCs w:val="18"/>
              </w:rPr>
            </w:pPr>
            <w:r w:rsidRPr="009457FD">
              <w:rPr>
                <w:rStyle w:val="normaltextrun"/>
                <w:rFonts w:ascii="Verdana" w:hAnsi="Verdana" w:cs="Segoe UI"/>
                <w:sz w:val="18"/>
                <w:szCs w:val="18"/>
              </w:rPr>
              <w:t>223 personas</w:t>
            </w:r>
          </w:p>
          <w:p w14:paraId="3BB2B6FD" w14:textId="1FC0667A" w:rsidR="009457FD" w:rsidRPr="009457FD" w:rsidRDefault="009457FD" w:rsidP="00E56F7B">
            <w:pPr>
              <w:pStyle w:val="paragraph"/>
              <w:spacing w:before="0" w:beforeAutospacing="0" w:after="0" w:afterAutospacing="0"/>
              <w:jc w:val="center"/>
              <w:textAlignment w:val="baseline"/>
              <w:divId w:val="1054279933"/>
              <w:rPr>
                <w:rFonts w:ascii="Segoe UI" w:hAnsi="Segoe UI" w:cs="Segoe UI"/>
                <w:sz w:val="18"/>
                <w:szCs w:val="18"/>
              </w:rPr>
            </w:pPr>
            <w:r w:rsidRPr="009457FD">
              <w:rPr>
                <w:rStyle w:val="normaltextrun"/>
                <w:rFonts w:ascii="Verdana" w:hAnsi="Verdana" w:cs="Segoe UI"/>
                <w:sz w:val="18"/>
                <w:szCs w:val="18"/>
              </w:rPr>
              <w:t>97 personas</w:t>
            </w:r>
          </w:p>
          <w:p w14:paraId="5222E293" w14:textId="332823F2" w:rsidR="009457FD" w:rsidRPr="009457FD" w:rsidRDefault="009457FD" w:rsidP="00E56F7B">
            <w:pPr>
              <w:pStyle w:val="paragraph"/>
              <w:spacing w:before="0" w:beforeAutospacing="0" w:after="0" w:afterAutospacing="0"/>
              <w:jc w:val="center"/>
              <w:textAlignment w:val="baseline"/>
              <w:divId w:val="1386875219"/>
              <w:rPr>
                <w:rFonts w:ascii="Segoe UI" w:hAnsi="Segoe UI" w:cs="Segoe UI"/>
                <w:sz w:val="18"/>
                <w:szCs w:val="18"/>
              </w:rPr>
            </w:pPr>
            <w:r w:rsidRPr="009457FD">
              <w:rPr>
                <w:rStyle w:val="normaltextrun"/>
                <w:rFonts w:ascii="Verdana" w:hAnsi="Verdana" w:cs="Segoe UI"/>
                <w:sz w:val="18"/>
                <w:szCs w:val="18"/>
              </w:rPr>
              <w:t>64 personas</w:t>
            </w:r>
          </w:p>
          <w:p w14:paraId="1F5AF300" w14:textId="25F7DBA6" w:rsidR="009457FD" w:rsidRPr="009457FD" w:rsidRDefault="009457FD" w:rsidP="00E56F7B">
            <w:pPr>
              <w:pStyle w:val="paragraph"/>
              <w:spacing w:before="0" w:beforeAutospacing="0" w:after="0" w:afterAutospacing="0"/>
              <w:jc w:val="center"/>
              <w:textAlignment w:val="baseline"/>
              <w:divId w:val="927616646"/>
              <w:rPr>
                <w:rFonts w:ascii="Segoe UI" w:hAnsi="Segoe UI" w:cs="Segoe UI"/>
                <w:sz w:val="18"/>
                <w:szCs w:val="18"/>
              </w:rPr>
            </w:pPr>
            <w:r w:rsidRPr="009457FD">
              <w:rPr>
                <w:rStyle w:val="normaltextrun"/>
                <w:rFonts w:ascii="Verdana" w:hAnsi="Verdana" w:cs="Segoe UI"/>
                <w:sz w:val="18"/>
                <w:szCs w:val="18"/>
              </w:rPr>
              <w:t>17 personas</w:t>
            </w:r>
          </w:p>
          <w:p w14:paraId="7F29196B" w14:textId="30B235E3" w:rsidR="009457FD" w:rsidRPr="009457FD" w:rsidRDefault="009457FD" w:rsidP="00E56F7B">
            <w:pPr>
              <w:pStyle w:val="paragraph"/>
              <w:spacing w:before="0" w:beforeAutospacing="0" w:after="0" w:afterAutospacing="0"/>
              <w:jc w:val="center"/>
              <w:textAlignment w:val="baseline"/>
              <w:divId w:val="417750883"/>
              <w:rPr>
                <w:rFonts w:ascii="Segoe UI" w:hAnsi="Segoe UI" w:cs="Segoe UI"/>
                <w:sz w:val="18"/>
                <w:szCs w:val="18"/>
              </w:rPr>
            </w:pPr>
            <w:r w:rsidRPr="009457FD">
              <w:rPr>
                <w:rStyle w:val="normaltextrun"/>
                <w:rFonts w:ascii="Verdana" w:hAnsi="Verdana" w:cs="Segoe UI"/>
                <w:sz w:val="18"/>
                <w:szCs w:val="18"/>
              </w:rPr>
              <w:t>75 personas</w:t>
            </w:r>
          </w:p>
          <w:p w14:paraId="188C1D96" w14:textId="48BAFE06" w:rsidR="009457FD" w:rsidRPr="009457FD" w:rsidRDefault="009457FD" w:rsidP="00E56F7B">
            <w:pPr>
              <w:pStyle w:val="paragraph"/>
              <w:spacing w:before="0" w:beforeAutospacing="0" w:after="0" w:afterAutospacing="0"/>
              <w:jc w:val="center"/>
              <w:textAlignment w:val="baseline"/>
              <w:divId w:val="638650502"/>
              <w:rPr>
                <w:rFonts w:ascii="Segoe UI" w:hAnsi="Segoe UI" w:cs="Segoe UI"/>
                <w:sz w:val="18"/>
                <w:szCs w:val="18"/>
              </w:rPr>
            </w:pPr>
            <w:r w:rsidRPr="009457FD">
              <w:rPr>
                <w:rStyle w:val="normaltextrun"/>
                <w:rFonts w:ascii="Verdana" w:hAnsi="Verdana" w:cs="Segoe UI"/>
                <w:sz w:val="18"/>
                <w:szCs w:val="18"/>
              </w:rPr>
              <w:t>5 personas</w:t>
            </w:r>
          </w:p>
          <w:p w14:paraId="5257B398" w14:textId="48B00D36" w:rsidR="009457FD" w:rsidRPr="009457FD" w:rsidRDefault="009457FD" w:rsidP="00E56F7B">
            <w:pPr>
              <w:pStyle w:val="paragraph"/>
              <w:spacing w:before="0" w:beforeAutospacing="0" w:after="0" w:afterAutospacing="0"/>
              <w:jc w:val="center"/>
              <w:textAlignment w:val="baseline"/>
              <w:divId w:val="2094928690"/>
              <w:rPr>
                <w:rFonts w:ascii="Segoe UI" w:hAnsi="Segoe UI" w:cs="Segoe UI"/>
                <w:sz w:val="18"/>
                <w:szCs w:val="18"/>
              </w:rPr>
            </w:pPr>
            <w:r w:rsidRPr="009457FD">
              <w:rPr>
                <w:rStyle w:val="normaltextrun"/>
                <w:rFonts w:ascii="Verdana" w:hAnsi="Verdana" w:cs="Segoe UI"/>
                <w:sz w:val="18"/>
                <w:szCs w:val="18"/>
              </w:rPr>
              <w:t>93 personas</w:t>
            </w:r>
          </w:p>
          <w:p w14:paraId="0991BF97" w14:textId="24F7B313" w:rsidR="009457FD" w:rsidRPr="009457FD" w:rsidRDefault="009457FD" w:rsidP="00E56F7B">
            <w:pPr>
              <w:pStyle w:val="paragraph"/>
              <w:spacing w:before="0" w:beforeAutospacing="0" w:after="0" w:afterAutospacing="0"/>
              <w:jc w:val="center"/>
              <w:textAlignment w:val="baseline"/>
              <w:divId w:val="1672030196"/>
              <w:rPr>
                <w:rFonts w:ascii="Segoe UI" w:hAnsi="Segoe UI" w:cs="Segoe UI"/>
                <w:sz w:val="18"/>
                <w:szCs w:val="18"/>
              </w:rPr>
            </w:pPr>
            <w:r w:rsidRPr="009457FD">
              <w:rPr>
                <w:rStyle w:val="normaltextrun"/>
                <w:rFonts w:ascii="Verdana" w:hAnsi="Verdana" w:cs="Segoe UI"/>
                <w:sz w:val="18"/>
                <w:szCs w:val="18"/>
              </w:rPr>
              <w:t>2 personas</w:t>
            </w:r>
          </w:p>
          <w:p w14:paraId="376FB083" w14:textId="4D9DAD4E" w:rsidR="009457FD" w:rsidRPr="009457FD" w:rsidRDefault="009457FD" w:rsidP="00E56F7B">
            <w:pPr>
              <w:pStyle w:val="paragraph"/>
              <w:spacing w:before="0" w:beforeAutospacing="0" w:after="0" w:afterAutospacing="0"/>
              <w:jc w:val="center"/>
              <w:textAlignment w:val="baseline"/>
              <w:divId w:val="1548571089"/>
              <w:rPr>
                <w:rFonts w:ascii="Segoe UI" w:hAnsi="Segoe UI" w:cs="Segoe UI"/>
                <w:sz w:val="18"/>
                <w:szCs w:val="18"/>
              </w:rPr>
            </w:pPr>
            <w:r w:rsidRPr="009457FD">
              <w:rPr>
                <w:rStyle w:val="normaltextrun"/>
                <w:rFonts w:ascii="Verdana" w:hAnsi="Verdana" w:cs="Segoe UI"/>
                <w:sz w:val="18"/>
                <w:szCs w:val="18"/>
              </w:rPr>
              <w:t>2 personas</w:t>
            </w:r>
          </w:p>
          <w:p w14:paraId="3919A749" w14:textId="350E552A" w:rsidR="009457FD" w:rsidRPr="009457FD" w:rsidRDefault="009457FD" w:rsidP="00E56F7B">
            <w:pPr>
              <w:spacing w:line="276" w:lineRule="auto"/>
              <w:jc w:val="center"/>
              <w:rPr>
                <w:rFonts w:ascii="Verdana" w:eastAsia="Verdana" w:hAnsi="Verdana" w:cs="Arial"/>
                <w:sz w:val="18"/>
                <w:szCs w:val="18"/>
              </w:rPr>
            </w:pPr>
            <w:r w:rsidRPr="009457FD">
              <w:rPr>
                <w:rStyle w:val="normaltextrun"/>
                <w:rFonts w:ascii="Verdana" w:hAnsi="Verdana" w:cs="Segoe UI"/>
                <w:sz w:val="18"/>
                <w:szCs w:val="18"/>
              </w:rPr>
              <w:t>20 personas</w:t>
            </w:r>
          </w:p>
        </w:tc>
      </w:tr>
    </w:tbl>
    <w:p w14:paraId="12170C48" w14:textId="77777777" w:rsidR="00B82D8C" w:rsidRDefault="00B82D8C" w:rsidP="00B82D8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lastRenderedPageBreak/>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1CD7EDBC" w14:textId="77777777" w:rsidR="00B45725" w:rsidRPr="00005CEA" w:rsidRDefault="00B45725" w:rsidP="00B45725">
      <w:pPr>
        <w:pStyle w:val="Prrafodelista"/>
        <w:spacing w:after="0" w:line="276" w:lineRule="auto"/>
        <w:jc w:val="both"/>
        <w:rPr>
          <w:rFonts w:ascii="Verdana" w:eastAsia="Calibri" w:hAnsi="Verdana" w:cs="Arial"/>
        </w:rPr>
      </w:pPr>
    </w:p>
    <w:p w14:paraId="22C812C6" w14:textId="77777777" w:rsidR="00B45725" w:rsidRPr="00AB06F3" w:rsidRDefault="00B45725" w:rsidP="00164ED5">
      <w:pPr>
        <w:pStyle w:val="Prrafodelista"/>
        <w:numPr>
          <w:ilvl w:val="0"/>
          <w:numId w:val="27"/>
        </w:numPr>
        <w:spacing w:after="0" w:line="276" w:lineRule="auto"/>
        <w:jc w:val="both"/>
        <w:rPr>
          <w:rFonts w:ascii="Verdana" w:eastAsia="Calibri" w:hAnsi="Verdana" w:cs="Arial"/>
        </w:rPr>
      </w:pPr>
      <w:r w:rsidRPr="00AB06F3">
        <w:rPr>
          <w:rFonts w:ascii="Verdana" w:eastAsia="Verdana" w:hAnsi="Verdana" w:cs="Arial"/>
          <w:sz w:val="24"/>
          <w:szCs w:val="24"/>
        </w:rPr>
        <w:t>¿Qué desafíos y retos tuvimos para el cumplimiento del indicador PMI?</w:t>
      </w:r>
      <w:r w:rsidRPr="00AB06F3">
        <w:rPr>
          <w:rFonts w:ascii="Verdana" w:eastAsia="Calibri" w:hAnsi="Verdana" w:cs="Arial"/>
        </w:rPr>
        <w:t xml:space="preserve"> </w:t>
      </w:r>
    </w:p>
    <w:p w14:paraId="64C9C24C" w14:textId="15F58162" w:rsidR="001B7C3B" w:rsidRPr="001B7C3B" w:rsidRDefault="001B7C3B" w:rsidP="001B7C3B">
      <w:pPr>
        <w:pStyle w:val="Descripcin"/>
        <w:keepNext/>
        <w:jc w:val="center"/>
        <w:rPr>
          <w:rFonts w:ascii="Verdana" w:eastAsia="Verdana" w:hAnsi="Verdana" w:cs="Arial"/>
          <w:i w:val="0"/>
          <w:iCs w:val="0"/>
          <w:color w:val="000000" w:themeColor="text1"/>
        </w:rPr>
      </w:pPr>
      <w:bookmarkStart w:id="74" w:name="_Toc225283181"/>
      <w:r w:rsidRPr="001B7C3B">
        <w:rPr>
          <w:rFonts w:ascii="Verdana" w:eastAsia="Verdana" w:hAnsi="Verdana" w:cs="Arial"/>
          <w:i w:val="0"/>
          <w:iCs w:val="0"/>
          <w:color w:val="000000" w:themeColor="text1"/>
        </w:rPr>
        <w:t xml:space="preserve">Tabla </w:t>
      </w:r>
      <w:r w:rsidRPr="001B7C3B">
        <w:rPr>
          <w:rFonts w:ascii="Verdana" w:eastAsia="Verdana" w:hAnsi="Verdana" w:cs="Arial"/>
          <w:i w:val="0"/>
          <w:iCs w:val="0"/>
          <w:color w:val="000000" w:themeColor="text1"/>
        </w:rPr>
        <w:fldChar w:fldCharType="begin"/>
      </w:r>
      <w:r w:rsidRPr="001B7C3B">
        <w:rPr>
          <w:rFonts w:ascii="Verdana" w:eastAsia="Verdana" w:hAnsi="Verdana" w:cs="Arial"/>
          <w:i w:val="0"/>
          <w:iCs w:val="0"/>
          <w:color w:val="000000" w:themeColor="text1"/>
        </w:rPr>
        <w:instrText xml:space="preserve"> SEQ Tabla \* ARABIC </w:instrText>
      </w:r>
      <w:r w:rsidRPr="001B7C3B">
        <w:rPr>
          <w:rFonts w:ascii="Verdana" w:eastAsia="Verdana" w:hAnsi="Verdana" w:cs="Arial"/>
          <w:i w:val="0"/>
          <w:iCs w:val="0"/>
          <w:color w:val="000000" w:themeColor="text1"/>
        </w:rPr>
        <w:fldChar w:fldCharType="separate"/>
      </w:r>
      <w:r w:rsidR="0078027F">
        <w:rPr>
          <w:rFonts w:ascii="Verdana" w:eastAsia="Verdana" w:hAnsi="Verdana" w:cs="Arial"/>
          <w:i w:val="0"/>
          <w:iCs w:val="0"/>
          <w:noProof/>
          <w:color w:val="000000" w:themeColor="text1"/>
        </w:rPr>
        <w:t>69</w:t>
      </w:r>
      <w:r w:rsidRPr="001B7C3B">
        <w:rPr>
          <w:rFonts w:ascii="Verdana" w:eastAsia="Verdana" w:hAnsi="Verdana" w:cs="Arial"/>
          <w:i w:val="0"/>
          <w:iCs w:val="0"/>
          <w:color w:val="000000" w:themeColor="text1"/>
        </w:rPr>
        <w:fldChar w:fldCharType="end"/>
      </w:r>
      <w:r w:rsidRPr="001B7C3B">
        <w:rPr>
          <w:rFonts w:ascii="Verdana" w:eastAsia="Verdana" w:hAnsi="Verdana" w:cs="Arial"/>
          <w:i w:val="0"/>
          <w:iCs w:val="0"/>
          <w:color w:val="000000" w:themeColor="text1"/>
        </w:rPr>
        <w:t>. Desafíos y retos del indicador C.MT.8.N.</w:t>
      </w:r>
      <w:bookmarkEnd w:id="74"/>
    </w:p>
    <w:tbl>
      <w:tblPr>
        <w:tblStyle w:val="Tablaconcuadrcula"/>
        <w:tblW w:w="8828"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4A0" w:firstRow="1" w:lastRow="0" w:firstColumn="1" w:lastColumn="0" w:noHBand="0" w:noVBand="1"/>
        <w:tblCaption w:val="Desafíos y retos del indicador "/>
        <w:tblDescription w:val="Tabla que contiene los siguientes items: tipo de reto, descripción del reto y medidas para mitigar el reto."/>
      </w:tblPr>
      <w:tblGrid>
        <w:gridCol w:w="1408"/>
        <w:gridCol w:w="4399"/>
        <w:gridCol w:w="3021"/>
      </w:tblGrid>
      <w:tr w:rsidR="00B45725" w:rsidRPr="00AB06F3" w14:paraId="6A5F5CD8" w14:textId="77777777" w:rsidTr="000537BA">
        <w:trPr>
          <w:trHeight w:val="300"/>
          <w:tblHeader/>
        </w:trPr>
        <w:tc>
          <w:tcPr>
            <w:tcW w:w="1408" w:type="dxa"/>
            <w:tcMar>
              <w:left w:w="108" w:type="dxa"/>
              <w:right w:w="108" w:type="dxa"/>
            </w:tcMar>
          </w:tcPr>
          <w:p w14:paraId="3AAC9665" w14:textId="77777777" w:rsidR="00B45725" w:rsidRPr="00436D99" w:rsidRDefault="00B45725"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Tipo de Reto</w:t>
            </w:r>
          </w:p>
        </w:tc>
        <w:tc>
          <w:tcPr>
            <w:tcW w:w="4399" w:type="dxa"/>
            <w:tcMar>
              <w:left w:w="108" w:type="dxa"/>
              <w:right w:w="108" w:type="dxa"/>
            </w:tcMar>
          </w:tcPr>
          <w:p w14:paraId="0A127DD5" w14:textId="77777777" w:rsidR="00B45725" w:rsidRPr="00436D99" w:rsidRDefault="00B45725"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Descripción del Reto</w:t>
            </w:r>
          </w:p>
        </w:tc>
        <w:tc>
          <w:tcPr>
            <w:tcW w:w="3021" w:type="dxa"/>
            <w:tcMar>
              <w:left w:w="108" w:type="dxa"/>
              <w:right w:w="108" w:type="dxa"/>
            </w:tcMar>
          </w:tcPr>
          <w:p w14:paraId="0271FF64" w14:textId="77777777" w:rsidR="00B45725" w:rsidRPr="00436D99" w:rsidRDefault="00B45725" w:rsidP="005F457D">
            <w:pPr>
              <w:spacing w:line="276" w:lineRule="auto"/>
              <w:jc w:val="center"/>
              <w:rPr>
                <w:rFonts w:ascii="Verdana" w:eastAsia="Verdana" w:hAnsi="Verdana" w:cs="Arial"/>
                <w:b/>
                <w:bCs/>
                <w:color w:val="000000" w:themeColor="text1"/>
                <w:sz w:val="18"/>
                <w:szCs w:val="18"/>
              </w:rPr>
            </w:pPr>
            <w:r w:rsidRPr="00436D99">
              <w:rPr>
                <w:rFonts w:ascii="Verdana" w:eastAsia="Verdana" w:hAnsi="Verdana" w:cs="Arial"/>
                <w:b/>
                <w:bCs/>
                <w:color w:val="000000" w:themeColor="text1"/>
                <w:sz w:val="18"/>
                <w:szCs w:val="18"/>
              </w:rPr>
              <w:t>Medidas para mitigar el Reto</w:t>
            </w:r>
          </w:p>
        </w:tc>
      </w:tr>
      <w:tr w:rsidR="00C260B0" w:rsidRPr="00AB06F3" w14:paraId="19D982C2" w14:textId="77777777" w:rsidTr="000537BA">
        <w:trPr>
          <w:trHeight w:val="300"/>
        </w:trPr>
        <w:tc>
          <w:tcPr>
            <w:tcW w:w="1408" w:type="dxa"/>
            <w:tcMar>
              <w:left w:w="108" w:type="dxa"/>
              <w:right w:w="108" w:type="dxa"/>
            </w:tcMar>
          </w:tcPr>
          <w:p w14:paraId="6779A92E" w14:textId="3C33A620" w:rsidR="00C260B0" w:rsidRPr="00AB06F3" w:rsidRDefault="00C260B0" w:rsidP="00C401E4">
            <w:pPr>
              <w:spacing w:line="276" w:lineRule="auto"/>
              <w:jc w:val="both"/>
              <w:rPr>
                <w:rFonts w:ascii="Verdana" w:eastAsia="Verdana" w:hAnsi="Verdana" w:cs="Arial"/>
                <w:color w:val="000000" w:themeColor="text1"/>
                <w:sz w:val="18"/>
                <w:szCs w:val="18"/>
              </w:rPr>
            </w:pPr>
            <w:r>
              <w:rPr>
                <w:rFonts w:ascii="Verdana" w:eastAsia="Verdana" w:hAnsi="Verdana" w:cs="Arial"/>
                <w:color w:val="000000" w:themeColor="text1"/>
                <w:sz w:val="18"/>
                <w:szCs w:val="18"/>
              </w:rPr>
              <w:t xml:space="preserve">Institucional </w:t>
            </w:r>
          </w:p>
        </w:tc>
        <w:tc>
          <w:tcPr>
            <w:tcW w:w="4399" w:type="dxa"/>
            <w:tcMar>
              <w:left w:w="108" w:type="dxa"/>
              <w:right w:w="108" w:type="dxa"/>
            </w:tcMar>
          </w:tcPr>
          <w:p w14:paraId="415C2AF8" w14:textId="09A8D70D" w:rsidR="00C260B0" w:rsidRPr="00406E9B" w:rsidRDefault="00FA48D4" w:rsidP="00C401E4">
            <w:pPr>
              <w:spacing w:line="276" w:lineRule="auto"/>
              <w:jc w:val="both"/>
              <w:rPr>
                <w:rFonts w:ascii="Verdana" w:eastAsia="Verdana" w:hAnsi="Verdana" w:cs="Arial"/>
                <w:sz w:val="18"/>
                <w:szCs w:val="18"/>
              </w:rPr>
            </w:pPr>
            <w:r w:rsidRPr="00FA48D4">
              <w:rPr>
                <w:rFonts w:ascii="Verdana" w:hAnsi="Verdana" w:cs="Segoe UI"/>
                <w:sz w:val="18"/>
                <w:szCs w:val="18"/>
              </w:rPr>
              <w:t>El Programa de Reincorporación Integral, al ser una iniciativa de reciente creación y puesta en marcha, ha implicado ajustes sustanciales en su estructura, lineamientos operativos y mecanismos de seguimiento, los cuales se han venido definiendo de manera paralela al proceso de implementación. Esta situación ha requerido procesos progresivos de adaptación y aprendizaje por parte de las entidades responsables.</w:t>
            </w:r>
            <w:r w:rsidRPr="00FA48D4">
              <w:rPr>
                <w:rFonts w:ascii="Verdana" w:hAnsi="Verdana" w:cs="Segoe UI"/>
                <w:sz w:val="18"/>
                <w:szCs w:val="18"/>
              </w:rPr>
              <w:br/>
              <w:t>En consecuencia, se han presentado desafíos relacionados con la disponibilidad, estandarización y oportunidad de la información requerida para la medición del indicador, así como en la consolidación de metodologías y fuentes de reporte. Lo anterior ha incidido en la estabilidad de los resultados durante las primeras etapas de ejecución y seguimiento del programa.</w:t>
            </w:r>
          </w:p>
        </w:tc>
        <w:tc>
          <w:tcPr>
            <w:tcW w:w="3021" w:type="dxa"/>
            <w:tcMar>
              <w:left w:w="108" w:type="dxa"/>
              <w:right w:w="108" w:type="dxa"/>
            </w:tcMar>
          </w:tcPr>
          <w:p w14:paraId="07E93D18" w14:textId="0992F27F" w:rsidR="00C260B0" w:rsidRPr="00406E9B" w:rsidRDefault="001B13DF" w:rsidP="00C401E4">
            <w:pPr>
              <w:spacing w:line="276" w:lineRule="auto"/>
              <w:jc w:val="both"/>
              <w:rPr>
                <w:rFonts w:ascii="Verdana" w:eastAsia="Verdana" w:hAnsi="Verdana" w:cs="Arial"/>
                <w:sz w:val="18"/>
                <w:szCs w:val="18"/>
              </w:rPr>
            </w:pPr>
            <w:r w:rsidRPr="001B13DF">
              <w:rPr>
                <w:rFonts w:ascii="Verdana" w:hAnsi="Verdana" w:cs="Segoe UI"/>
                <w:sz w:val="18"/>
                <w:szCs w:val="18"/>
              </w:rPr>
              <w:t>Se han implementado procesos de adaptación institucional y aprendizaje progresivo entre las entidades responsables, junto con ejercicios continuos de retroalimentación y ajuste de los mecanismos de seguimiento y evaluación del avance en los planes de reincorporación individual.</w:t>
            </w:r>
          </w:p>
        </w:tc>
      </w:tr>
    </w:tbl>
    <w:p w14:paraId="29262C92" w14:textId="77777777" w:rsidR="00B709EF" w:rsidRDefault="00B709EF" w:rsidP="00C25586">
      <w:pPr>
        <w:pStyle w:val="Prrafodelista"/>
        <w:spacing w:after="0" w:line="276" w:lineRule="auto"/>
        <w:jc w:val="both"/>
        <w:rPr>
          <w:rFonts w:ascii="Verdana" w:eastAsiaTheme="majorEastAsia" w:hAnsi="Verdana" w:cs="Arial"/>
          <w:color w:val="806000" w:themeColor="accent4" w:themeShade="80"/>
          <w:sz w:val="36"/>
          <w:szCs w:val="36"/>
        </w:rPr>
      </w:pPr>
    </w:p>
    <w:p w14:paraId="18674945" w14:textId="77777777" w:rsidR="00F90C83" w:rsidRDefault="00F90C83" w:rsidP="00C25586">
      <w:pPr>
        <w:pStyle w:val="Prrafodelista"/>
        <w:spacing w:after="0" w:line="276" w:lineRule="auto"/>
        <w:jc w:val="both"/>
        <w:rPr>
          <w:rFonts w:ascii="Verdana" w:eastAsiaTheme="majorEastAsia" w:hAnsi="Verdana" w:cs="Arial"/>
          <w:color w:val="806000" w:themeColor="accent4" w:themeShade="80"/>
          <w:sz w:val="36"/>
          <w:szCs w:val="36"/>
        </w:rPr>
      </w:pPr>
    </w:p>
    <w:p w14:paraId="58B1EA1D" w14:textId="0D709873" w:rsidR="0004237F" w:rsidRPr="00A234A7" w:rsidRDefault="0004237F" w:rsidP="00A234A7">
      <w:pPr>
        <w:pStyle w:val="Ttulo2"/>
        <w:numPr>
          <w:ilvl w:val="1"/>
          <w:numId w:val="2"/>
        </w:numPr>
        <w:spacing w:after="0" w:line="276" w:lineRule="auto"/>
        <w:jc w:val="both"/>
        <w:rPr>
          <w:rFonts w:ascii="Verdana" w:hAnsi="Verdana" w:cs="Arial"/>
          <w:color w:val="806000" w:themeColor="accent4" w:themeShade="80"/>
          <w:sz w:val="36"/>
          <w:szCs w:val="36"/>
        </w:rPr>
      </w:pPr>
      <w:bookmarkStart w:id="75" w:name="_Toc225283097"/>
      <w:r w:rsidRPr="00AB06F3">
        <w:rPr>
          <w:rFonts w:ascii="Verdana" w:hAnsi="Verdana" w:cs="Arial"/>
          <w:color w:val="806000" w:themeColor="accent4" w:themeShade="80"/>
          <w:sz w:val="36"/>
          <w:szCs w:val="36"/>
        </w:rPr>
        <w:lastRenderedPageBreak/>
        <w:t>Avances en acciones para la construcción de Paz</w:t>
      </w:r>
      <w:bookmarkEnd w:id="75"/>
      <w:r w:rsidRPr="00AB06F3">
        <w:rPr>
          <w:rFonts w:ascii="Verdana" w:hAnsi="Verdana" w:cs="Arial"/>
          <w:color w:val="806000" w:themeColor="accent4" w:themeShade="80"/>
          <w:sz w:val="36"/>
          <w:szCs w:val="36"/>
        </w:rPr>
        <w:t xml:space="preserve"> </w:t>
      </w:r>
    </w:p>
    <w:p w14:paraId="0AD9B79A" w14:textId="77777777" w:rsidR="00220A19" w:rsidRDefault="00220A19" w:rsidP="00220A19">
      <w:pPr>
        <w:spacing w:after="0" w:line="276" w:lineRule="auto"/>
        <w:jc w:val="both"/>
        <w:rPr>
          <w:rFonts w:ascii="Verdana" w:hAnsi="Verdana"/>
          <w:sz w:val="24"/>
          <w:szCs w:val="24"/>
        </w:rPr>
      </w:pPr>
    </w:p>
    <w:p w14:paraId="1421970E" w14:textId="14AB4DF0" w:rsidR="0004237F" w:rsidRPr="00220A19" w:rsidRDefault="0004237F" w:rsidP="00220A19">
      <w:pPr>
        <w:spacing w:after="0" w:line="276" w:lineRule="auto"/>
        <w:jc w:val="both"/>
        <w:rPr>
          <w:rFonts w:ascii="Verdana" w:hAnsi="Verdana"/>
          <w:sz w:val="24"/>
          <w:szCs w:val="24"/>
        </w:rPr>
      </w:pPr>
      <w:r w:rsidRPr="00220A19">
        <w:rPr>
          <w:rFonts w:ascii="Verdana" w:hAnsi="Verdana"/>
          <w:sz w:val="24"/>
          <w:szCs w:val="24"/>
        </w:rPr>
        <w:t>Otras Acciones</w:t>
      </w:r>
    </w:p>
    <w:p w14:paraId="16D44543" w14:textId="77777777" w:rsidR="00E07984" w:rsidRPr="009067F5" w:rsidRDefault="00E07984" w:rsidP="00C25586">
      <w:pPr>
        <w:spacing w:after="0" w:line="276" w:lineRule="auto"/>
        <w:jc w:val="both"/>
        <w:rPr>
          <w:rFonts w:ascii="Verdana" w:hAnsi="Verdana"/>
          <w:sz w:val="24"/>
          <w:szCs w:val="24"/>
        </w:rPr>
      </w:pPr>
    </w:p>
    <w:p w14:paraId="336F47F4" w14:textId="0850A031" w:rsidR="00220A19" w:rsidRDefault="00BA65A1" w:rsidP="00220A19">
      <w:pPr>
        <w:spacing w:after="0" w:line="276" w:lineRule="auto"/>
        <w:jc w:val="both"/>
        <w:rPr>
          <w:rFonts w:ascii="Verdana" w:hAnsi="Verdana"/>
          <w:sz w:val="24"/>
          <w:szCs w:val="24"/>
        </w:rPr>
      </w:pPr>
      <w:r w:rsidRPr="00BA65A1">
        <w:rPr>
          <w:rFonts w:ascii="Verdana" w:hAnsi="Verdana"/>
          <w:sz w:val="24"/>
          <w:szCs w:val="24"/>
        </w:rPr>
        <w:t>A continuación, se presentan los avances de la Agencia para la Reincorporación y la Normalización en la construcción de paz, en cumplimiento de las políticas y lineamientos de Paz Total establecidos en el Plan Nacional de Desarrollo, así como de la normatividad derivada de la implementación del Acuerdo Final de Paz. Estas acciones no están directamente asociadas a productos o indicadores del Plan Marco de Implementación (PMI), pero contribuyen de manera significativa al fortalecimiento del proceso de reincorporación.</w:t>
      </w:r>
    </w:p>
    <w:p w14:paraId="2347537A" w14:textId="77777777" w:rsidR="00BA65A1" w:rsidRDefault="00BA65A1" w:rsidP="00220A19">
      <w:pPr>
        <w:spacing w:after="0" w:line="276" w:lineRule="auto"/>
        <w:jc w:val="both"/>
        <w:rPr>
          <w:rFonts w:ascii="Verdana" w:eastAsia="Verdana" w:hAnsi="Verdana" w:cs="Arial"/>
          <w:sz w:val="24"/>
          <w:szCs w:val="24"/>
        </w:rPr>
      </w:pPr>
    </w:p>
    <w:p w14:paraId="53340F56" w14:textId="0F3D30D5" w:rsidR="008E682B" w:rsidRPr="008E682B" w:rsidRDefault="00BA65A1" w:rsidP="00C401E4">
      <w:pPr>
        <w:pStyle w:val="Prrafodelista"/>
        <w:numPr>
          <w:ilvl w:val="2"/>
          <w:numId w:val="21"/>
        </w:numPr>
        <w:spacing w:after="0" w:line="276" w:lineRule="auto"/>
        <w:jc w:val="both"/>
        <w:rPr>
          <w:rFonts w:ascii="Verdana" w:eastAsia="Verdana" w:hAnsi="Verdana" w:cs="Arial"/>
          <w:b/>
          <w:bCs/>
          <w:sz w:val="24"/>
          <w:szCs w:val="24"/>
        </w:rPr>
      </w:pPr>
      <w:r w:rsidRPr="008E682B">
        <w:rPr>
          <w:rFonts w:ascii="Verdana" w:eastAsia="Verdana" w:hAnsi="Verdana" w:cs="Arial"/>
          <w:b/>
          <w:bCs/>
          <w:sz w:val="24"/>
          <w:szCs w:val="24"/>
        </w:rPr>
        <w:t xml:space="preserve">CONPES </w:t>
      </w:r>
      <w:r w:rsidR="7233B44B" w:rsidRPr="008E682B">
        <w:rPr>
          <w:rFonts w:ascii="Verdana" w:eastAsia="Verdana" w:hAnsi="Verdana" w:cs="Arial"/>
          <w:b/>
          <w:bCs/>
          <w:sz w:val="24"/>
          <w:szCs w:val="24"/>
        </w:rPr>
        <w:t>3931 de 2018</w:t>
      </w:r>
      <w:r w:rsidR="00E470D6" w:rsidRPr="008E682B">
        <w:rPr>
          <w:rFonts w:ascii="Verdana" w:eastAsia="Verdana" w:hAnsi="Verdana" w:cs="Arial"/>
          <w:b/>
          <w:bCs/>
          <w:sz w:val="24"/>
          <w:szCs w:val="24"/>
        </w:rPr>
        <w:t xml:space="preserve"> </w:t>
      </w:r>
    </w:p>
    <w:p w14:paraId="19818BBC" w14:textId="05C7CAED" w:rsidR="70F3B164" w:rsidRPr="008E682B" w:rsidRDefault="008E682B" w:rsidP="00C401E4">
      <w:pPr>
        <w:pStyle w:val="Prrafodelista"/>
        <w:spacing w:after="0" w:line="276" w:lineRule="auto"/>
        <w:ind w:left="1440"/>
        <w:jc w:val="both"/>
        <w:rPr>
          <w:rFonts w:ascii="Verdana" w:eastAsia="Verdana" w:hAnsi="Verdana" w:cs="Arial"/>
          <w:sz w:val="24"/>
          <w:szCs w:val="24"/>
        </w:rPr>
      </w:pPr>
      <w:r w:rsidRPr="008E682B">
        <w:rPr>
          <w:rFonts w:ascii="Verdana" w:eastAsia="Verdana" w:hAnsi="Verdana" w:cs="Arial"/>
          <w:b/>
          <w:bCs/>
          <w:sz w:val="24"/>
          <w:szCs w:val="24"/>
        </w:rPr>
        <w:t>Política Nacional para la Reincorporación Social y Económica de exintegrantes de las FARC-EP</w:t>
      </w:r>
    </w:p>
    <w:p w14:paraId="3F4A98D1" w14:textId="226F9167" w:rsidR="00B74136" w:rsidRDefault="00D771D0" w:rsidP="00C401E4">
      <w:pPr>
        <w:spacing w:after="0" w:line="276" w:lineRule="auto"/>
        <w:jc w:val="both"/>
        <w:rPr>
          <w:rFonts w:ascii="Verdana" w:eastAsia="Verdana" w:hAnsi="Verdana" w:cs="Arial"/>
          <w:sz w:val="24"/>
          <w:szCs w:val="24"/>
        </w:rPr>
      </w:pPr>
      <w:r w:rsidRPr="00D771D0">
        <w:rPr>
          <w:rFonts w:ascii="Verdana" w:eastAsia="Verdana" w:hAnsi="Verdana" w:cs="Arial"/>
          <w:sz w:val="24"/>
          <w:szCs w:val="24"/>
        </w:rPr>
        <w:t>Durante la vigencia se implementaron acciones orientadas al cumplimiento de los cuatro objetivos de esta política pública.</w:t>
      </w:r>
    </w:p>
    <w:p w14:paraId="2BC5D745" w14:textId="77777777" w:rsidR="00D771D0" w:rsidRDefault="00D771D0" w:rsidP="00C401E4">
      <w:pPr>
        <w:spacing w:after="0" w:line="276" w:lineRule="auto"/>
        <w:jc w:val="both"/>
        <w:rPr>
          <w:rFonts w:ascii="Verdana" w:eastAsia="Verdana" w:hAnsi="Verdana" w:cs="Arial"/>
          <w:sz w:val="24"/>
          <w:szCs w:val="24"/>
        </w:rPr>
      </w:pPr>
    </w:p>
    <w:p w14:paraId="2A5AA671" w14:textId="77777777" w:rsidR="00D771D0" w:rsidRDefault="00D771D0" w:rsidP="00C401E4">
      <w:pPr>
        <w:spacing w:after="0" w:line="276" w:lineRule="auto"/>
        <w:jc w:val="both"/>
        <w:rPr>
          <w:rFonts w:ascii="Verdana" w:eastAsia="Verdana" w:hAnsi="Verdana" w:cs="Arial"/>
          <w:b/>
          <w:bCs/>
          <w:sz w:val="24"/>
          <w:szCs w:val="24"/>
        </w:rPr>
      </w:pPr>
      <w:r w:rsidRPr="00D771D0">
        <w:rPr>
          <w:rFonts w:ascii="Verdana" w:eastAsia="Verdana" w:hAnsi="Verdana" w:cs="Arial"/>
          <w:b/>
          <w:bCs/>
          <w:sz w:val="24"/>
          <w:szCs w:val="24"/>
        </w:rPr>
        <w:t>O</w:t>
      </w:r>
      <w:r w:rsidR="00225655" w:rsidRPr="00D771D0">
        <w:rPr>
          <w:rFonts w:ascii="Verdana" w:eastAsia="Verdana" w:hAnsi="Verdana" w:cs="Arial"/>
          <w:b/>
          <w:bCs/>
          <w:sz w:val="24"/>
          <w:szCs w:val="24"/>
        </w:rPr>
        <w:t>bjetivo</w:t>
      </w:r>
      <w:r w:rsidR="00225655">
        <w:rPr>
          <w:rFonts w:ascii="Verdana" w:eastAsia="Verdana" w:hAnsi="Verdana" w:cs="Arial"/>
          <w:sz w:val="24"/>
          <w:szCs w:val="24"/>
        </w:rPr>
        <w:t xml:space="preserve"> </w:t>
      </w:r>
      <w:r w:rsidR="00225655" w:rsidRPr="00225655">
        <w:rPr>
          <w:rFonts w:ascii="Verdana" w:eastAsia="Verdana" w:hAnsi="Verdana" w:cs="Arial"/>
          <w:b/>
          <w:bCs/>
          <w:sz w:val="24"/>
          <w:szCs w:val="24"/>
        </w:rPr>
        <w:t>articulación y planificación</w:t>
      </w:r>
      <w:r>
        <w:rPr>
          <w:rFonts w:ascii="Verdana" w:eastAsia="Verdana" w:hAnsi="Verdana" w:cs="Arial"/>
          <w:b/>
          <w:bCs/>
          <w:sz w:val="24"/>
          <w:szCs w:val="24"/>
        </w:rPr>
        <w:t>.</w:t>
      </w:r>
    </w:p>
    <w:p w14:paraId="6770E5C0" w14:textId="77777777" w:rsidR="00D771D0" w:rsidRDefault="00D771D0" w:rsidP="00C401E4">
      <w:pPr>
        <w:spacing w:after="0" w:line="276" w:lineRule="auto"/>
        <w:jc w:val="both"/>
        <w:rPr>
          <w:rFonts w:ascii="Verdana" w:eastAsia="Verdana" w:hAnsi="Verdana" w:cs="Arial"/>
          <w:b/>
          <w:bCs/>
          <w:sz w:val="24"/>
          <w:szCs w:val="24"/>
        </w:rPr>
      </w:pPr>
    </w:p>
    <w:p w14:paraId="14DC1B6F" w14:textId="1EA8C21A" w:rsidR="00AF0DBD" w:rsidRDefault="005B79E8" w:rsidP="00C401E4">
      <w:pPr>
        <w:spacing w:after="0" w:line="276" w:lineRule="auto"/>
        <w:jc w:val="both"/>
        <w:rPr>
          <w:rFonts w:ascii="Verdana" w:eastAsia="Verdana" w:hAnsi="Verdana" w:cs="Arial"/>
          <w:sz w:val="24"/>
          <w:szCs w:val="24"/>
        </w:rPr>
      </w:pPr>
      <w:r w:rsidRPr="005B79E8">
        <w:rPr>
          <w:rFonts w:ascii="Verdana" w:eastAsia="Verdana" w:hAnsi="Verdana" w:cs="Arial"/>
          <w:sz w:val="24"/>
          <w:szCs w:val="24"/>
        </w:rPr>
        <w:t>Se coordinó el trabajo de 37 entidades del orden nacional mediante la ejecución de 90 acciones del Sistema Nacional de Reincorporación. Asimismo, se fortalecieron el Consejo Nacional de Reincorporación y los Consejos Territoriales de Reincorporación mediante la vinculación de 39 profesionales. Se garantizó la sostenibilidad financiera del proceso a través de la programación presupuestal para el periodo 2026–2029 y se optimizó el Sistema de Información para la Reintegración y la Reincorporación mediante la implementación de 103 mejoras técnicas. Adicionalmente, 404 servidores públicos fueron capacitados en enfoque de género.</w:t>
      </w:r>
    </w:p>
    <w:p w14:paraId="5A4232CC" w14:textId="77777777" w:rsidR="005B79E8" w:rsidRDefault="005B79E8" w:rsidP="00C401E4">
      <w:pPr>
        <w:spacing w:after="0" w:line="276" w:lineRule="auto"/>
        <w:jc w:val="both"/>
        <w:rPr>
          <w:rFonts w:ascii="Verdana" w:eastAsia="Verdana" w:hAnsi="Verdana" w:cs="Arial"/>
          <w:sz w:val="24"/>
          <w:szCs w:val="24"/>
        </w:rPr>
      </w:pPr>
    </w:p>
    <w:p w14:paraId="7C1EAC4E" w14:textId="77777777" w:rsidR="005B79E8" w:rsidRDefault="005B79E8" w:rsidP="00C401E4">
      <w:pPr>
        <w:spacing w:after="0" w:line="276" w:lineRule="auto"/>
        <w:jc w:val="both"/>
        <w:rPr>
          <w:rFonts w:ascii="Verdana" w:eastAsia="Verdana" w:hAnsi="Verdana" w:cs="Arial"/>
          <w:b/>
          <w:bCs/>
          <w:sz w:val="24"/>
          <w:szCs w:val="24"/>
        </w:rPr>
      </w:pPr>
      <w:r w:rsidRPr="005B79E8">
        <w:rPr>
          <w:rFonts w:ascii="Verdana" w:eastAsia="Verdana" w:hAnsi="Verdana" w:cs="Arial"/>
          <w:b/>
          <w:bCs/>
          <w:sz w:val="24"/>
          <w:szCs w:val="24"/>
        </w:rPr>
        <w:t>O</w:t>
      </w:r>
      <w:r w:rsidR="00A80E08" w:rsidRPr="005B79E8">
        <w:rPr>
          <w:rFonts w:ascii="Verdana" w:eastAsia="Verdana" w:hAnsi="Verdana" w:cs="Arial"/>
          <w:b/>
          <w:bCs/>
          <w:sz w:val="24"/>
          <w:szCs w:val="24"/>
        </w:rPr>
        <w:t>bjetivo</w:t>
      </w:r>
      <w:r w:rsidR="00A80E08">
        <w:rPr>
          <w:rFonts w:ascii="Verdana" w:eastAsia="Verdana" w:hAnsi="Verdana" w:cs="Arial"/>
          <w:sz w:val="24"/>
          <w:szCs w:val="24"/>
        </w:rPr>
        <w:t xml:space="preserve"> </w:t>
      </w:r>
      <w:r w:rsidR="00225655" w:rsidRPr="00225655">
        <w:rPr>
          <w:rFonts w:ascii="Verdana" w:eastAsia="Verdana" w:hAnsi="Verdana" w:cs="Arial"/>
          <w:b/>
          <w:bCs/>
          <w:sz w:val="24"/>
          <w:szCs w:val="24"/>
        </w:rPr>
        <w:t>reincorporación comunitaria</w:t>
      </w:r>
      <w:r>
        <w:rPr>
          <w:rFonts w:ascii="Verdana" w:eastAsia="Verdana" w:hAnsi="Verdana" w:cs="Arial"/>
          <w:b/>
          <w:bCs/>
          <w:sz w:val="24"/>
          <w:szCs w:val="24"/>
        </w:rPr>
        <w:t>.</w:t>
      </w:r>
    </w:p>
    <w:p w14:paraId="58B9A43C" w14:textId="1153AED2" w:rsidR="00225655" w:rsidRPr="00225655" w:rsidRDefault="005B79E8" w:rsidP="00C401E4">
      <w:pPr>
        <w:spacing w:after="0" w:line="276" w:lineRule="auto"/>
        <w:jc w:val="both"/>
        <w:rPr>
          <w:rFonts w:ascii="Verdana" w:eastAsia="Verdana" w:hAnsi="Verdana" w:cs="Arial"/>
          <w:sz w:val="24"/>
          <w:szCs w:val="24"/>
        </w:rPr>
      </w:pPr>
      <w:r>
        <w:rPr>
          <w:rFonts w:ascii="Verdana" w:eastAsia="Verdana" w:hAnsi="Verdana" w:cs="Arial"/>
          <w:sz w:val="24"/>
          <w:szCs w:val="24"/>
        </w:rPr>
        <w:t>S</w:t>
      </w:r>
      <w:r w:rsidR="00225655" w:rsidRPr="00225655">
        <w:rPr>
          <w:rFonts w:ascii="Verdana" w:eastAsia="Verdana" w:hAnsi="Verdana" w:cs="Arial"/>
          <w:sz w:val="24"/>
          <w:szCs w:val="24"/>
        </w:rPr>
        <w:t xml:space="preserve">e suscribieron 10 acuerdos de subvención </w:t>
      </w:r>
      <w:r w:rsidR="00CD344E" w:rsidRPr="00CD344E">
        <w:rPr>
          <w:rFonts w:ascii="Verdana" w:eastAsia="Verdana" w:hAnsi="Verdana" w:cs="Arial"/>
          <w:sz w:val="24"/>
          <w:szCs w:val="24"/>
        </w:rPr>
        <w:t xml:space="preserve">alcanzando un acumulado de 71 proyectos. Asimismo, se implementaron 30 Agendas Territoriales, se postularon 16 proyectos colectivos —de los cuales dos fueron aprobados </w:t>
      </w:r>
      <w:r w:rsidR="00CD344E" w:rsidRPr="00CD344E">
        <w:rPr>
          <w:rFonts w:ascii="Verdana" w:eastAsia="Verdana" w:hAnsi="Verdana" w:cs="Arial"/>
          <w:sz w:val="24"/>
          <w:szCs w:val="24"/>
        </w:rPr>
        <w:lastRenderedPageBreak/>
        <w:t>por un valor de $798 millones— y se promovió el liderazgo de más de 600 mujeres en espacios de reconciliación y formación.</w:t>
      </w:r>
    </w:p>
    <w:p w14:paraId="7B4EF651" w14:textId="77777777" w:rsidR="00A80E08" w:rsidRDefault="00A80E08" w:rsidP="00C401E4">
      <w:pPr>
        <w:spacing w:after="0" w:line="276" w:lineRule="auto"/>
        <w:jc w:val="both"/>
        <w:rPr>
          <w:rFonts w:ascii="Verdana" w:eastAsia="Verdana" w:hAnsi="Verdana" w:cs="Arial"/>
          <w:sz w:val="24"/>
          <w:szCs w:val="24"/>
        </w:rPr>
      </w:pPr>
    </w:p>
    <w:p w14:paraId="0E09FFAB" w14:textId="77777777" w:rsidR="00F05418" w:rsidRDefault="00CD344E" w:rsidP="00C401E4">
      <w:pPr>
        <w:spacing w:after="0" w:line="276" w:lineRule="auto"/>
        <w:jc w:val="both"/>
        <w:rPr>
          <w:rFonts w:ascii="Verdana" w:eastAsia="Verdana" w:hAnsi="Verdana" w:cs="Arial"/>
          <w:b/>
          <w:bCs/>
          <w:sz w:val="24"/>
          <w:szCs w:val="24"/>
        </w:rPr>
      </w:pPr>
      <w:r w:rsidRPr="00CD344E">
        <w:rPr>
          <w:rFonts w:ascii="Verdana" w:eastAsia="Verdana" w:hAnsi="Verdana" w:cs="Arial"/>
          <w:b/>
          <w:bCs/>
          <w:sz w:val="24"/>
          <w:szCs w:val="24"/>
        </w:rPr>
        <w:t>O</w:t>
      </w:r>
      <w:r w:rsidR="00A80E08" w:rsidRPr="00CD344E">
        <w:rPr>
          <w:rFonts w:ascii="Verdana" w:eastAsia="Verdana" w:hAnsi="Verdana" w:cs="Arial"/>
          <w:b/>
          <w:bCs/>
          <w:sz w:val="24"/>
          <w:szCs w:val="24"/>
        </w:rPr>
        <w:t>bjetivo</w:t>
      </w:r>
      <w:r w:rsidR="00A80E08">
        <w:rPr>
          <w:rFonts w:ascii="Verdana" w:eastAsia="Verdana" w:hAnsi="Verdana" w:cs="Arial"/>
          <w:sz w:val="24"/>
          <w:szCs w:val="24"/>
        </w:rPr>
        <w:t xml:space="preserve"> </w:t>
      </w:r>
      <w:r w:rsidR="00225655" w:rsidRPr="00225655">
        <w:rPr>
          <w:rFonts w:ascii="Verdana" w:eastAsia="Verdana" w:hAnsi="Verdana" w:cs="Arial"/>
          <w:b/>
          <w:bCs/>
          <w:sz w:val="24"/>
          <w:szCs w:val="24"/>
        </w:rPr>
        <w:t>reincorporación económica</w:t>
      </w:r>
      <w:r w:rsidR="00F05418">
        <w:rPr>
          <w:rFonts w:ascii="Verdana" w:eastAsia="Verdana" w:hAnsi="Verdana" w:cs="Arial"/>
          <w:b/>
          <w:bCs/>
          <w:sz w:val="24"/>
          <w:szCs w:val="24"/>
        </w:rPr>
        <w:t>.</w:t>
      </w:r>
    </w:p>
    <w:p w14:paraId="64DE748D" w14:textId="02FBA747" w:rsidR="00225655" w:rsidRPr="00225655" w:rsidRDefault="00F05418" w:rsidP="00C401E4">
      <w:pPr>
        <w:spacing w:after="0" w:line="276" w:lineRule="auto"/>
        <w:jc w:val="both"/>
        <w:rPr>
          <w:rFonts w:ascii="Verdana" w:eastAsia="Verdana" w:hAnsi="Verdana" w:cs="Arial"/>
          <w:sz w:val="24"/>
          <w:szCs w:val="24"/>
        </w:rPr>
      </w:pPr>
      <w:r w:rsidRPr="00F05418">
        <w:rPr>
          <w:rFonts w:ascii="Verdana" w:eastAsia="Verdana" w:hAnsi="Verdana" w:cs="Arial"/>
          <w:sz w:val="24"/>
          <w:szCs w:val="24"/>
        </w:rPr>
        <w:t>Se caracterizaron 1.702 personas en materia de empleabilidad; 1.041 recibieron orientación laboral y 44 lograron vinculación laboral. Además, se aprobaron 22 proyectos productivos y 18 planes de sostenibilidad que beneficiaron a 938 personas. De igual manera, se financiaron 14 iniciativas comunitarias por un valor superior a $5.191 millones y se implementó la estrategia de redistribución del cuidado en 14 municipios.</w:t>
      </w:r>
    </w:p>
    <w:p w14:paraId="52F9678C" w14:textId="77777777" w:rsidR="00A80E08" w:rsidRDefault="00A80E08" w:rsidP="00C401E4">
      <w:pPr>
        <w:spacing w:after="0" w:line="276" w:lineRule="auto"/>
        <w:jc w:val="both"/>
        <w:rPr>
          <w:rFonts w:ascii="Verdana" w:eastAsia="Verdana" w:hAnsi="Verdana" w:cs="Arial"/>
          <w:sz w:val="24"/>
          <w:szCs w:val="24"/>
        </w:rPr>
      </w:pPr>
    </w:p>
    <w:p w14:paraId="0259E7B2" w14:textId="77777777" w:rsidR="00F05418" w:rsidRDefault="00F05418" w:rsidP="00C401E4">
      <w:pPr>
        <w:spacing w:after="0" w:line="276" w:lineRule="auto"/>
        <w:jc w:val="both"/>
        <w:rPr>
          <w:rFonts w:ascii="Verdana" w:eastAsia="Verdana" w:hAnsi="Verdana" w:cs="Arial"/>
          <w:b/>
          <w:bCs/>
          <w:sz w:val="24"/>
          <w:szCs w:val="24"/>
        </w:rPr>
      </w:pPr>
      <w:r w:rsidRPr="00F05418">
        <w:rPr>
          <w:rFonts w:ascii="Verdana" w:eastAsia="Verdana" w:hAnsi="Verdana" w:cs="Arial"/>
          <w:b/>
          <w:bCs/>
          <w:sz w:val="24"/>
          <w:szCs w:val="24"/>
        </w:rPr>
        <w:t>O</w:t>
      </w:r>
      <w:r w:rsidR="00E470D6" w:rsidRPr="00F05418">
        <w:rPr>
          <w:rFonts w:ascii="Verdana" w:eastAsia="Verdana" w:hAnsi="Verdana" w:cs="Arial"/>
          <w:b/>
          <w:bCs/>
          <w:sz w:val="24"/>
          <w:szCs w:val="24"/>
        </w:rPr>
        <w:t>bjetivo</w:t>
      </w:r>
      <w:r w:rsidRPr="00F05418">
        <w:rPr>
          <w:rFonts w:ascii="Verdana" w:eastAsia="Verdana" w:hAnsi="Verdana" w:cs="Arial"/>
          <w:b/>
          <w:bCs/>
          <w:sz w:val="24"/>
          <w:szCs w:val="24"/>
        </w:rPr>
        <w:t>:</w:t>
      </w:r>
      <w:r w:rsidR="00225655" w:rsidRPr="00225655">
        <w:rPr>
          <w:rFonts w:ascii="Verdana" w:eastAsia="Verdana" w:hAnsi="Verdana" w:cs="Arial"/>
          <w:sz w:val="24"/>
          <w:szCs w:val="24"/>
        </w:rPr>
        <w:t xml:space="preserve"> </w:t>
      </w:r>
      <w:r w:rsidR="00225655" w:rsidRPr="00225655">
        <w:rPr>
          <w:rFonts w:ascii="Verdana" w:eastAsia="Verdana" w:hAnsi="Verdana" w:cs="Arial"/>
          <w:b/>
          <w:bCs/>
          <w:sz w:val="24"/>
          <w:szCs w:val="24"/>
        </w:rPr>
        <w:t>derechos fundamentales</w:t>
      </w:r>
    </w:p>
    <w:p w14:paraId="452A2E7F" w14:textId="224FBBA5" w:rsidR="00225655" w:rsidRPr="00225655" w:rsidRDefault="00F05418" w:rsidP="00C401E4">
      <w:pPr>
        <w:spacing w:after="0" w:line="276" w:lineRule="auto"/>
        <w:jc w:val="both"/>
        <w:rPr>
          <w:rFonts w:ascii="Verdana" w:eastAsia="Verdana" w:hAnsi="Verdana" w:cs="Arial"/>
          <w:sz w:val="24"/>
          <w:szCs w:val="24"/>
        </w:rPr>
      </w:pPr>
      <w:r w:rsidRPr="00F05418">
        <w:rPr>
          <w:rFonts w:ascii="Verdana" w:eastAsia="Verdana" w:hAnsi="Verdana" w:cs="Arial"/>
          <w:sz w:val="24"/>
          <w:szCs w:val="24"/>
        </w:rPr>
        <w:t>S</w:t>
      </w:r>
      <w:r w:rsidR="00225655" w:rsidRPr="00225655">
        <w:rPr>
          <w:rFonts w:ascii="Verdana" w:eastAsia="Verdana" w:hAnsi="Verdana" w:cs="Arial"/>
          <w:sz w:val="24"/>
          <w:szCs w:val="24"/>
        </w:rPr>
        <w:t xml:space="preserve">e </w:t>
      </w:r>
      <w:r w:rsidR="004147A0" w:rsidRPr="004147A0">
        <w:rPr>
          <w:rFonts w:ascii="Verdana" w:eastAsia="Verdana" w:hAnsi="Verdana" w:cs="Arial"/>
          <w:sz w:val="24"/>
          <w:szCs w:val="24"/>
        </w:rPr>
        <w:t>desarrollaron 1.792 acciones pedagógicas en salud que beneficiaron a 3.688 personas. En educación, se registraron 2.242 matrículas en formación para el trabajo y 470 en formación académica, con bajos niveles de deserción. Asimismo, se realizaron 170.940 atenciones integrales, se implementó la Estrategia de Seguridad para Mujeres, se alcanzó una cobertura del 99,95 % en la socialización normativa y se fortalecieron acciones diferenciales dirigidas a jóvenes, personas mayores, población étnica y personas con orientaciones sexuales e identidades de género diversas (OSIGD), consolidando una reincorporación sostenible con enfoque territorial y de género.</w:t>
      </w:r>
    </w:p>
    <w:p w14:paraId="5EBC2CAD" w14:textId="77777777" w:rsidR="001A23D5" w:rsidRPr="00B440C5" w:rsidRDefault="001A23D5" w:rsidP="00643E60">
      <w:pPr>
        <w:pStyle w:val="Prrafodelista"/>
        <w:spacing w:after="0" w:line="276" w:lineRule="auto"/>
        <w:rPr>
          <w:rFonts w:ascii="Verdana" w:eastAsia="Verdana" w:hAnsi="Verdana" w:cs="Arial"/>
          <w:sz w:val="24"/>
          <w:szCs w:val="24"/>
        </w:rPr>
      </w:pPr>
    </w:p>
    <w:p w14:paraId="0362F229" w14:textId="5A1614D3" w:rsidR="5A7A310E" w:rsidRPr="00261E1D" w:rsidRDefault="00A234A7" w:rsidP="00C401E4">
      <w:pPr>
        <w:spacing w:after="0" w:line="276" w:lineRule="auto"/>
        <w:jc w:val="both"/>
        <w:rPr>
          <w:rFonts w:ascii="Verdana" w:eastAsia="Verdana" w:hAnsi="Verdana" w:cs="Arial"/>
          <w:b/>
          <w:bCs/>
          <w:sz w:val="24"/>
          <w:szCs w:val="24"/>
        </w:rPr>
      </w:pPr>
      <w:r>
        <w:rPr>
          <w:rFonts w:ascii="Verdana" w:eastAsia="Verdana" w:hAnsi="Verdana" w:cs="Arial"/>
          <w:b/>
          <w:bCs/>
          <w:sz w:val="24"/>
          <w:szCs w:val="24"/>
        </w:rPr>
        <w:t xml:space="preserve">1.2.2. </w:t>
      </w:r>
      <w:r w:rsidR="004147A0" w:rsidRPr="00261E1D">
        <w:rPr>
          <w:rFonts w:ascii="Verdana" w:eastAsia="Verdana" w:hAnsi="Verdana" w:cs="Arial"/>
          <w:b/>
          <w:bCs/>
          <w:sz w:val="24"/>
          <w:szCs w:val="24"/>
        </w:rPr>
        <w:t xml:space="preserve">CONPES </w:t>
      </w:r>
      <w:r w:rsidR="5A7A310E" w:rsidRPr="00261E1D">
        <w:rPr>
          <w:rFonts w:ascii="Verdana" w:eastAsia="Verdana" w:hAnsi="Verdana" w:cs="Arial"/>
          <w:b/>
          <w:bCs/>
          <w:sz w:val="24"/>
          <w:szCs w:val="24"/>
        </w:rPr>
        <w:t>4040</w:t>
      </w:r>
      <w:r w:rsidR="2109FE66" w:rsidRPr="00261E1D">
        <w:rPr>
          <w:rFonts w:ascii="Verdana" w:eastAsia="Verdana" w:hAnsi="Verdana" w:cs="Arial"/>
          <w:b/>
          <w:bCs/>
          <w:sz w:val="24"/>
          <w:szCs w:val="24"/>
        </w:rPr>
        <w:t xml:space="preserve"> </w:t>
      </w:r>
      <w:r w:rsidR="4BA3203B" w:rsidRPr="00261E1D">
        <w:rPr>
          <w:rFonts w:ascii="Verdana" w:eastAsia="Verdana" w:hAnsi="Verdana" w:cs="Arial"/>
          <w:b/>
          <w:bCs/>
          <w:sz w:val="24"/>
          <w:szCs w:val="24"/>
        </w:rPr>
        <w:t xml:space="preserve">Pacto Colombia con las Juventudes: Estrategia para Fortalecer el Desarrollo Integral de la Juventud </w:t>
      </w:r>
    </w:p>
    <w:p w14:paraId="3C368198" w14:textId="463D742B" w:rsidR="70F3B164" w:rsidRPr="00261E1D" w:rsidRDefault="70F3B164" w:rsidP="00C401E4">
      <w:pPr>
        <w:spacing w:after="0" w:line="276" w:lineRule="auto"/>
        <w:jc w:val="both"/>
        <w:rPr>
          <w:rFonts w:ascii="Verdana" w:eastAsia="Verdana" w:hAnsi="Verdana" w:cs="Arial"/>
          <w:sz w:val="24"/>
          <w:szCs w:val="24"/>
        </w:rPr>
      </w:pPr>
    </w:p>
    <w:p w14:paraId="6D9E2197" w14:textId="4DB97B9F" w:rsidR="00261E1D" w:rsidRPr="002030C7" w:rsidRDefault="4BA3203B" w:rsidP="00C401E4">
      <w:pPr>
        <w:spacing w:after="0" w:line="276" w:lineRule="auto"/>
        <w:jc w:val="both"/>
        <w:rPr>
          <w:rFonts w:ascii="Verdana" w:eastAsia="Verdana" w:hAnsi="Verdana" w:cs="Arial"/>
          <w:sz w:val="24"/>
          <w:szCs w:val="24"/>
        </w:rPr>
      </w:pPr>
      <w:r w:rsidRPr="000C4F22">
        <w:rPr>
          <w:rFonts w:ascii="Verdana" w:eastAsia="Verdana" w:hAnsi="Verdana" w:cs="Arial"/>
          <w:b/>
          <w:bCs/>
          <w:sz w:val="24"/>
          <w:szCs w:val="24"/>
        </w:rPr>
        <w:t xml:space="preserve">Acción 2.37 </w:t>
      </w:r>
      <w:r w:rsidRPr="00261E1D">
        <w:rPr>
          <w:rFonts w:ascii="Verdana" w:eastAsia="Verdana" w:hAnsi="Verdana" w:cs="Arial"/>
          <w:sz w:val="24"/>
          <w:szCs w:val="24"/>
        </w:rPr>
        <w:t xml:space="preserve">Incluir en el informe de gestión trimestral de la ARN, el avance correspondiente a la asignación mensual otorgada a jóvenes </w:t>
      </w:r>
      <w:r w:rsidRPr="002030C7">
        <w:rPr>
          <w:rFonts w:ascii="Verdana" w:eastAsia="Verdana" w:hAnsi="Verdana" w:cs="Arial"/>
          <w:sz w:val="24"/>
          <w:szCs w:val="24"/>
        </w:rPr>
        <w:t>entre 18 y 28 años en proceso de reincorporación</w:t>
      </w:r>
      <w:r w:rsidR="002030C7" w:rsidRPr="002030C7">
        <w:rPr>
          <w:rFonts w:ascii="Verdana" w:eastAsia="Verdana" w:hAnsi="Verdana" w:cs="Arial"/>
          <w:sz w:val="24"/>
          <w:szCs w:val="24"/>
        </w:rPr>
        <w:t>. Durante la vigencia 2025 se realizaron 9.206 desembolsos por un valor total de $11.794.044.600, beneficiando a 914 jóvenes firmantes del Acuerdo de Paz, de los cuales 437 son mujeres y 477 hombres.</w:t>
      </w:r>
    </w:p>
    <w:p w14:paraId="611A430E" w14:textId="77777777" w:rsidR="002030C7" w:rsidRPr="00261E1D" w:rsidRDefault="002030C7" w:rsidP="00C401E4">
      <w:pPr>
        <w:spacing w:after="0" w:line="276" w:lineRule="auto"/>
        <w:jc w:val="both"/>
        <w:rPr>
          <w:rFonts w:ascii="Verdana" w:eastAsia="Verdana" w:hAnsi="Verdana" w:cs="Arial"/>
          <w:sz w:val="24"/>
          <w:szCs w:val="24"/>
        </w:rPr>
      </w:pPr>
    </w:p>
    <w:p w14:paraId="34A7432A" w14:textId="77777777" w:rsidR="00985963" w:rsidRDefault="00985963" w:rsidP="00C401E4">
      <w:pPr>
        <w:spacing w:after="0" w:line="276" w:lineRule="auto"/>
        <w:jc w:val="both"/>
        <w:rPr>
          <w:rFonts w:ascii="Verdana" w:eastAsia="Verdana" w:hAnsi="Verdana" w:cs="Arial"/>
          <w:b/>
          <w:bCs/>
          <w:sz w:val="24"/>
          <w:szCs w:val="24"/>
        </w:rPr>
      </w:pPr>
    </w:p>
    <w:p w14:paraId="5F396E2B" w14:textId="48829988" w:rsidR="5A7A310E" w:rsidRDefault="00A234A7" w:rsidP="00C401E4">
      <w:pPr>
        <w:spacing w:after="0" w:line="276" w:lineRule="auto"/>
        <w:jc w:val="both"/>
        <w:rPr>
          <w:rFonts w:ascii="Verdana" w:eastAsia="Verdana" w:hAnsi="Verdana" w:cs="Arial"/>
          <w:b/>
          <w:bCs/>
          <w:sz w:val="24"/>
          <w:szCs w:val="24"/>
        </w:rPr>
      </w:pPr>
      <w:r>
        <w:rPr>
          <w:rFonts w:ascii="Verdana" w:eastAsia="Verdana" w:hAnsi="Verdana" w:cs="Arial"/>
          <w:b/>
          <w:bCs/>
          <w:sz w:val="24"/>
          <w:szCs w:val="24"/>
        </w:rPr>
        <w:t xml:space="preserve">1.2.3. </w:t>
      </w:r>
      <w:r w:rsidR="002030C7" w:rsidRPr="00261E1D">
        <w:rPr>
          <w:rFonts w:ascii="Verdana" w:eastAsia="Verdana" w:hAnsi="Verdana" w:cs="Arial"/>
          <w:b/>
          <w:bCs/>
          <w:sz w:val="24"/>
          <w:szCs w:val="24"/>
        </w:rPr>
        <w:t xml:space="preserve">CONPES </w:t>
      </w:r>
      <w:r w:rsidR="5A7A310E" w:rsidRPr="00261E1D">
        <w:rPr>
          <w:rFonts w:ascii="Verdana" w:eastAsia="Verdana" w:hAnsi="Verdana" w:cs="Arial"/>
          <w:b/>
          <w:bCs/>
          <w:sz w:val="24"/>
          <w:szCs w:val="24"/>
        </w:rPr>
        <w:t>4080</w:t>
      </w:r>
      <w:r w:rsidR="729DE820" w:rsidRPr="00261E1D">
        <w:rPr>
          <w:rFonts w:ascii="Verdana" w:eastAsia="Verdana" w:hAnsi="Verdana" w:cs="Arial"/>
          <w:b/>
          <w:bCs/>
          <w:sz w:val="24"/>
          <w:szCs w:val="24"/>
        </w:rPr>
        <w:t xml:space="preserve"> </w:t>
      </w:r>
      <w:r w:rsidR="3DD8662F" w:rsidRPr="00261E1D">
        <w:rPr>
          <w:rFonts w:ascii="Verdana" w:eastAsia="Verdana" w:hAnsi="Verdana" w:cs="Arial"/>
          <w:b/>
          <w:bCs/>
          <w:sz w:val="24"/>
          <w:szCs w:val="24"/>
        </w:rPr>
        <w:t>Política Pública de Equidad de Género para las Mujeres: Hacia el Desarrollo Sostenible del País</w:t>
      </w:r>
      <w:r w:rsidR="19AAC4F8" w:rsidRPr="00261E1D">
        <w:rPr>
          <w:rFonts w:ascii="Verdana" w:eastAsia="Verdana" w:hAnsi="Verdana" w:cs="Arial"/>
          <w:b/>
          <w:bCs/>
          <w:sz w:val="24"/>
          <w:szCs w:val="24"/>
        </w:rPr>
        <w:t>.</w:t>
      </w:r>
    </w:p>
    <w:p w14:paraId="6107454A" w14:textId="77777777" w:rsidR="00164ED5" w:rsidRPr="00261E1D" w:rsidRDefault="00164ED5" w:rsidP="00C401E4">
      <w:pPr>
        <w:spacing w:after="0" w:line="276" w:lineRule="auto"/>
        <w:jc w:val="both"/>
        <w:rPr>
          <w:rFonts w:ascii="Verdana" w:eastAsia="Verdana" w:hAnsi="Verdana" w:cs="Arial"/>
          <w:b/>
          <w:bCs/>
          <w:sz w:val="24"/>
          <w:szCs w:val="24"/>
        </w:rPr>
      </w:pPr>
    </w:p>
    <w:p w14:paraId="09373F70" w14:textId="77777777" w:rsidR="00164ED5" w:rsidRDefault="00164ED5" w:rsidP="00C401E4">
      <w:pPr>
        <w:spacing w:after="0" w:line="276" w:lineRule="auto"/>
        <w:jc w:val="both"/>
        <w:rPr>
          <w:rFonts w:ascii="Verdana" w:eastAsia="Verdana" w:hAnsi="Verdana" w:cs="Arial"/>
          <w:sz w:val="24"/>
          <w:szCs w:val="24"/>
        </w:rPr>
      </w:pPr>
      <w:r w:rsidRPr="00164ED5">
        <w:rPr>
          <w:rFonts w:ascii="Verdana" w:eastAsia="Verdana" w:hAnsi="Verdana" w:cs="Arial"/>
          <w:sz w:val="24"/>
          <w:szCs w:val="24"/>
        </w:rPr>
        <w:t>Durante la vigencia se registraron los siguientes avances:</w:t>
      </w:r>
    </w:p>
    <w:p w14:paraId="25936BB6" w14:textId="77777777" w:rsidR="00164ED5" w:rsidRPr="00164ED5" w:rsidRDefault="00164ED5" w:rsidP="00C401E4">
      <w:pPr>
        <w:spacing w:after="0" w:line="276" w:lineRule="auto"/>
        <w:jc w:val="both"/>
        <w:rPr>
          <w:rFonts w:ascii="Verdana" w:eastAsia="Verdana" w:hAnsi="Verdana" w:cs="Arial"/>
          <w:sz w:val="24"/>
          <w:szCs w:val="24"/>
        </w:rPr>
      </w:pPr>
    </w:p>
    <w:p w14:paraId="27895713" w14:textId="77777777" w:rsidR="00164ED5" w:rsidRPr="00164ED5" w:rsidRDefault="00164ED5" w:rsidP="00C401E4">
      <w:pPr>
        <w:numPr>
          <w:ilvl w:val="0"/>
          <w:numId w:val="37"/>
        </w:numPr>
        <w:spacing w:after="0" w:line="276" w:lineRule="auto"/>
        <w:jc w:val="both"/>
        <w:rPr>
          <w:rFonts w:ascii="Verdana" w:eastAsia="Verdana" w:hAnsi="Verdana" w:cs="Arial"/>
          <w:sz w:val="24"/>
          <w:szCs w:val="24"/>
        </w:rPr>
      </w:pPr>
      <w:r w:rsidRPr="00164ED5">
        <w:rPr>
          <w:rFonts w:ascii="Verdana" w:eastAsia="Verdana" w:hAnsi="Verdana" w:cs="Arial"/>
          <w:sz w:val="24"/>
          <w:szCs w:val="24"/>
        </w:rPr>
        <w:t xml:space="preserve">Mujeres vinculadas a procesos de formación: 887 mujeres, de las cuales 379 participaron en formación académica y 508 en formación para el trabajo. De este total, 200 pertenecen a grupos étnicos (158 indígenas y 42 afrodescendientes). </w:t>
      </w:r>
    </w:p>
    <w:p w14:paraId="5ADE2DE5" w14:textId="77777777" w:rsidR="00164ED5" w:rsidRPr="00164ED5" w:rsidRDefault="00164ED5" w:rsidP="00C401E4">
      <w:pPr>
        <w:numPr>
          <w:ilvl w:val="0"/>
          <w:numId w:val="37"/>
        </w:numPr>
        <w:spacing w:after="0" w:line="276" w:lineRule="auto"/>
        <w:jc w:val="both"/>
        <w:rPr>
          <w:rFonts w:ascii="Verdana" w:eastAsia="Verdana" w:hAnsi="Verdana" w:cs="Arial"/>
          <w:sz w:val="24"/>
          <w:szCs w:val="24"/>
        </w:rPr>
      </w:pPr>
      <w:r w:rsidRPr="00164ED5">
        <w:rPr>
          <w:rFonts w:ascii="Verdana" w:eastAsia="Verdana" w:hAnsi="Verdana" w:cs="Arial"/>
          <w:sz w:val="24"/>
          <w:szCs w:val="24"/>
        </w:rPr>
        <w:t>Fortalecimiento de capacidades institucionales en enfoque de género:</w:t>
      </w:r>
      <w:r w:rsidRPr="00164ED5">
        <w:rPr>
          <w:rFonts w:ascii="Verdana" w:eastAsia="Verdana" w:hAnsi="Verdana" w:cs="Arial"/>
          <w:sz w:val="24"/>
          <w:szCs w:val="24"/>
        </w:rPr>
        <w:br/>
        <w:t xml:space="preserve">Se desarrollaron acciones de formación dirigidas a fortalecer las capacidades técnicas del personal de la ARN en la implementación del enfoque de género y en la atención de violencias basadas en género (VBG), con la participación de 24 profesionales de la entidad. </w:t>
      </w:r>
    </w:p>
    <w:p w14:paraId="18939AA9" w14:textId="77777777" w:rsidR="00164ED5" w:rsidRPr="00164ED5" w:rsidRDefault="00164ED5" w:rsidP="00C401E4">
      <w:pPr>
        <w:spacing w:after="0" w:line="276" w:lineRule="auto"/>
        <w:jc w:val="both"/>
        <w:rPr>
          <w:rFonts w:ascii="Verdana" w:eastAsia="Verdana" w:hAnsi="Verdana" w:cs="Arial"/>
          <w:sz w:val="24"/>
          <w:szCs w:val="24"/>
        </w:rPr>
      </w:pPr>
      <w:r w:rsidRPr="00164ED5">
        <w:rPr>
          <w:rFonts w:ascii="Verdana" w:eastAsia="Verdana" w:hAnsi="Verdana" w:cs="Arial"/>
          <w:sz w:val="24"/>
          <w:szCs w:val="24"/>
        </w:rPr>
        <w:t>Asimismo, se realizaron espacios de sensibilización y socialización en enfoque de género dirigidos a profesionales de la ARN y actores institucionales externos, con el propósito de fortalecer la implementación del Programa de Reincorporación Integral (PRI) y promover la articulación interinstitucional. En estos espacios participaron 180 servidoras y servidores públicos.</w:t>
      </w:r>
    </w:p>
    <w:p w14:paraId="660128B7" w14:textId="77777777" w:rsidR="00AC4A27" w:rsidRDefault="00AC4A27" w:rsidP="00C401E4">
      <w:pPr>
        <w:spacing w:after="0" w:line="276" w:lineRule="auto"/>
        <w:jc w:val="both"/>
        <w:rPr>
          <w:rFonts w:ascii="Verdana" w:hAnsi="Verdana"/>
          <w:b/>
          <w:bCs/>
          <w:sz w:val="24"/>
          <w:szCs w:val="24"/>
        </w:rPr>
      </w:pPr>
    </w:p>
    <w:p w14:paraId="16C6E994" w14:textId="7E59397C" w:rsidR="00164ED5" w:rsidRDefault="00377942" w:rsidP="00C401E4">
      <w:pPr>
        <w:spacing w:after="0" w:line="276" w:lineRule="auto"/>
        <w:jc w:val="both"/>
        <w:rPr>
          <w:rFonts w:ascii="Verdana" w:hAnsi="Verdana"/>
          <w:b/>
          <w:bCs/>
          <w:sz w:val="24"/>
          <w:szCs w:val="24"/>
        </w:rPr>
      </w:pPr>
      <w:r w:rsidRPr="00E5132B">
        <w:rPr>
          <w:rFonts w:ascii="Verdana" w:hAnsi="Verdana"/>
          <w:b/>
          <w:bCs/>
          <w:sz w:val="24"/>
          <w:szCs w:val="24"/>
        </w:rPr>
        <w:t xml:space="preserve">1.2.4. </w:t>
      </w:r>
      <w:r w:rsidR="00577535" w:rsidRPr="00E5132B">
        <w:rPr>
          <w:rFonts w:ascii="Verdana" w:hAnsi="Verdana"/>
          <w:b/>
          <w:bCs/>
          <w:sz w:val="24"/>
          <w:szCs w:val="24"/>
        </w:rPr>
        <w:t xml:space="preserve">CONPES </w:t>
      </w:r>
      <w:r w:rsidRPr="00E5132B">
        <w:rPr>
          <w:rFonts w:ascii="Verdana" w:hAnsi="Verdana"/>
          <w:b/>
          <w:bCs/>
          <w:sz w:val="24"/>
          <w:szCs w:val="24"/>
        </w:rPr>
        <w:t>4143</w:t>
      </w:r>
      <w:r w:rsidR="0034072C">
        <w:rPr>
          <w:rFonts w:ascii="Verdana" w:hAnsi="Verdana"/>
          <w:b/>
          <w:bCs/>
          <w:sz w:val="24"/>
          <w:szCs w:val="24"/>
        </w:rPr>
        <w:t>.</w:t>
      </w:r>
      <w:r w:rsidR="007129A4">
        <w:rPr>
          <w:rFonts w:ascii="Verdana" w:hAnsi="Verdana"/>
          <w:b/>
          <w:bCs/>
          <w:sz w:val="24"/>
          <w:szCs w:val="24"/>
        </w:rPr>
        <w:t xml:space="preserve"> </w:t>
      </w:r>
    </w:p>
    <w:p w14:paraId="2EA965B4" w14:textId="2397EF60" w:rsidR="00261E1D" w:rsidRPr="00E5132B" w:rsidRDefault="0034072C" w:rsidP="00C401E4">
      <w:pPr>
        <w:spacing w:after="0" w:line="276" w:lineRule="auto"/>
        <w:jc w:val="both"/>
        <w:rPr>
          <w:rFonts w:ascii="Verdana" w:hAnsi="Verdana"/>
          <w:b/>
          <w:bCs/>
          <w:sz w:val="24"/>
          <w:szCs w:val="24"/>
        </w:rPr>
      </w:pPr>
      <w:r w:rsidRPr="0034072C">
        <w:rPr>
          <w:rFonts w:ascii="Verdana" w:hAnsi="Verdana"/>
          <w:b/>
          <w:bCs/>
          <w:sz w:val="24"/>
          <w:szCs w:val="24"/>
        </w:rPr>
        <w:t>Política Nacional de Cuidado</w:t>
      </w:r>
      <w:r>
        <w:rPr>
          <w:rFonts w:ascii="Verdana" w:hAnsi="Verdana"/>
          <w:b/>
          <w:bCs/>
          <w:sz w:val="24"/>
          <w:szCs w:val="24"/>
        </w:rPr>
        <w:t xml:space="preserve">: </w:t>
      </w:r>
      <w:r w:rsidRPr="0034072C">
        <w:rPr>
          <w:rFonts w:ascii="Verdana" w:hAnsi="Verdana"/>
          <w:b/>
          <w:bCs/>
          <w:sz w:val="24"/>
          <w:szCs w:val="24"/>
        </w:rPr>
        <w:t>Avanzar en la transformación de la organización social del cuidado en Colombia para garantizar el goce efectivo de los derechos de las personas cuidadoras</w:t>
      </w:r>
    </w:p>
    <w:p w14:paraId="037B60FB" w14:textId="77777777" w:rsidR="00F24C68" w:rsidRDefault="00F24C68" w:rsidP="00C401E4">
      <w:pPr>
        <w:spacing w:after="0" w:line="276" w:lineRule="auto"/>
        <w:jc w:val="both"/>
        <w:rPr>
          <w:rFonts w:ascii="Verdana" w:hAnsi="Verdana"/>
          <w:sz w:val="24"/>
          <w:szCs w:val="24"/>
        </w:rPr>
      </w:pPr>
    </w:p>
    <w:p w14:paraId="4147AAE6" w14:textId="77777777" w:rsidR="00577535" w:rsidRDefault="00577535" w:rsidP="00C401E4">
      <w:pPr>
        <w:spacing w:after="0" w:line="276" w:lineRule="auto"/>
        <w:jc w:val="both"/>
        <w:rPr>
          <w:rFonts w:ascii="Verdana" w:hAnsi="Verdana"/>
          <w:sz w:val="24"/>
          <w:szCs w:val="24"/>
        </w:rPr>
      </w:pPr>
      <w:r w:rsidRPr="00577535">
        <w:rPr>
          <w:rFonts w:ascii="Verdana" w:hAnsi="Verdana"/>
          <w:sz w:val="24"/>
          <w:szCs w:val="24"/>
        </w:rPr>
        <w:t>Durante la vigencia 2025 se evidenciaron avances sustantivos en la incorporación del enfoque de género y cuidado en el proceso de reincorporación.</w:t>
      </w:r>
    </w:p>
    <w:p w14:paraId="2C7509F9" w14:textId="77777777" w:rsidR="00577535" w:rsidRPr="00577535" w:rsidRDefault="00577535" w:rsidP="00577535">
      <w:pPr>
        <w:spacing w:after="0" w:line="276" w:lineRule="auto"/>
        <w:rPr>
          <w:rFonts w:ascii="Verdana" w:hAnsi="Verdana"/>
          <w:sz w:val="24"/>
          <w:szCs w:val="24"/>
        </w:rPr>
      </w:pPr>
    </w:p>
    <w:p w14:paraId="75740D9F" w14:textId="77777777" w:rsidR="00577535" w:rsidRPr="00577535" w:rsidRDefault="00577535" w:rsidP="00C401E4">
      <w:pPr>
        <w:spacing w:after="0" w:line="276" w:lineRule="auto"/>
        <w:jc w:val="both"/>
        <w:rPr>
          <w:rFonts w:ascii="Verdana" w:hAnsi="Verdana"/>
          <w:sz w:val="24"/>
          <w:szCs w:val="24"/>
        </w:rPr>
      </w:pPr>
      <w:r w:rsidRPr="00577535">
        <w:rPr>
          <w:rFonts w:ascii="Verdana" w:hAnsi="Verdana"/>
          <w:sz w:val="24"/>
          <w:szCs w:val="24"/>
        </w:rPr>
        <w:t>En la acción 1.5, se fortalecieron iniciativas comunitarias mediante la articulación con el Programa de las Naciones Unidas para el Desarrollo (PNUD) y la suscripción de dos subvenciones por $100 millones cada una, impulsando procesos liderados por mujeres en cuatro territorios con impacto en reconciliación y construcción de paz.</w:t>
      </w:r>
    </w:p>
    <w:p w14:paraId="003B8553" w14:textId="77777777" w:rsidR="00577535" w:rsidRPr="00577535" w:rsidRDefault="00577535" w:rsidP="00C401E4">
      <w:pPr>
        <w:spacing w:after="0" w:line="276" w:lineRule="auto"/>
        <w:jc w:val="both"/>
        <w:rPr>
          <w:rFonts w:ascii="Verdana" w:hAnsi="Verdana"/>
          <w:sz w:val="24"/>
          <w:szCs w:val="24"/>
        </w:rPr>
      </w:pPr>
      <w:r w:rsidRPr="00577535">
        <w:rPr>
          <w:rFonts w:ascii="Verdana" w:hAnsi="Verdana"/>
          <w:sz w:val="24"/>
          <w:szCs w:val="24"/>
        </w:rPr>
        <w:t>En la acción 2.21, se consolidó el diseño y se inició la implementación de la estrategia de reconocimiento y redistribución del cuidado en 14 municipios y 17 organizaciones, beneficiando a 773 personas y dejando estructurada su base técnica y operativa.</w:t>
      </w:r>
    </w:p>
    <w:p w14:paraId="06767EAC" w14:textId="77777777" w:rsidR="00577535" w:rsidRPr="00577535" w:rsidRDefault="00577535" w:rsidP="00C401E4">
      <w:pPr>
        <w:spacing w:after="0" w:line="276" w:lineRule="auto"/>
        <w:jc w:val="both"/>
        <w:rPr>
          <w:rFonts w:ascii="Verdana" w:hAnsi="Verdana"/>
          <w:sz w:val="24"/>
          <w:szCs w:val="24"/>
        </w:rPr>
      </w:pPr>
      <w:r w:rsidRPr="00577535">
        <w:rPr>
          <w:rFonts w:ascii="Verdana" w:hAnsi="Verdana"/>
          <w:sz w:val="24"/>
          <w:szCs w:val="24"/>
        </w:rPr>
        <w:lastRenderedPageBreak/>
        <w:t>Finalmente, en la acción 2.23, se avanzó en el diseño metodológico y la implementación territorial de acciones orientadas al fortalecimiento del cuidado como eje del bienestar psicosocial, beneficiando directamente a 35 personas cuidadoras y fortaleciendo las capacidades institucionales para la incorporación de este enfoque.</w:t>
      </w:r>
    </w:p>
    <w:p w14:paraId="580D5F40" w14:textId="5D31243A" w:rsidR="007B56C1" w:rsidRDefault="007B56C1" w:rsidP="00C401E4">
      <w:pPr>
        <w:spacing w:after="0" w:line="276" w:lineRule="auto"/>
        <w:jc w:val="both"/>
        <w:rPr>
          <w:rFonts w:ascii="Verdana" w:hAnsi="Verdana"/>
          <w:sz w:val="24"/>
          <w:szCs w:val="24"/>
        </w:rPr>
      </w:pPr>
    </w:p>
    <w:p w14:paraId="27E7F3E2" w14:textId="77777777" w:rsidR="004E13E3" w:rsidRPr="001D6475" w:rsidRDefault="004E13E3" w:rsidP="00C401E4">
      <w:pPr>
        <w:spacing w:after="0" w:line="276" w:lineRule="auto"/>
        <w:jc w:val="both"/>
        <w:rPr>
          <w:rFonts w:ascii="Verdana" w:hAnsi="Verdana"/>
          <w:sz w:val="24"/>
          <w:szCs w:val="24"/>
        </w:rPr>
      </w:pPr>
    </w:p>
    <w:p w14:paraId="3C8BD08E" w14:textId="77777777" w:rsidR="00577535" w:rsidRDefault="00377942" w:rsidP="00C401E4">
      <w:pPr>
        <w:spacing w:after="0" w:line="276" w:lineRule="auto"/>
        <w:jc w:val="both"/>
        <w:rPr>
          <w:rFonts w:ascii="Verdana" w:hAnsi="Verdana"/>
          <w:b/>
          <w:bCs/>
          <w:sz w:val="24"/>
          <w:szCs w:val="24"/>
        </w:rPr>
      </w:pPr>
      <w:r>
        <w:rPr>
          <w:rFonts w:ascii="Verdana" w:hAnsi="Verdana"/>
          <w:b/>
          <w:bCs/>
          <w:sz w:val="24"/>
          <w:szCs w:val="24"/>
        </w:rPr>
        <w:t xml:space="preserve">1.2.5 </w:t>
      </w:r>
      <w:r w:rsidR="00577535">
        <w:rPr>
          <w:rFonts w:ascii="Verdana" w:hAnsi="Verdana"/>
          <w:b/>
          <w:bCs/>
          <w:sz w:val="24"/>
          <w:szCs w:val="24"/>
        </w:rPr>
        <w:t xml:space="preserve">CONPES </w:t>
      </w:r>
      <w:r>
        <w:rPr>
          <w:rFonts w:ascii="Verdana" w:hAnsi="Verdana"/>
          <w:b/>
          <w:bCs/>
          <w:sz w:val="24"/>
          <w:szCs w:val="24"/>
        </w:rPr>
        <w:t>4147</w:t>
      </w:r>
      <w:r w:rsidR="008A7484">
        <w:rPr>
          <w:rFonts w:ascii="Verdana" w:hAnsi="Verdana"/>
          <w:b/>
          <w:bCs/>
          <w:sz w:val="24"/>
          <w:szCs w:val="24"/>
        </w:rPr>
        <w:t xml:space="preserve"> </w:t>
      </w:r>
    </w:p>
    <w:p w14:paraId="06D008B6" w14:textId="3FFF3472" w:rsidR="00377942" w:rsidRDefault="008A7484" w:rsidP="00C401E4">
      <w:pPr>
        <w:spacing w:after="0" w:line="276" w:lineRule="auto"/>
        <w:jc w:val="both"/>
        <w:rPr>
          <w:rFonts w:ascii="Verdana" w:hAnsi="Verdana"/>
          <w:b/>
          <w:bCs/>
          <w:sz w:val="24"/>
          <w:szCs w:val="24"/>
        </w:rPr>
      </w:pPr>
      <w:r w:rsidRPr="008A7484">
        <w:rPr>
          <w:rFonts w:ascii="Verdana" w:hAnsi="Verdana"/>
          <w:b/>
          <w:bCs/>
          <w:sz w:val="24"/>
          <w:szCs w:val="24"/>
        </w:rPr>
        <w:t>Política Nacional para la Garantía de los derechos de la población LGTBIQ+</w:t>
      </w:r>
    </w:p>
    <w:p w14:paraId="66C38CCA" w14:textId="77777777" w:rsidR="00F24C68" w:rsidRDefault="00F24C68" w:rsidP="00C401E4">
      <w:pPr>
        <w:spacing w:after="0" w:line="276" w:lineRule="auto"/>
        <w:jc w:val="both"/>
        <w:rPr>
          <w:rFonts w:ascii="Verdana" w:hAnsi="Verdana"/>
          <w:sz w:val="24"/>
          <w:szCs w:val="24"/>
        </w:rPr>
      </w:pPr>
    </w:p>
    <w:p w14:paraId="4703754D" w14:textId="77777777" w:rsidR="00B7623D" w:rsidRDefault="00B7623D" w:rsidP="00C401E4">
      <w:pPr>
        <w:spacing w:after="0" w:line="276" w:lineRule="auto"/>
        <w:jc w:val="both"/>
        <w:rPr>
          <w:rFonts w:ascii="Verdana" w:hAnsi="Verdana"/>
          <w:sz w:val="24"/>
          <w:szCs w:val="24"/>
        </w:rPr>
      </w:pPr>
      <w:r w:rsidRPr="00B7623D">
        <w:rPr>
          <w:rFonts w:ascii="Verdana" w:hAnsi="Verdana"/>
          <w:sz w:val="24"/>
          <w:szCs w:val="24"/>
        </w:rPr>
        <w:t>La acción 3.24 permitió consolidar la integración del enfoque de género y de orientaciones sexuales e identidades de género diversas (OSIGD) en las campañas contra la estigmatización hacia firmantes de paz, sus familias y comunidades.</w:t>
      </w:r>
    </w:p>
    <w:p w14:paraId="02BCEB2B" w14:textId="77777777" w:rsidR="00B7623D" w:rsidRPr="00B7623D" w:rsidRDefault="00B7623D" w:rsidP="00C401E4">
      <w:pPr>
        <w:spacing w:after="0" w:line="276" w:lineRule="auto"/>
        <w:jc w:val="both"/>
        <w:rPr>
          <w:rFonts w:ascii="Verdana" w:hAnsi="Verdana"/>
          <w:sz w:val="24"/>
          <w:szCs w:val="24"/>
        </w:rPr>
      </w:pPr>
    </w:p>
    <w:p w14:paraId="6AB7E2A3" w14:textId="77777777" w:rsidR="00B7623D" w:rsidRPr="00B7623D" w:rsidRDefault="00B7623D" w:rsidP="00C401E4">
      <w:pPr>
        <w:spacing w:after="0" w:line="276" w:lineRule="auto"/>
        <w:jc w:val="both"/>
        <w:rPr>
          <w:rFonts w:ascii="Verdana" w:hAnsi="Verdana"/>
          <w:sz w:val="24"/>
          <w:szCs w:val="24"/>
        </w:rPr>
      </w:pPr>
      <w:r w:rsidRPr="00B7623D">
        <w:rPr>
          <w:rFonts w:ascii="Verdana" w:hAnsi="Verdana"/>
          <w:sz w:val="24"/>
          <w:szCs w:val="24"/>
        </w:rPr>
        <w:t>En este marco, se estructuró la base conceptual y metodológica de la estrategia y se implementó la campaña “La estigmatización mata. Mirémonos de cerca”, mediante la cual se desarrollaron más de 100 acciones territoriales de sensibilización y articulación institucional.</w:t>
      </w:r>
    </w:p>
    <w:p w14:paraId="7EFE9567" w14:textId="77777777" w:rsidR="00B7623D" w:rsidRPr="00B7623D" w:rsidRDefault="00B7623D" w:rsidP="00C401E4">
      <w:pPr>
        <w:spacing w:after="0" w:line="276" w:lineRule="auto"/>
        <w:jc w:val="both"/>
        <w:rPr>
          <w:rFonts w:ascii="Verdana" w:hAnsi="Verdana"/>
          <w:sz w:val="24"/>
          <w:szCs w:val="24"/>
        </w:rPr>
      </w:pPr>
    </w:p>
    <w:p w14:paraId="2B7E74FD" w14:textId="77777777" w:rsidR="00B7623D" w:rsidRPr="00B7623D" w:rsidRDefault="00B7623D" w:rsidP="00C401E4">
      <w:pPr>
        <w:spacing w:after="0" w:line="276" w:lineRule="auto"/>
        <w:jc w:val="both"/>
        <w:rPr>
          <w:rFonts w:ascii="Verdana" w:hAnsi="Verdana"/>
          <w:sz w:val="24"/>
          <w:szCs w:val="24"/>
        </w:rPr>
      </w:pPr>
      <w:r w:rsidRPr="00B7623D">
        <w:rPr>
          <w:rFonts w:ascii="Verdana" w:hAnsi="Verdana"/>
          <w:sz w:val="24"/>
          <w:szCs w:val="24"/>
        </w:rPr>
        <w:t>Adicionalmente, se realizaron 10 talleres “Narrar sin estigmas” en seis departamentos, capacitando a más de 300 periodistas en el uso de lenguaje inclusivo y en la construcción de narrativas de paz. Estas acciones posicionan una estrategia regional con enfoque diferencial y contribuyen a la transformación cultural e institucional frente a la estigmatización.</w:t>
      </w:r>
    </w:p>
    <w:p w14:paraId="1F3C6E74" w14:textId="54F7F1C8" w:rsidR="00377942" w:rsidRDefault="00377942" w:rsidP="00C401E4">
      <w:pPr>
        <w:spacing w:after="0" w:line="276" w:lineRule="auto"/>
        <w:jc w:val="both"/>
        <w:rPr>
          <w:rFonts w:ascii="Verdana" w:hAnsi="Verdana"/>
          <w:sz w:val="24"/>
          <w:szCs w:val="24"/>
        </w:rPr>
      </w:pPr>
    </w:p>
    <w:p w14:paraId="2A07B92E" w14:textId="387E37D3" w:rsidR="00B32826" w:rsidRPr="00261E1D" w:rsidRDefault="00377942" w:rsidP="00C401E4">
      <w:pPr>
        <w:spacing w:after="0" w:line="276" w:lineRule="auto"/>
        <w:jc w:val="both"/>
        <w:rPr>
          <w:rFonts w:ascii="Verdana" w:eastAsia="Verdana" w:hAnsi="Verdana" w:cs="Arial"/>
          <w:b/>
          <w:bCs/>
          <w:sz w:val="24"/>
          <w:szCs w:val="24"/>
        </w:rPr>
      </w:pPr>
      <w:r>
        <w:rPr>
          <w:rFonts w:ascii="Verdana" w:hAnsi="Verdana"/>
          <w:b/>
          <w:bCs/>
          <w:sz w:val="24"/>
          <w:szCs w:val="24"/>
        </w:rPr>
        <w:t xml:space="preserve">1.2.6. </w:t>
      </w:r>
      <w:r w:rsidR="00B32826" w:rsidRPr="00261E1D">
        <w:rPr>
          <w:rFonts w:ascii="Verdana" w:hAnsi="Verdana"/>
          <w:b/>
          <w:bCs/>
          <w:sz w:val="24"/>
          <w:szCs w:val="24"/>
        </w:rPr>
        <w:t>Avances en atención a instrumentos normativos</w:t>
      </w:r>
    </w:p>
    <w:p w14:paraId="6C1523C6" w14:textId="77777777" w:rsidR="00261E1D" w:rsidRDefault="00261E1D" w:rsidP="00C401E4">
      <w:pPr>
        <w:spacing w:after="0" w:line="276" w:lineRule="auto"/>
        <w:jc w:val="both"/>
        <w:rPr>
          <w:rFonts w:ascii="Verdana" w:hAnsi="Verdana" w:cs="Arial"/>
          <w:color w:val="FF0000"/>
          <w:sz w:val="24"/>
          <w:szCs w:val="24"/>
        </w:rPr>
      </w:pPr>
    </w:p>
    <w:p w14:paraId="7424A633" w14:textId="3A62E9ED" w:rsidR="00784E2E" w:rsidRDefault="25DAEB16" w:rsidP="00C401E4">
      <w:pPr>
        <w:spacing w:after="0" w:line="276" w:lineRule="auto"/>
        <w:jc w:val="both"/>
        <w:rPr>
          <w:rFonts w:ascii="Verdana" w:hAnsi="Verdana" w:cs="Arial"/>
          <w:sz w:val="24"/>
          <w:szCs w:val="24"/>
        </w:rPr>
      </w:pPr>
      <w:r w:rsidRPr="00261E1D">
        <w:rPr>
          <w:rFonts w:ascii="Verdana" w:hAnsi="Verdana" w:cs="Arial"/>
          <w:sz w:val="24"/>
          <w:szCs w:val="24"/>
        </w:rPr>
        <w:t xml:space="preserve">A continuación, </w:t>
      </w:r>
      <w:r w:rsidR="004D5956" w:rsidRPr="004D5956">
        <w:rPr>
          <w:rFonts w:ascii="Verdana" w:hAnsi="Verdana" w:cs="Arial"/>
          <w:sz w:val="24"/>
          <w:szCs w:val="24"/>
        </w:rPr>
        <w:t>se presentan otras acciones adelantadas por la ARN para dar cumplimiento a decretos y normas expedidas con posterioridad a la firma del Acuerdo Final de Paz.</w:t>
      </w:r>
    </w:p>
    <w:p w14:paraId="3925A707" w14:textId="77777777" w:rsidR="004D5956" w:rsidRPr="00261E1D" w:rsidRDefault="004D5956" w:rsidP="00C401E4">
      <w:pPr>
        <w:spacing w:after="0" w:line="276" w:lineRule="auto"/>
        <w:jc w:val="both"/>
        <w:rPr>
          <w:rFonts w:ascii="Verdana" w:hAnsi="Verdana" w:cs="Arial"/>
          <w:sz w:val="24"/>
          <w:szCs w:val="24"/>
        </w:rPr>
      </w:pPr>
    </w:p>
    <w:p w14:paraId="42D991C4" w14:textId="77777777" w:rsidR="004D5956" w:rsidRPr="004D5956" w:rsidRDefault="00360610" w:rsidP="00C401E4">
      <w:pPr>
        <w:pStyle w:val="Prrafodelista"/>
        <w:numPr>
          <w:ilvl w:val="0"/>
          <w:numId w:val="5"/>
        </w:numPr>
        <w:jc w:val="both"/>
        <w:rPr>
          <w:rFonts w:ascii="Verdana" w:hAnsi="Verdana"/>
          <w:sz w:val="24"/>
          <w:szCs w:val="24"/>
        </w:rPr>
      </w:pPr>
      <w:r w:rsidRPr="001F75A7">
        <w:rPr>
          <w:rFonts w:ascii="Verdana" w:hAnsi="Verdana"/>
          <w:b/>
          <w:bCs/>
          <w:sz w:val="24"/>
          <w:szCs w:val="24"/>
        </w:rPr>
        <w:t>Decreto 103 del 28 de enero de 2025</w:t>
      </w:r>
    </w:p>
    <w:p w14:paraId="091A0CEA" w14:textId="45AAFCED" w:rsidR="004D5956" w:rsidRPr="007B5E0E" w:rsidRDefault="007B5E0E" w:rsidP="00C401E4">
      <w:pPr>
        <w:pStyle w:val="Prrafodelista"/>
        <w:ind w:left="787"/>
        <w:jc w:val="both"/>
        <w:rPr>
          <w:rFonts w:ascii="Verdana" w:hAnsi="Verdana"/>
          <w:b/>
          <w:bCs/>
          <w:sz w:val="24"/>
          <w:szCs w:val="24"/>
        </w:rPr>
      </w:pPr>
      <w:r w:rsidRPr="007B5E0E">
        <w:rPr>
          <w:rFonts w:ascii="Verdana" w:hAnsi="Verdana"/>
          <w:b/>
          <w:bCs/>
          <w:sz w:val="24"/>
          <w:szCs w:val="24"/>
        </w:rPr>
        <w:t>Programa Especial de Armonización para comunidades negras, afrocolombianas, raizales y palenqueras</w:t>
      </w:r>
    </w:p>
    <w:p w14:paraId="67C7FAB5" w14:textId="0CFBD225" w:rsidR="00360610" w:rsidRPr="001F75A7" w:rsidRDefault="00360610" w:rsidP="00C401E4">
      <w:pPr>
        <w:pStyle w:val="Prrafodelista"/>
        <w:ind w:left="787"/>
        <w:jc w:val="both"/>
        <w:rPr>
          <w:rFonts w:ascii="Verdana" w:hAnsi="Verdana"/>
          <w:sz w:val="24"/>
          <w:szCs w:val="24"/>
        </w:rPr>
      </w:pPr>
    </w:p>
    <w:p w14:paraId="7DE9DF72" w14:textId="77777777" w:rsidR="00360610" w:rsidRDefault="00360610" w:rsidP="00C401E4">
      <w:pPr>
        <w:jc w:val="both"/>
        <w:rPr>
          <w:rFonts w:ascii="Verdana" w:hAnsi="Verdana"/>
          <w:sz w:val="24"/>
          <w:szCs w:val="24"/>
        </w:rPr>
      </w:pPr>
      <w:r w:rsidRPr="644A9BFD">
        <w:rPr>
          <w:rFonts w:ascii="Verdana" w:hAnsi="Verdana"/>
          <w:sz w:val="24"/>
          <w:szCs w:val="24"/>
        </w:rPr>
        <w:lastRenderedPageBreak/>
        <w:t>a) ¿Cómo lo hicimos?  </w:t>
      </w:r>
    </w:p>
    <w:p w14:paraId="37045910" w14:textId="77777777" w:rsidR="00827A99" w:rsidRDefault="00827A99" w:rsidP="00C401E4">
      <w:pPr>
        <w:jc w:val="both"/>
        <w:rPr>
          <w:rFonts w:ascii="Verdana" w:hAnsi="Verdana"/>
          <w:sz w:val="24"/>
          <w:szCs w:val="24"/>
        </w:rPr>
      </w:pPr>
      <w:r w:rsidRPr="00827A99">
        <w:rPr>
          <w:rFonts w:ascii="Verdana" w:hAnsi="Verdana"/>
          <w:sz w:val="24"/>
          <w:szCs w:val="24"/>
        </w:rPr>
        <w:t>Para la adopción normativa del Programa Especial de Armonización para la Reintegración y Reincorporación Social y Económica con Enfoque Étnico y de Género para comunidades negras, afrocolombianas, raizales y palenqueras, se adelantó un proceso de concertación con las instancias representativas de estas comunidades.</w:t>
      </w:r>
    </w:p>
    <w:p w14:paraId="021CE83F" w14:textId="77777777" w:rsidR="00C214FA" w:rsidRDefault="00C214FA" w:rsidP="00C401E4">
      <w:pPr>
        <w:jc w:val="both"/>
        <w:rPr>
          <w:rFonts w:ascii="Verdana" w:hAnsi="Verdana"/>
          <w:sz w:val="24"/>
          <w:szCs w:val="24"/>
        </w:rPr>
      </w:pPr>
      <w:r w:rsidRPr="00C214FA">
        <w:rPr>
          <w:rFonts w:ascii="Verdana" w:hAnsi="Verdana"/>
          <w:sz w:val="24"/>
          <w:szCs w:val="24"/>
        </w:rPr>
        <w:t>En el cuarto trimestre de 2023 se desarrolló el espacio de concertación de preacuerdos y predesacuerdos con la Comisión VI del Espacio Nacional de Consulta Previa (ENCP), realizado entre el 5 y el 10 de noviembre de 2023. Posteriormente, el 25 y 26 de noviembre de 2023 se llevó a cabo la jornada de protocolización ante la plenaria del ENCP.</w:t>
      </w:r>
    </w:p>
    <w:p w14:paraId="483CDE58" w14:textId="77777777" w:rsidR="00C214FA" w:rsidRPr="00C214FA" w:rsidRDefault="00C214FA" w:rsidP="00C401E4">
      <w:pPr>
        <w:spacing w:after="0" w:line="276" w:lineRule="auto"/>
        <w:jc w:val="both"/>
        <w:rPr>
          <w:rFonts w:ascii="Verdana" w:hAnsi="Verdana"/>
          <w:sz w:val="24"/>
          <w:szCs w:val="24"/>
        </w:rPr>
      </w:pPr>
      <w:r w:rsidRPr="00C214FA">
        <w:rPr>
          <w:rFonts w:ascii="Verdana" w:hAnsi="Verdana"/>
          <w:sz w:val="24"/>
          <w:szCs w:val="24"/>
        </w:rPr>
        <w:t>Durante las vigencias 2024 y 2025 se adelantaron los trámites requeridos ante los Ministerios del Interior y de Hacienda, tras lo cual el proyecto fue radicado ante el Departamento Administrativo de la Presidencia de la República (DAPRE) y finalmente suscrito por el Presidente de la República el 28 de enero de 2025.</w:t>
      </w:r>
    </w:p>
    <w:p w14:paraId="46E30877" w14:textId="77777777" w:rsidR="00360610" w:rsidRDefault="00360610" w:rsidP="00C401E4">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t>Ver decreto en el siguiente link:</w:t>
      </w:r>
    </w:p>
    <w:p w14:paraId="0EC8A323" w14:textId="77777777" w:rsidR="00360610" w:rsidRDefault="00360610" w:rsidP="00C401E4">
      <w:pPr>
        <w:jc w:val="both"/>
        <w:rPr>
          <w:rFonts w:ascii="Verdana" w:hAnsi="Verdana"/>
          <w:sz w:val="24"/>
          <w:szCs w:val="24"/>
        </w:rPr>
      </w:pPr>
      <w:hyperlink r:id="rId25" w:history="1">
        <w:r w:rsidRPr="34D8E6EE">
          <w:rPr>
            <w:rStyle w:val="Hipervnculo"/>
            <w:rFonts w:ascii="Verdana" w:hAnsi="Verdana"/>
            <w:sz w:val="24"/>
            <w:szCs w:val="24"/>
          </w:rPr>
          <w:t>https://www.suin-juriscol.gov.co/viewDocument.asp?id=30054449</w:t>
        </w:r>
      </w:hyperlink>
      <w:r w:rsidRPr="34D8E6EE">
        <w:rPr>
          <w:rFonts w:ascii="Verdana" w:hAnsi="Verdana"/>
          <w:sz w:val="24"/>
          <w:szCs w:val="24"/>
        </w:rPr>
        <w:t xml:space="preserve"> </w:t>
      </w:r>
    </w:p>
    <w:p w14:paraId="2B0BD595" w14:textId="77777777" w:rsidR="00C214FA" w:rsidRDefault="00C214FA" w:rsidP="00C401E4">
      <w:pPr>
        <w:pStyle w:val="Prrafodelista"/>
        <w:ind w:left="787"/>
        <w:jc w:val="both"/>
        <w:rPr>
          <w:rFonts w:ascii="Verdana" w:hAnsi="Verdana"/>
          <w:b/>
          <w:sz w:val="24"/>
          <w:szCs w:val="24"/>
        </w:rPr>
      </w:pPr>
    </w:p>
    <w:p w14:paraId="3DFC69B5" w14:textId="77777777" w:rsidR="0034482D" w:rsidRDefault="00360610" w:rsidP="00C401E4">
      <w:pPr>
        <w:pStyle w:val="Prrafodelista"/>
        <w:numPr>
          <w:ilvl w:val="0"/>
          <w:numId w:val="5"/>
        </w:numPr>
        <w:jc w:val="both"/>
        <w:rPr>
          <w:rFonts w:ascii="Verdana" w:hAnsi="Verdana"/>
          <w:b/>
          <w:sz w:val="24"/>
          <w:szCs w:val="24"/>
        </w:rPr>
      </w:pPr>
      <w:r w:rsidRPr="00E82687">
        <w:rPr>
          <w:rFonts w:ascii="Verdana" w:hAnsi="Verdana"/>
          <w:b/>
          <w:sz w:val="24"/>
          <w:szCs w:val="24"/>
        </w:rPr>
        <w:t>Decreto 856</w:t>
      </w:r>
    </w:p>
    <w:p w14:paraId="30D2C7D1" w14:textId="77777777" w:rsidR="0034482D" w:rsidRPr="0034482D" w:rsidRDefault="0034482D" w:rsidP="00C401E4">
      <w:pPr>
        <w:pStyle w:val="Prrafodelista"/>
        <w:ind w:left="787"/>
        <w:jc w:val="both"/>
        <w:rPr>
          <w:rFonts w:ascii="Verdana" w:hAnsi="Verdana"/>
          <w:b/>
          <w:sz w:val="24"/>
          <w:szCs w:val="24"/>
        </w:rPr>
      </w:pPr>
      <w:r w:rsidRPr="0034482D">
        <w:rPr>
          <w:rFonts w:ascii="Verdana" w:hAnsi="Verdana"/>
          <w:b/>
          <w:bCs/>
          <w:sz w:val="24"/>
          <w:szCs w:val="24"/>
        </w:rPr>
        <w:t>Programa Especial de Armonización Indígena “Caminos para Volver al Origen”</w:t>
      </w:r>
    </w:p>
    <w:p w14:paraId="44F2AF99" w14:textId="7DAEA5ED" w:rsidR="00360610" w:rsidRPr="00CA56F1" w:rsidRDefault="0034482D" w:rsidP="00C401E4">
      <w:pPr>
        <w:jc w:val="both"/>
        <w:rPr>
          <w:rFonts w:ascii="Verdana" w:hAnsi="Verdana"/>
          <w:sz w:val="24"/>
          <w:szCs w:val="24"/>
        </w:rPr>
      </w:pPr>
      <w:r w:rsidRPr="0034482D">
        <w:rPr>
          <w:rFonts w:ascii="Verdana" w:hAnsi="Verdana"/>
          <w:b/>
          <w:bCs/>
          <w:sz w:val="24"/>
          <w:szCs w:val="24"/>
        </w:rPr>
        <w:t xml:space="preserve"> </w:t>
      </w:r>
      <w:r w:rsidR="00360610" w:rsidRPr="00CA56F1">
        <w:rPr>
          <w:rFonts w:ascii="Verdana" w:hAnsi="Verdana"/>
          <w:sz w:val="24"/>
          <w:szCs w:val="24"/>
        </w:rPr>
        <w:t>a) ¿Cómo lo hicimos?  </w:t>
      </w:r>
    </w:p>
    <w:p w14:paraId="6BAB76F7" w14:textId="77777777" w:rsidR="0034482D" w:rsidRPr="00A7186A" w:rsidRDefault="0034482D" w:rsidP="00C401E4">
      <w:pPr>
        <w:spacing w:after="0" w:line="276" w:lineRule="auto"/>
        <w:ind w:left="142"/>
        <w:jc w:val="both"/>
        <w:rPr>
          <w:rFonts w:ascii="Verdana" w:hAnsi="Verdana"/>
          <w:sz w:val="24"/>
          <w:szCs w:val="24"/>
        </w:rPr>
      </w:pPr>
      <w:r w:rsidRPr="0034482D">
        <w:rPr>
          <w:rFonts w:ascii="Verdana" w:hAnsi="Verdana"/>
          <w:sz w:val="24"/>
          <w:szCs w:val="24"/>
        </w:rPr>
        <w:t>Este programa fue protocolizado mediante el Acta No. 11 del 24 de noviembre de 2023 de la Mesa Permanente de Concertación (MPC). El instrumento establece principios rectores, lineamientos, medidas de armonización, fases y mecanismos de seguimiento orientados al proceso de armonización de la población beneficiaria, en cumplimiento del punto 6.2 del Acuerdo Final.</w:t>
      </w:r>
    </w:p>
    <w:p w14:paraId="127987C7" w14:textId="77777777" w:rsidR="004B639E" w:rsidRPr="0034482D" w:rsidRDefault="004B639E" w:rsidP="004B639E">
      <w:pPr>
        <w:spacing w:after="0" w:line="276" w:lineRule="auto"/>
        <w:ind w:left="142"/>
        <w:jc w:val="both"/>
        <w:rPr>
          <w:rFonts w:ascii="Verdana" w:hAnsi="Verdana"/>
          <w:sz w:val="24"/>
          <w:szCs w:val="24"/>
        </w:rPr>
      </w:pPr>
    </w:p>
    <w:p w14:paraId="2BFFCADB" w14:textId="77777777" w:rsidR="0034482D" w:rsidRPr="0034482D" w:rsidRDefault="0034482D" w:rsidP="004B639E">
      <w:pPr>
        <w:spacing w:after="0" w:line="276" w:lineRule="auto"/>
        <w:ind w:left="142"/>
        <w:jc w:val="both"/>
        <w:rPr>
          <w:rFonts w:ascii="Verdana" w:hAnsi="Verdana"/>
          <w:sz w:val="24"/>
          <w:szCs w:val="24"/>
        </w:rPr>
      </w:pPr>
      <w:r w:rsidRPr="0034482D">
        <w:rPr>
          <w:rFonts w:ascii="Verdana" w:hAnsi="Verdana"/>
          <w:sz w:val="24"/>
          <w:szCs w:val="24"/>
        </w:rPr>
        <w:t>Durante las vigencias 2024 y 2025 se adelantaron los trámites correspondientes ante los Ministerios del Interior, Justicia y Hacienda, posteriormente radicados ante el DAPRE, siendo finalmente suscrito por el Presidente de la República el 30 de julio de 2025.</w:t>
      </w:r>
    </w:p>
    <w:p w14:paraId="3AFAF80D" w14:textId="77777777" w:rsidR="004B639E" w:rsidRDefault="004B639E" w:rsidP="00360610">
      <w:pPr>
        <w:spacing w:after="0" w:line="276" w:lineRule="auto"/>
        <w:ind w:left="1080" w:hanging="1080"/>
        <w:jc w:val="both"/>
        <w:rPr>
          <w:rFonts w:ascii="Verdana" w:eastAsia="Verdana" w:hAnsi="Verdana" w:cs="Verdana"/>
          <w:sz w:val="24"/>
          <w:szCs w:val="24"/>
        </w:rPr>
      </w:pPr>
    </w:p>
    <w:p w14:paraId="69604FC9" w14:textId="77777777" w:rsidR="00417018" w:rsidRDefault="00417018" w:rsidP="00360610">
      <w:pPr>
        <w:spacing w:after="0" w:line="276" w:lineRule="auto"/>
        <w:ind w:left="1080" w:hanging="1080"/>
        <w:jc w:val="both"/>
        <w:rPr>
          <w:rFonts w:ascii="Verdana" w:eastAsia="Verdana" w:hAnsi="Verdana" w:cs="Verdana"/>
          <w:sz w:val="24"/>
          <w:szCs w:val="24"/>
        </w:rPr>
      </w:pPr>
    </w:p>
    <w:p w14:paraId="25006C46" w14:textId="77777777" w:rsidR="00417018" w:rsidRDefault="00417018" w:rsidP="00360610">
      <w:pPr>
        <w:spacing w:after="0" w:line="276" w:lineRule="auto"/>
        <w:ind w:left="1080" w:hanging="1080"/>
        <w:jc w:val="both"/>
        <w:rPr>
          <w:rFonts w:ascii="Verdana" w:eastAsia="Verdana" w:hAnsi="Verdana" w:cs="Verdana"/>
          <w:sz w:val="24"/>
          <w:szCs w:val="24"/>
        </w:rPr>
      </w:pPr>
    </w:p>
    <w:p w14:paraId="1A2B30B5" w14:textId="77777777" w:rsidR="00360610" w:rsidRDefault="00360610" w:rsidP="00360610">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lastRenderedPageBreak/>
        <w:t>Ver decreto en el siguiente link:</w:t>
      </w:r>
    </w:p>
    <w:p w14:paraId="1785E581" w14:textId="77777777" w:rsidR="00E82687" w:rsidRDefault="00360610" w:rsidP="00360610">
      <w:pPr>
        <w:rPr>
          <w:rFonts w:ascii="Verdana" w:hAnsi="Verdana"/>
          <w:sz w:val="24"/>
          <w:szCs w:val="24"/>
        </w:rPr>
      </w:pPr>
      <w:hyperlink r:id="rId26" w:anchor=":~:text=DECRETO%20856%20DE%202025&amp;text=(julio%2030)-,por%20medio%20del%20cual%20se%20adiciona%20el%20Cap%C3%ADtulo%209%2C%20al,y%20se%20dictan%20otras%20disposiciones%E2%80%9D" w:history="1">
        <w:r w:rsidRPr="34D8E6EE">
          <w:rPr>
            <w:rStyle w:val="Hipervnculo"/>
            <w:rFonts w:ascii="Verdana" w:hAnsi="Verdana"/>
            <w:sz w:val="24"/>
            <w:szCs w:val="24"/>
          </w:rPr>
          <w:t>https://www.suin-juriscol.gov.co/viewDocument.asp?id=30055341#:~:text=DECRETO%20856%20DE%202025&amp;text=(julio%2030)-,por%20medio%20del%20cual%20se%20adiciona%20el%20Cap%C3%ADtulo%209%2C%20al,y%20se%20dictan%20otras%20disposiciones%E2%80%9D</w:t>
        </w:r>
      </w:hyperlink>
      <w:r w:rsidRPr="34D8E6EE">
        <w:rPr>
          <w:rFonts w:ascii="Verdana" w:hAnsi="Verdana"/>
          <w:sz w:val="24"/>
          <w:szCs w:val="24"/>
        </w:rPr>
        <w:t xml:space="preserve">. </w:t>
      </w:r>
    </w:p>
    <w:p w14:paraId="05F85391" w14:textId="1CE6ADF8" w:rsidR="00360610" w:rsidRDefault="004B639E" w:rsidP="00360610">
      <w:pPr>
        <w:rPr>
          <w:rFonts w:ascii="Verdana" w:hAnsi="Verdana"/>
          <w:sz w:val="24"/>
          <w:szCs w:val="24"/>
        </w:rPr>
      </w:pPr>
      <w:r w:rsidRPr="004B639E">
        <w:rPr>
          <w:rFonts w:ascii="Verdana" w:hAnsi="Verdana"/>
          <w:b/>
          <w:bCs/>
          <w:sz w:val="24"/>
          <w:szCs w:val="24"/>
        </w:rPr>
        <w:t>Medidas normativas adoptadas por la ARN</w:t>
      </w:r>
      <w:r w:rsidR="00360610" w:rsidRPr="0C996435">
        <w:rPr>
          <w:rFonts w:ascii="Verdana" w:hAnsi="Verdana"/>
          <w:sz w:val="24"/>
          <w:szCs w:val="24"/>
        </w:rPr>
        <w:t>:</w:t>
      </w:r>
    </w:p>
    <w:p w14:paraId="12D5481E" w14:textId="77777777" w:rsidR="004B639E" w:rsidRPr="00804985" w:rsidRDefault="00360610" w:rsidP="00E82687">
      <w:pPr>
        <w:pStyle w:val="Prrafodelista"/>
        <w:numPr>
          <w:ilvl w:val="0"/>
          <w:numId w:val="5"/>
        </w:numPr>
        <w:rPr>
          <w:rFonts w:ascii="Verdana" w:hAnsi="Verdana"/>
          <w:b/>
          <w:bCs/>
          <w:sz w:val="24"/>
          <w:szCs w:val="24"/>
        </w:rPr>
      </w:pPr>
      <w:r w:rsidRPr="00804985">
        <w:rPr>
          <w:rFonts w:ascii="Verdana" w:hAnsi="Verdana"/>
          <w:b/>
          <w:bCs/>
          <w:sz w:val="24"/>
          <w:szCs w:val="24"/>
        </w:rPr>
        <w:t>Resolución 0275 de 2025</w:t>
      </w:r>
    </w:p>
    <w:p w14:paraId="6D1C889E" w14:textId="77777777" w:rsidR="00804985" w:rsidRPr="00804985" w:rsidRDefault="00804985" w:rsidP="00804985">
      <w:pPr>
        <w:pStyle w:val="Prrafodelista"/>
        <w:spacing w:before="100" w:beforeAutospacing="1" w:after="100" w:afterAutospacing="1" w:line="240" w:lineRule="auto"/>
        <w:ind w:left="787"/>
        <w:rPr>
          <w:rFonts w:ascii="Verdana" w:hAnsi="Verdana"/>
          <w:sz w:val="24"/>
          <w:szCs w:val="24"/>
        </w:rPr>
      </w:pPr>
      <w:r w:rsidRPr="00804985">
        <w:rPr>
          <w:rFonts w:ascii="Verdana" w:hAnsi="Verdana"/>
          <w:sz w:val="24"/>
          <w:szCs w:val="24"/>
        </w:rPr>
        <w:t>Mediante esta resolución se adoptó la Estrategia de Acompañamiento Integral a Grupos Familiares de Personas Fallecidas Víctimas de Homicidio y Desaparición Forzada del Proceso de Reincorporación, así como el reconocimiento del ingreso básico excepcional y transitorio para hijos e hijas de exintegrantes de las FARC-EP asesinados.</w:t>
      </w:r>
    </w:p>
    <w:p w14:paraId="7AB20065" w14:textId="77777777" w:rsidR="00804985" w:rsidRPr="00804985" w:rsidRDefault="00804985" w:rsidP="00804985">
      <w:pPr>
        <w:pStyle w:val="Prrafodelista"/>
        <w:spacing w:before="100" w:beforeAutospacing="1" w:after="100" w:afterAutospacing="1" w:line="240" w:lineRule="auto"/>
        <w:ind w:left="787"/>
        <w:rPr>
          <w:rFonts w:ascii="Verdana" w:hAnsi="Verdana"/>
          <w:sz w:val="24"/>
          <w:szCs w:val="24"/>
        </w:rPr>
      </w:pPr>
      <w:r w:rsidRPr="00804985">
        <w:rPr>
          <w:rFonts w:ascii="Verdana" w:hAnsi="Verdana"/>
          <w:sz w:val="24"/>
          <w:szCs w:val="24"/>
        </w:rPr>
        <w:t>La medida da cumplimiento a órdenes de la Jurisdicción Especial para la Paz (JEP) y busca garantizar temporalmente el pago del ingreso básico mientras se implementan mecanismos estructurales de protección. Asimismo, fortalece el modelo de acompañamiento institucional mediante la incorporación de enfoques diferencial e interseccional.</w:t>
      </w:r>
    </w:p>
    <w:p w14:paraId="39042AAE" w14:textId="77777777" w:rsidR="00360610" w:rsidRDefault="00360610" w:rsidP="00360610">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t>Ver decreto en el siguiente link:</w:t>
      </w:r>
    </w:p>
    <w:p w14:paraId="6FE6277B" w14:textId="77777777" w:rsidR="00360610" w:rsidRDefault="00360610" w:rsidP="00360610">
      <w:pPr>
        <w:rPr>
          <w:rFonts w:ascii="Verdana" w:hAnsi="Verdana"/>
          <w:sz w:val="24"/>
          <w:szCs w:val="24"/>
        </w:rPr>
      </w:pPr>
      <w:hyperlink r:id="rId27" w:history="1">
        <w:r w:rsidRPr="34D8E6EE">
          <w:rPr>
            <w:rStyle w:val="Hipervnculo"/>
            <w:rFonts w:ascii="Verdana" w:hAnsi="Verdana"/>
            <w:sz w:val="24"/>
            <w:szCs w:val="24"/>
          </w:rPr>
          <w:t>https://www.reincorporacion.gov.co/es/agencia/Paginas/normatividad.aspx</w:t>
        </w:r>
      </w:hyperlink>
    </w:p>
    <w:p w14:paraId="29FC96CE" w14:textId="77777777" w:rsidR="00804985" w:rsidRDefault="00360610" w:rsidP="007C7001">
      <w:pPr>
        <w:pStyle w:val="Prrafodelista"/>
        <w:numPr>
          <w:ilvl w:val="0"/>
          <w:numId w:val="5"/>
        </w:numPr>
        <w:rPr>
          <w:rFonts w:ascii="Verdana" w:hAnsi="Verdana"/>
          <w:b/>
          <w:bCs/>
          <w:sz w:val="24"/>
          <w:szCs w:val="24"/>
        </w:rPr>
      </w:pPr>
      <w:r w:rsidRPr="007C7001">
        <w:rPr>
          <w:rFonts w:ascii="Verdana" w:hAnsi="Verdana"/>
          <w:b/>
          <w:bCs/>
          <w:sz w:val="24"/>
          <w:szCs w:val="24"/>
        </w:rPr>
        <w:t>Resolución 0326 de 2025</w:t>
      </w:r>
    </w:p>
    <w:p w14:paraId="2C1FACE2" w14:textId="77777777" w:rsidR="00C71361" w:rsidRPr="00C71361" w:rsidRDefault="00C71361" w:rsidP="00C71361">
      <w:pPr>
        <w:pStyle w:val="Prrafodelista"/>
        <w:spacing w:before="100" w:beforeAutospacing="1" w:after="100" w:afterAutospacing="1" w:line="240" w:lineRule="auto"/>
        <w:ind w:left="787"/>
        <w:rPr>
          <w:rFonts w:ascii="Verdana" w:hAnsi="Verdana"/>
          <w:sz w:val="24"/>
          <w:szCs w:val="24"/>
        </w:rPr>
      </w:pPr>
      <w:r w:rsidRPr="00C71361">
        <w:rPr>
          <w:rFonts w:ascii="Verdana" w:hAnsi="Verdana"/>
          <w:sz w:val="24"/>
          <w:szCs w:val="24"/>
        </w:rPr>
        <w:t>Esta resolución establece disposiciones relacionadas con los Espacios Territoriales de Capacitación y Reincorporación (ETCR) y las Áreas Especiales de Reincorporación Colectiva (AERC), en desarrollo del Decreto 1048 de 2024.</w:t>
      </w:r>
    </w:p>
    <w:p w14:paraId="1697B6AD" w14:textId="77777777" w:rsidR="00E0508B" w:rsidRDefault="00E0508B" w:rsidP="00C71361">
      <w:pPr>
        <w:pStyle w:val="Prrafodelista"/>
        <w:spacing w:before="100" w:beforeAutospacing="1" w:after="100" w:afterAutospacing="1" w:line="240" w:lineRule="auto"/>
        <w:ind w:left="787"/>
        <w:rPr>
          <w:rFonts w:ascii="Verdana" w:hAnsi="Verdana"/>
          <w:sz w:val="24"/>
          <w:szCs w:val="24"/>
        </w:rPr>
      </w:pPr>
    </w:p>
    <w:p w14:paraId="56381F09" w14:textId="77777777" w:rsidR="00C71361" w:rsidRPr="00C71361" w:rsidRDefault="00C71361" w:rsidP="00C71361">
      <w:pPr>
        <w:pStyle w:val="Prrafodelista"/>
        <w:spacing w:before="100" w:beforeAutospacing="1" w:after="100" w:afterAutospacing="1" w:line="240" w:lineRule="auto"/>
        <w:ind w:left="787"/>
        <w:rPr>
          <w:rFonts w:ascii="Verdana" w:hAnsi="Verdana"/>
          <w:sz w:val="24"/>
          <w:szCs w:val="24"/>
        </w:rPr>
      </w:pPr>
      <w:r w:rsidRPr="00C71361">
        <w:rPr>
          <w:rFonts w:ascii="Verdana" w:hAnsi="Verdana"/>
          <w:sz w:val="24"/>
          <w:szCs w:val="24"/>
        </w:rPr>
        <w:t>El instrumento normativo regula y actualiza el marco de funcionamiento de estos espacios, superando esquemas temporales de reincorporación y orientando la política hacia soluciones estructurales, permanentes y diferenciadas según las necesidades de cada colectivo.</w:t>
      </w:r>
    </w:p>
    <w:p w14:paraId="29164488" w14:textId="77777777" w:rsidR="00360610" w:rsidRDefault="00360610" w:rsidP="00360610">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t>Ver decreto en el siguiente link:</w:t>
      </w:r>
    </w:p>
    <w:p w14:paraId="564FD23F" w14:textId="77777777" w:rsidR="00360610" w:rsidRDefault="00360610" w:rsidP="00360610">
      <w:pPr>
        <w:rPr>
          <w:rFonts w:ascii="Verdana" w:hAnsi="Verdana"/>
          <w:sz w:val="24"/>
          <w:szCs w:val="24"/>
        </w:rPr>
      </w:pPr>
      <w:hyperlink r:id="rId28" w:history="1">
        <w:r w:rsidRPr="34D8E6EE">
          <w:rPr>
            <w:rStyle w:val="Hipervnculo"/>
            <w:rFonts w:ascii="Verdana" w:hAnsi="Verdana"/>
            <w:sz w:val="24"/>
            <w:szCs w:val="24"/>
          </w:rPr>
          <w:t>https://www.reincorporacion.gov.co/es/agencia/Paginas/normatividad.aspx</w:t>
        </w:r>
      </w:hyperlink>
      <w:r w:rsidRPr="34D8E6EE">
        <w:rPr>
          <w:rFonts w:ascii="Verdana" w:hAnsi="Verdana"/>
          <w:sz w:val="24"/>
          <w:szCs w:val="24"/>
        </w:rPr>
        <w:t xml:space="preserve"> </w:t>
      </w:r>
    </w:p>
    <w:p w14:paraId="3F3766FA" w14:textId="77777777" w:rsidR="00E0508B" w:rsidRPr="00E0508B" w:rsidRDefault="00360610" w:rsidP="007C7001">
      <w:pPr>
        <w:pStyle w:val="Prrafodelista"/>
        <w:numPr>
          <w:ilvl w:val="0"/>
          <w:numId w:val="5"/>
        </w:numPr>
        <w:rPr>
          <w:rFonts w:ascii="Verdana" w:hAnsi="Verdana"/>
          <w:sz w:val="24"/>
          <w:szCs w:val="24"/>
        </w:rPr>
      </w:pPr>
      <w:r w:rsidRPr="007C7001">
        <w:rPr>
          <w:rFonts w:ascii="Verdana" w:hAnsi="Verdana"/>
          <w:b/>
          <w:bCs/>
          <w:sz w:val="24"/>
          <w:szCs w:val="24"/>
        </w:rPr>
        <w:lastRenderedPageBreak/>
        <w:t>Resolución 1358 de 2025</w:t>
      </w:r>
    </w:p>
    <w:p w14:paraId="43447270" w14:textId="77777777" w:rsidR="00052BBC" w:rsidRPr="00052BBC" w:rsidRDefault="00052BBC" w:rsidP="00052BBC">
      <w:pPr>
        <w:pStyle w:val="Prrafodelista"/>
        <w:spacing w:before="100" w:beforeAutospacing="1" w:after="100" w:afterAutospacing="1" w:line="240" w:lineRule="auto"/>
        <w:ind w:left="787"/>
        <w:rPr>
          <w:rFonts w:ascii="Verdana" w:hAnsi="Verdana"/>
          <w:sz w:val="24"/>
          <w:szCs w:val="24"/>
        </w:rPr>
      </w:pPr>
      <w:r w:rsidRPr="00052BBC">
        <w:rPr>
          <w:rFonts w:ascii="Verdana" w:hAnsi="Verdana"/>
          <w:sz w:val="24"/>
          <w:szCs w:val="24"/>
        </w:rPr>
        <w:t>Mediante esta resolución se creó la Estrategia de Fomento para impulsar iniciativas y proyectos sociales y comunitarios que contribuyan a la materialización del Programa de Reincorporación Integral (PRI).</w:t>
      </w:r>
    </w:p>
    <w:p w14:paraId="12ADB8F8" w14:textId="77777777" w:rsidR="00052BBC" w:rsidRDefault="00052BBC" w:rsidP="00052BBC">
      <w:pPr>
        <w:pStyle w:val="Prrafodelista"/>
        <w:spacing w:before="100" w:beforeAutospacing="1" w:after="100" w:afterAutospacing="1" w:line="240" w:lineRule="auto"/>
        <w:ind w:left="787"/>
        <w:rPr>
          <w:rFonts w:ascii="Verdana" w:hAnsi="Verdana"/>
          <w:sz w:val="24"/>
          <w:szCs w:val="24"/>
        </w:rPr>
      </w:pPr>
    </w:p>
    <w:p w14:paraId="33E71691" w14:textId="6C68FC8E" w:rsidR="00052BBC" w:rsidRPr="00052BBC" w:rsidRDefault="00052BBC" w:rsidP="00052BBC">
      <w:pPr>
        <w:pStyle w:val="Prrafodelista"/>
        <w:spacing w:before="100" w:beforeAutospacing="1" w:after="100" w:afterAutospacing="1" w:line="240" w:lineRule="auto"/>
        <w:ind w:left="787"/>
        <w:rPr>
          <w:rFonts w:ascii="Verdana" w:hAnsi="Verdana"/>
          <w:sz w:val="24"/>
          <w:szCs w:val="24"/>
        </w:rPr>
      </w:pPr>
      <w:r w:rsidRPr="00052BBC">
        <w:rPr>
          <w:rFonts w:ascii="Verdana" w:hAnsi="Verdana"/>
          <w:sz w:val="24"/>
          <w:szCs w:val="24"/>
        </w:rPr>
        <w:t>Su implementación se realiza mediante convocatorias públicas que permiten a las personas en proceso de reincorporación postular iniciativas y proyectos para su financiación con recursos del Presupuesto General de la Nación, fortaleciendo la participación territorial y el desarrollo de iniciativas comunitarias.</w:t>
      </w:r>
    </w:p>
    <w:p w14:paraId="2B136655" w14:textId="77777777" w:rsidR="00360610" w:rsidRDefault="00360610" w:rsidP="00360610">
      <w:pPr>
        <w:spacing w:after="0" w:line="276" w:lineRule="auto"/>
        <w:ind w:left="1080" w:hanging="1080"/>
        <w:jc w:val="both"/>
        <w:rPr>
          <w:rFonts w:ascii="Verdana" w:eastAsia="Verdana" w:hAnsi="Verdana" w:cs="Verdana"/>
          <w:sz w:val="24"/>
          <w:szCs w:val="24"/>
        </w:rPr>
      </w:pPr>
      <w:r w:rsidRPr="34D8E6EE">
        <w:rPr>
          <w:rFonts w:ascii="Verdana" w:eastAsia="Verdana" w:hAnsi="Verdana" w:cs="Verdana"/>
          <w:sz w:val="24"/>
          <w:szCs w:val="24"/>
        </w:rPr>
        <w:t>Ver decreto en el siguiente link:</w:t>
      </w:r>
    </w:p>
    <w:p w14:paraId="2249918A" w14:textId="77777777" w:rsidR="00360610" w:rsidRDefault="00360610" w:rsidP="00360610">
      <w:pPr>
        <w:rPr>
          <w:rFonts w:ascii="Verdana" w:hAnsi="Verdana"/>
          <w:sz w:val="24"/>
          <w:szCs w:val="24"/>
        </w:rPr>
      </w:pPr>
      <w:hyperlink r:id="rId29" w:history="1">
        <w:r w:rsidRPr="34D8E6EE">
          <w:rPr>
            <w:rStyle w:val="Hipervnculo"/>
            <w:rFonts w:ascii="Verdana" w:hAnsi="Verdana"/>
            <w:sz w:val="24"/>
            <w:szCs w:val="24"/>
          </w:rPr>
          <w:t>https://www.reincorporacion.gov.co/es/agencia/Paginas/normatividad.aspx</w:t>
        </w:r>
      </w:hyperlink>
    </w:p>
    <w:p w14:paraId="6A7F1DDA" w14:textId="77777777" w:rsidR="00E079E0" w:rsidRDefault="00E079E0">
      <w:pPr>
        <w:rPr>
          <w:rFonts w:ascii="Verdana" w:hAnsi="Verdana"/>
          <w:sz w:val="24"/>
          <w:szCs w:val="24"/>
        </w:rPr>
      </w:pPr>
    </w:p>
    <w:p w14:paraId="2434DD15" w14:textId="14D16057" w:rsidR="000B1DA2" w:rsidRPr="00AB06F3" w:rsidRDefault="10732610" w:rsidP="00251068">
      <w:pPr>
        <w:pStyle w:val="Ttulo2"/>
        <w:spacing w:after="0" w:line="276" w:lineRule="auto"/>
        <w:jc w:val="both"/>
        <w:rPr>
          <w:rFonts w:ascii="Verdana" w:eastAsia="Verdana" w:hAnsi="Verdana" w:cs="Arial"/>
          <w:color w:val="806000" w:themeColor="accent4" w:themeShade="80"/>
          <w:sz w:val="40"/>
          <w:szCs w:val="40"/>
        </w:rPr>
      </w:pPr>
      <w:bookmarkStart w:id="76" w:name="_Toc154672464"/>
      <w:bookmarkStart w:id="77" w:name="_Toc225283098"/>
      <w:r w:rsidRPr="00AB06F3">
        <w:rPr>
          <w:rFonts w:ascii="Verdana" w:eastAsia="Verdana" w:hAnsi="Verdana" w:cs="Arial"/>
          <w:color w:val="806000" w:themeColor="accent4" w:themeShade="80"/>
          <w:sz w:val="40"/>
          <w:szCs w:val="40"/>
        </w:rPr>
        <w:t xml:space="preserve">2. </w:t>
      </w:r>
      <w:r w:rsidR="661BA685" w:rsidRPr="00AB06F3">
        <w:rPr>
          <w:rFonts w:ascii="Verdana" w:eastAsia="Verdana" w:hAnsi="Verdana" w:cs="Arial"/>
          <w:color w:val="806000" w:themeColor="accent4" w:themeShade="80"/>
          <w:sz w:val="40"/>
          <w:szCs w:val="40"/>
        </w:rPr>
        <w:t>Participación ciudadana, control social</w:t>
      </w:r>
      <w:bookmarkEnd w:id="76"/>
      <w:bookmarkEnd w:id="77"/>
    </w:p>
    <w:p w14:paraId="1B12458C" w14:textId="7B477E50" w:rsidR="000B1DA2" w:rsidRPr="00AB06F3" w:rsidRDefault="3F56DC71" w:rsidP="00C25586">
      <w:pPr>
        <w:pStyle w:val="Ttulo2"/>
        <w:spacing w:after="0" w:line="276" w:lineRule="auto"/>
        <w:jc w:val="both"/>
        <w:rPr>
          <w:rFonts w:ascii="Verdana" w:eastAsia="Verdana" w:hAnsi="Verdana" w:cs="Arial"/>
          <w:color w:val="806000" w:themeColor="accent4" w:themeShade="80"/>
        </w:rPr>
      </w:pPr>
      <w:bookmarkStart w:id="78" w:name="_Toc154672465"/>
      <w:bookmarkStart w:id="79" w:name="_Toc225283099"/>
      <w:r w:rsidRPr="00AB06F3">
        <w:rPr>
          <w:rFonts w:ascii="Verdana" w:eastAsia="Verdana" w:hAnsi="Verdana" w:cs="Arial"/>
          <w:color w:val="806000" w:themeColor="accent4" w:themeShade="80"/>
        </w:rPr>
        <w:t xml:space="preserve">2.1. </w:t>
      </w:r>
      <w:r w:rsidR="5B345336" w:rsidRPr="00AB06F3">
        <w:rPr>
          <w:rFonts w:ascii="Verdana" w:eastAsia="Verdana" w:hAnsi="Verdana" w:cs="Arial"/>
          <w:color w:val="806000" w:themeColor="accent4" w:themeShade="80"/>
        </w:rPr>
        <w:t xml:space="preserve">Acciones de Promoción de la </w:t>
      </w:r>
      <w:r w:rsidR="661BA685" w:rsidRPr="00AB06F3">
        <w:rPr>
          <w:rFonts w:ascii="Verdana" w:eastAsia="Verdana" w:hAnsi="Verdana" w:cs="Arial"/>
          <w:color w:val="806000" w:themeColor="accent4" w:themeShade="80"/>
        </w:rPr>
        <w:t>Participación Ciudadana</w:t>
      </w:r>
      <w:bookmarkEnd w:id="78"/>
      <w:bookmarkEnd w:id="79"/>
    </w:p>
    <w:p w14:paraId="6B371CAF" w14:textId="74CAE81F" w:rsidR="13863724" w:rsidRPr="00AB06F3" w:rsidRDefault="13863724" w:rsidP="00C25586">
      <w:pPr>
        <w:pStyle w:val="NormalWeb"/>
        <w:spacing w:after="0" w:afterAutospacing="0" w:line="276" w:lineRule="auto"/>
        <w:jc w:val="both"/>
        <w:rPr>
          <w:rFonts w:ascii="Verdana" w:hAnsi="Verdana" w:cs="Arial"/>
        </w:rPr>
      </w:pPr>
      <w:r w:rsidRPr="00AB06F3">
        <w:rPr>
          <w:rFonts w:ascii="Verdana" w:hAnsi="Verdana" w:cs="Arial"/>
        </w:rPr>
        <w:t>A continuación</w:t>
      </w:r>
      <w:r w:rsidR="0B196301" w:rsidRPr="00AB06F3">
        <w:rPr>
          <w:rFonts w:ascii="Verdana" w:hAnsi="Verdana" w:cs="Arial"/>
        </w:rPr>
        <w:t>,</w:t>
      </w:r>
      <w:r w:rsidRPr="00AB06F3">
        <w:rPr>
          <w:rFonts w:ascii="Verdana" w:hAnsi="Verdana" w:cs="Arial"/>
        </w:rPr>
        <w:t xml:space="preserve"> describimos las actividades que </w:t>
      </w:r>
      <w:r w:rsidR="00A220E1">
        <w:rPr>
          <w:rFonts w:ascii="Verdana" w:hAnsi="Verdana" w:cs="Arial"/>
        </w:rPr>
        <w:t>ARN</w:t>
      </w:r>
      <w:r w:rsidRPr="00AB06F3">
        <w:rPr>
          <w:rFonts w:ascii="Verdana" w:hAnsi="Verdana" w:cs="Arial"/>
        </w:rPr>
        <w:t xml:space="preserve"> desarroll</w:t>
      </w:r>
      <w:r w:rsidR="0026087C" w:rsidRPr="00AB06F3">
        <w:rPr>
          <w:rFonts w:ascii="Verdana" w:hAnsi="Verdana" w:cs="Arial"/>
        </w:rPr>
        <w:t>ó</w:t>
      </w:r>
      <w:r w:rsidRPr="00AB06F3">
        <w:rPr>
          <w:rFonts w:ascii="Verdana" w:hAnsi="Verdana" w:cs="Arial"/>
        </w:rPr>
        <w:t xml:space="preserve"> en el año 202</w:t>
      </w:r>
      <w:r w:rsidR="00D86B10">
        <w:rPr>
          <w:rFonts w:ascii="Verdana" w:hAnsi="Verdana" w:cs="Arial"/>
        </w:rPr>
        <w:t>5</w:t>
      </w:r>
      <w:r w:rsidRPr="00AB06F3">
        <w:rPr>
          <w:rFonts w:ascii="Verdana" w:hAnsi="Verdana" w:cs="Arial"/>
        </w:rPr>
        <w:t xml:space="preserve"> para promover la participación ciudadana para el cumplimiento de los compromisos del acuerdo de paz.</w:t>
      </w:r>
    </w:p>
    <w:p w14:paraId="72311D94" w14:textId="77777777" w:rsidR="00316BE4" w:rsidRDefault="00316BE4" w:rsidP="00316BE4">
      <w:pPr>
        <w:pStyle w:val="Descripcin"/>
        <w:keepNext/>
        <w:jc w:val="center"/>
        <w:rPr>
          <w:rFonts w:ascii="Verdana" w:hAnsi="Verdana" w:cs="Arial"/>
          <w:i w:val="0"/>
          <w:iCs w:val="0"/>
          <w:color w:val="000000" w:themeColor="text1"/>
        </w:rPr>
      </w:pPr>
    </w:p>
    <w:p w14:paraId="7FA727E3" w14:textId="7894C4E0" w:rsidR="00316BE4" w:rsidRPr="00316BE4" w:rsidRDefault="00316BE4" w:rsidP="00316BE4">
      <w:pPr>
        <w:pStyle w:val="Descripcin"/>
        <w:keepNext/>
        <w:jc w:val="center"/>
        <w:rPr>
          <w:rFonts w:ascii="Verdana" w:hAnsi="Verdana" w:cs="Arial"/>
          <w:i w:val="0"/>
          <w:iCs w:val="0"/>
          <w:color w:val="000000" w:themeColor="text1"/>
        </w:rPr>
      </w:pPr>
      <w:bookmarkStart w:id="80" w:name="_Toc225283182"/>
      <w:r w:rsidRPr="00316BE4">
        <w:rPr>
          <w:rFonts w:ascii="Verdana" w:hAnsi="Verdana" w:cs="Arial"/>
          <w:i w:val="0"/>
          <w:iCs w:val="0"/>
          <w:color w:val="000000" w:themeColor="text1"/>
        </w:rPr>
        <w:t xml:space="preserve">Tabla </w:t>
      </w:r>
      <w:r w:rsidRPr="00316BE4">
        <w:rPr>
          <w:rFonts w:ascii="Verdana" w:hAnsi="Verdana" w:cs="Arial"/>
          <w:i w:val="0"/>
          <w:iCs w:val="0"/>
          <w:color w:val="000000" w:themeColor="text1"/>
        </w:rPr>
        <w:fldChar w:fldCharType="begin"/>
      </w:r>
      <w:r w:rsidRPr="00316BE4">
        <w:rPr>
          <w:rFonts w:ascii="Verdana" w:hAnsi="Verdana" w:cs="Arial"/>
          <w:i w:val="0"/>
          <w:iCs w:val="0"/>
          <w:color w:val="000000" w:themeColor="text1"/>
        </w:rPr>
        <w:instrText xml:space="preserve"> SEQ Tabla \* ARABIC </w:instrText>
      </w:r>
      <w:r w:rsidRPr="00316BE4">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70</w:t>
      </w:r>
      <w:r w:rsidRPr="00316BE4">
        <w:rPr>
          <w:rFonts w:ascii="Verdana" w:hAnsi="Verdana" w:cs="Arial"/>
          <w:i w:val="0"/>
          <w:iCs w:val="0"/>
          <w:color w:val="000000" w:themeColor="text1"/>
        </w:rPr>
        <w:fldChar w:fldCharType="end"/>
      </w:r>
      <w:r w:rsidRPr="00316BE4">
        <w:rPr>
          <w:rFonts w:ascii="Verdana" w:hAnsi="Verdana" w:cs="Arial"/>
          <w:i w:val="0"/>
          <w:iCs w:val="0"/>
          <w:color w:val="000000" w:themeColor="text1"/>
        </w:rPr>
        <w:t>. Acciones de participación ciudadana para la construcción de paz</w:t>
      </w:r>
      <w:bookmarkEnd w:id="80"/>
    </w:p>
    <w:tbl>
      <w:tblPr>
        <w:tblW w:w="8836"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Look w:val="06A0" w:firstRow="1" w:lastRow="0" w:firstColumn="1" w:lastColumn="0" w:noHBand="1" w:noVBand="1"/>
        <w:tblCaption w:val="Acciones de participación ciudadana para la contrucción de paz"/>
        <w:tblDescription w:val="Tabla que contiene los siguientes items: qué actividad de participación se realizó?, Descripción de la actividad, en dónde se realizó?, quiénes participaron?, cuantas personas participaron?, cuándo se realizó?, qué se logró? acuerdos sobre qué temas "/>
      </w:tblPr>
      <w:tblGrid>
        <w:gridCol w:w="1246"/>
        <w:gridCol w:w="1281"/>
        <w:gridCol w:w="1415"/>
        <w:gridCol w:w="1665"/>
        <w:gridCol w:w="969"/>
        <w:gridCol w:w="828"/>
        <w:gridCol w:w="1432"/>
      </w:tblGrid>
      <w:tr w:rsidR="3FF21669" w:rsidRPr="00A13940" w14:paraId="54A8F760" w14:textId="77777777" w:rsidTr="00AE51F0">
        <w:trPr>
          <w:trHeight w:val="795"/>
        </w:trPr>
        <w:tc>
          <w:tcPr>
            <w:tcW w:w="1246" w:type="dxa"/>
            <w:tcMar>
              <w:top w:w="15" w:type="dxa"/>
              <w:left w:w="15" w:type="dxa"/>
              <w:right w:w="15" w:type="dxa"/>
            </w:tcMar>
            <w:vAlign w:val="center"/>
          </w:tcPr>
          <w:p w14:paraId="7A17B393" w14:textId="31CC39CC" w:rsidR="3FF21669" w:rsidRPr="00A13940" w:rsidRDefault="3FF21669" w:rsidP="00C25586">
            <w:pPr>
              <w:spacing w:after="0" w:line="276" w:lineRule="auto"/>
              <w:jc w:val="center"/>
              <w:rPr>
                <w:rFonts w:ascii="Verdana" w:hAnsi="Verdana" w:cs="Arial"/>
                <w:b/>
                <w:bCs/>
                <w:sz w:val="18"/>
                <w:szCs w:val="18"/>
              </w:rPr>
            </w:pPr>
            <w:hyperlink r:id="rId30" w:anchor="_ftn2">
              <w:r w:rsidRPr="00A13940">
                <w:rPr>
                  <w:rStyle w:val="Hipervnculo"/>
                  <w:rFonts w:ascii="Verdana" w:eastAsia="Verdana" w:hAnsi="Verdana" w:cs="Arial"/>
                  <w:b/>
                  <w:bCs/>
                  <w:color w:val="000000" w:themeColor="text1"/>
                  <w:sz w:val="18"/>
                  <w:szCs w:val="18"/>
                  <w:u w:val="none"/>
                </w:rPr>
                <w:t>¿Qué actividad de participación se realizó?</w:t>
              </w:r>
            </w:hyperlink>
          </w:p>
        </w:tc>
        <w:tc>
          <w:tcPr>
            <w:tcW w:w="1281" w:type="dxa"/>
            <w:tcMar>
              <w:top w:w="15" w:type="dxa"/>
              <w:left w:w="15" w:type="dxa"/>
              <w:right w:w="15" w:type="dxa"/>
            </w:tcMar>
            <w:vAlign w:val="center"/>
          </w:tcPr>
          <w:p w14:paraId="62BC06E0" w14:textId="454ECA4D"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Descripción de la actividad</w:t>
            </w:r>
          </w:p>
        </w:tc>
        <w:tc>
          <w:tcPr>
            <w:tcW w:w="1415" w:type="dxa"/>
            <w:tcMar>
              <w:top w:w="15" w:type="dxa"/>
              <w:left w:w="15" w:type="dxa"/>
              <w:right w:w="15" w:type="dxa"/>
            </w:tcMar>
            <w:vAlign w:val="center"/>
          </w:tcPr>
          <w:p w14:paraId="00BF7D4F" w14:textId="4059EC62"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 xml:space="preserve">¿En dónde se realizó? </w:t>
            </w:r>
          </w:p>
        </w:tc>
        <w:tc>
          <w:tcPr>
            <w:tcW w:w="1665" w:type="dxa"/>
            <w:tcMar>
              <w:top w:w="15" w:type="dxa"/>
              <w:left w:w="15" w:type="dxa"/>
              <w:right w:w="15" w:type="dxa"/>
            </w:tcMar>
            <w:vAlign w:val="center"/>
          </w:tcPr>
          <w:p w14:paraId="2C8E22C9" w14:textId="68419F12" w:rsidR="3FF21669" w:rsidRPr="00A13940" w:rsidRDefault="3FF21669" w:rsidP="00C25586">
            <w:pPr>
              <w:spacing w:after="0" w:line="276" w:lineRule="auto"/>
              <w:jc w:val="center"/>
              <w:rPr>
                <w:rFonts w:ascii="Verdana" w:hAnsi="Verdana" w:cs="Arial"/>
                <w:b/>
                <w:bCs/>
                <w:sz w:val="18"/>
                <w:szCs w:val="18"/>
              </w:rPr>
            </w:pPr>
            <w:hyperlink r:id="rId31" w:anchor="_ftn1">
              <w:r w:rsidRPr="00A13940">
                <w:rPr>
                  <w:rStyle w:val="Hipervnculo"/>
                  <w:rFonts w:ascii="Verdana" w:eastAsia="Verdana" w:hAnsi="Verdana" w:cs="Arial"/>
                  <w:b/>
                  <w:bCs/>
                  <w:color w:val="000000" w:themeColor="text1"/>
                  <w:sz w:val="18"/>
                  <w:szCs w:val="18"/>
                  <w:u w:val="none"/>
                </w:rPr>
                <w:t>¿Quiénes participaron?</w:t>
              </w:r>
            </w:hyperlink>
          </w:p>
        </w:tc>
        <w:tc>
          <w:tcPr>
            <w:tcW w:w="969" w:type="dxa"/>
            <w:tcMar>
              <w:top w:w="15" w:type="dxa"/>
              <w:left w:w="15" w:type="dxa"/>
              <w:right w:w="15" w:type="dxa"/>
            </w:tcMar>
            <w:vAlign w:val="center"/>
          </w:tcPr>
          <w:p w14:paraId="3FDBCAAB" w14:textId="230DEC45"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 xml:space="preserve">¿Cuántas personas participaron? </w:t>
            </w:r>
          </w:p>
        </w:tc>
        <w:tc>
          <w:tcPr>
            <w:tcW w:w="828" w:type="dxa"/>
            <w:tcMar>
              <w:top w:w="15" w:type="dxa"/>
              <w:left w:w="15" w:type="dxa"/>
              <w:right w:w="15" w:type="dxa"/>
            </w:tcMar>
            <w:vAlign w:val="center"/>
          </w:tcPr>
          <w:p w14:paraId="764E512E" w14:textId="799D47D3"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 xml:space="preserve">¿Cuándo se realizó? </w:t>
            </w:r>
          </w:p>
        </w:tc>
        <w:tc>
          <w:tcPr>
            <w:tcW w:w="1432" w:type="dxa"/>
            <w:tcMar>
              <w:top w:w="15" w:type="dxa"/>
              <w:left w:w="15" w:type="dxa"/>
              <w:right w:w="15" w:type="dxa"/>
            </w:tcMar>
            <w:vAlign w:val="center"/>
          </w:tcPr>
          <w:p w14:paraId="416843DD" w14:textId="63840EEC" w:rsidR="3FF21669" w:rsidRPr="00A13940" w:rsidRDefault="3FF21669" w:rsidP="00C25586">
            <w:pPr>
              <w:spacing w:after="0" w:line="276" w:lineRule="auto"/>
              <w:jc w:val="center"/>
              <w:rPr>
                <w:rFonts w:ascii="Verdana" w:hAnsi="Verdana" w:cs="Arial"/>
                <w:b/>
                <w:bCs/>
                <w:sz w:val="18"/>
                <w:szCs w:val="18"/>
              </w:rPr>
            </w:pPr>
            <w:r w:rsidRPr="00A13940">
              <w:rPr>
                <w:rFonts w:ascii="Verdana" w:eastAsia="Verdana" w:hAnsi="Verdana" w:cs="Arial"/>
                <w:b/>
                <w:bCs/>
                <w:color w:val="000000" w:themeColor="text1"/>
                <w:sz w:val="18"/>
                <w:szCs w:val="18"/>
              </w:rPr>
              <w:t>¿Qué se logró?, acuerdos sobre qué temas)</w:t>
            </w:r>
          </w:p>
        </w:tc>
      </w:tr>
      <w:tr w:rsidR="3FF21669" w:rsidRPr="00AB06F3" w14:paraId="5F64AC24" w14:textId="77777777" w:rsidTr="00AE51F0">
        <w:trPr>
          <w:trHeight w:val="1544"/>
        </w:trPr>
        <w:tc>
          <w:tcPr>
            <w:tcW w:w="1246" w:type="dxa"/>
            <w:tcMar>
              <w:top w:w="15" w:type="dxa"/>
              <w:left w:w="15" w:type="dxa"/>
              <w:right w:w="15" w:type="dxa"/>
            </w:tcMar>
            <w:vAlign w:val="center"/>
          </w:tcPr>
          <w:p w14:paraId="26FBB049" w14:textId="7AD06FE1" w:rsidR="3FF21669" w:rsidRPr="00AB06F3" w:rsidRDefault="3FF21669" w:rsidP="00B01CE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t>Rendición de cuentas territoriales</w:t>
            </w:r>
          </w:p>
        </w:tc>
        <w:tc>
          <w:tcPr>
            <w:tcW w:w="1281" w:type="dxa"/>
            <w:tcMar>
              <w:top w:w="15" w:type="dxa"/>
              <w:left w:w="15" w:type="dxa"/>
              <w:right w:w="15" w:type="dxa"/>
            </w:tcMar>
            <w:vAlign w:val="center"/>
          </w:tcPr>
          <w:p w14:paraId="5E7BD5B4" w14:textId="74041B20" w:rsidR="3FF21669" w:rsidRPr="00AB06F3" w:rsidRDefault="00DB637C" w:rsidP="00B01CE0">
            <w:pPr>
              <w:spacing w:after="0" w:line="276" w:lineRule="auto"/>
              <w:rPr>
                <w:rFonts w:ascii="Verdana" w:hAnsi="Verdana" w:cs="Arial"/>
                <w:sz w:val="18"/>
                <w:szCs w:val="18"/>
              </w:rPr>
            </w:pPr>
            <w:r>
              <w:rPr>
                <w:rFonts w:ascii="Verdana" w:eastAsia="Verdana" w:hAnsi="Verdana" w:cs="Arial"/>
                <w:color w:val="000000" w:themeColor="text1"/>
                <w:sz w:val="18"/>
                <w:szCs w:val="18"/>
              </w:rPr>
              <w:t>19</w:t>
            </w:r>
            <w:r w:rsidR="3FF21669" w:rsidRPr="00AB06F3">
              <w:rPr>
                <w:rFonts w:ascii="Verdana" w:eastAsia="Verdana" w:hAnsi="Verdana" w:cs="Arial"/>
                <w:color w:val="000000" w:themeColor="text1"/>
                <w:sz w:val="18"/>
                <w:szCs w:val="18"/>
              </w:rPr>
              <w:t xml:space="preserve"> ejercicios de Rendición de cuentas territoriales de los </w:t>
            </w:r>
            <w:r w:rsidR="009A0E5A">
              <w:rPr>
                <w:rFonts w:ascii="Verdana" w:eastAsia="Verdana" w:hAnsi="Verdana" w:cs="Arial"/>
                <w:color w:val="000000" w:themeColor="text1"/>
                <w:sz w:val="18"/>
                <w:szCs w:val="18"/>
              </w:rPr>
              <w:t>G</w:t>
            </w:r>
            <w:r w:rsidR="3FF21669" w:rsidRPr="00AB06F3">
              <w:rPr>
                <w:rFonts w:ascii="Verdana" w:eastAsia="Verdana" w:hAnsi="Verdana" w:cs="Arial"/>
                <w:color w:val="000000" w:themeColor="text1"/>
                <w:sz w:val="18"/>
                <w:szCs w:val="18"/>
              </w:rPr>
              <w:t xml:space="preserve">rupos </w:t>
            </w:r>
            <w:r w:rsidR="009A0E5A">
              <w:rPr>
                <w:rFonts w:ascii="Verdana" w:eastAsia="Verdana" w:hAnsi="Verdana" w:cs="Arial"/>
                <w:color w:val="000000" w:themeColor="text1"/>
                <w:sz w:val="18"/>
                <w:szCs w:val="18"/>
              </w:rPr>
              <w:t>T</w:t>
            </w:r>
            <w:r w:rsidR="3FF21669" w:rsidRPr="00AB06F3">
              <w:rPr>
                <w:rFonts w:ascii="Verdana" w:eastAsia="Verdana" w:hAnsi="Verdana" w:cs="Arial"/>
                <w:color w:val="000000" w:themeColor="text1"/>
                <w:sz w:val="18"/>
                <w:szCs w:val="18"/>
              </w:rPr>
              <w:t>erritoriales de 202</w:t>
            </w:r>
            <w:r w:rsidR="007361A4">
              <w:rPr>
                <w:rFonts w:ascii="Verdana" w:eastAsia="Verdana" w:hAnsi="Verdana" w:cs="Arial"/>
                <w:color w:val="000000" w:themeColor="text1"/>
                <w:sz w:val="18"/>
                <w:szCs w:val="18"/>
              </w:rPr>
              <w:t>4</w:t>
            </w:r>
          </w:p>
        </w:tc>
        <w:tc>
          <w:tcPr>
            <w:tcW w:w="1415" w:type="dxa"/>
            <w:tcMar>
              <w:top w:w="15" w:type="dxa"/>
              <w:left w:w="15" w:type="dxa"/>
              <w:right w:w="15" w:type="dxa"/>
            </w:tcMar>
            <w:vAlign w:val="center"/>
          </w:tcPr>
          <w:p w14:paraId="5D7E8AE1" w14:textId="079ECB33" w:rsidR="3FF21669" w:rsidRPr="003C3595" w:rsidRDefault="3FF21669" w:rsidP="00B01CE0">
            <w:pPr>
              <w:spacing w:after="0" w:line="276" w:lineRule="auto"/>
              <w:rPr>
                <w:rFonts w:ascii="Verdana" w:hAnsi="Verdana" w:cs="Arial"/>
                <w:sz w:val="18"/>
                <w:szCs w:val="18"/>
              </w:rPr>
            </w:pPr>
            <w:r w:rsidRPr="003C3595">
              <w:rPr>
                <w:rFonts w:ascii="Verdana" w:eastAsia="Verdana" w:hAnsi="Verdana" w:cs="Arial"/>
                <w:color w:val="000000" w:themeColor="text1"/>
                <w:sz w:val="18"/>
                <w:szCs w:val="18"/>
              </w:rPr>
              <w:t>Arau</w:t>
            </w:r>
            <w:r w:rsidR="008E0540" w:rsidRPr="003C3595">
              <w:rPr>
                <w:rFonts w:ascii="Verdana" w:eastAsia="Verdana" w:hAnsi="Verdana" w:cs="Arial"/>
                <w:color w:val="000000" w:themeColor="text1"/>
                <w:sz w:val="18"/>
                <w:szCs w:val="18"/>
              </w:rPr>
              <w:t>ca</w:t>
            </w:r>
            <w:r w:rsidRPr="003C3595">
              <w:rPr>
                <w:rFonts w:ascii="Verdana" w:eastAsia="Verdana" w:hAnsi="Verdana" w:cs="Arial"/>
                <w:color w:val="000000" w:themeColor="text1"/>
                <w:sz w:val="18"/>
                <w:szCs w:val="18"/>
              </w:rPr>
              <w:t xml:space="preserve">, Barranquilla, </w:t>
            </w:r>
            <w:r w:rsidR="000E2C64" w:rsidRPr="003C3595">
              <w:rPr>
                <w:rFonts w:ascii="Verdana" w:eastAsia="Verdana" w:hAnsi="Verdana" w:cs="Arial"/>
                <w:color w:val="000000" w:themeColor="text1"/>
                <w:sz w:val="18"/>
                <w:szCs w:val="18"/>
              </w:rPr>
              <w:t xml:space="preserve">Barrancabermeja, Bogotá D.C., </w:t>
            </w:r>
            <w:r w:rsidRPr="003C3595">
              <w:rPr>
                <w:rFonts w:ascii="Verdana" w:eastAsia="Verdana" w:hAnsi="Verdana" w:cs="Arial"/>
                <w:color w:val="000000" w:themeColor="text1"/>
                <w:sz w:val="18"/>
                <w:szCs w:val="18"/>
              </w:rPr>
              <w:t xml:space="preserve">Cali, Cúcuta, </w:t>
            </w:r>
            <w:r w:rsidR="000E2C64" w:rsidRPr="003C3595">
              <w:rPr>
                <w:rFonts w:ascii="Verdana" w:eastAsia="Verdana" w:hAnsi="Verdana" w:cs="Arial"/>
                <w:color w:val="000000" w:themeColor="text1"/>
                <w:sz w:val="18"/>
                <w:szCs w:val="18"/>
              </w:rPr>
              <w:t xml:space="preserve">Dabeiba, </w:t>
            </w:r>
            <w:r w:rsidRPr="003C3595">
              <w:rPr>
                <w:rFonts w:ascii="Verdana" w:eastAsia="Verdana" w:hAnsi="Verdana" w:cs="Arial"/>
                <w:color w:val="000000" w:themeColor="text1"/>
                <w:sz w:val="18"/>
                <w:szCs w:val="18"/>
              </w:rPr>
              <w:t>Florencia, Ibagué,</w:t>
            </w:r>
            <w:r w:rsidR="000E2C64" w:rsidRPr="003C3595">
              <w:rPr>
                <w:rFonts w:ascii="Verdana" w:hAnsi="Verdana" w:cs="Arial"/>
                <w:sz w:val="18"/>
                <w:szCs w:val="18"/>
              </w:rPr>
              <w:t xml:space="preserve"> </w:t>
            </w:r>
            <w:r w:rsidRPr="003C3595">
              <w:rPr>
                <w:rFonts w:ascii="Verdana" w:eastAsia="Verdana" w:hAnsi="Verdana" w:cs="Arial"/>
                <w:color w:val="000000" w:themeColor="text1"/>
                <w:sz w:val="18"/>
                <w:szCs w:val="18"/>
              </w:rPr>
              <w:t xml:space="preserve">Medellín, </w:t>
            </w:r>
            <w:r w:rsidRPr="003C3595">
              <w:rPr>
                <w:rFonts w:ascii="Verdana" w:eastAsia="Verdana" w:hAnsi="Verdana" w:cs="Arial"/>
                <w:color w:val="000000" w:themeColor="text1"/>
                <w:sz w:val="18"/>
                <w:szCs w:val="18"/>
              </w:rPr>
              <w:lastRenderedPageBreak/>
              <w:t xml:space="preserve">Mocoa, </w:t>
            </w:r>
            <w:r w:rsidR="003C3595" w:rsidRPr="003C3595">
              <w:rPr>
                <w:rFonts w:ascii="Verdana" w:eastAsia="Verdana" w:hAnsi="Verdana" w:cs="Arial"/>
                <w:color w:val="000000" w:themeColor="text1"/>
                <w:sz w:val="18"/>
                <w:szCs w:val="18"/>
              </w:rPr>
              <w:t xml:space="preserve">Montería, Mutatá, </w:t>
            </w:r>
            <w:r w:rsidRPr="003C3595">
              <w:rPr>
                <w:rFonts w:ascii="Verdana" w:eastAsia="Verdana" w:hAnsi="Verdana" w:cs="Arial"/>
                <w:color w:val="000000" w:themeColor="text1"/>
                <w:sz w:val="18"/>
                <w:szCs w:val="18"/>
              </w:rPr>
              <w:t xml:space="preserve">Neiva, </w:t>
            </w:r>
            <w:r w:rsidR="003C3595" w:rsidRPr="003C3595">
              <w:rPr>
                <w:rFonts w:ascii="Verdana" w:eastAsia="Verdana" w:hAnsi="Verdana" w:cs="Arial"/>
                <w:color w:val="000000" w:themeColor="text1"/>
                <w:sz w:val="18"/>
                <w:szCs w:val="18"/>
              </w:rPr>
              <w:t xml:space="preserve">Nuevo Belén de Bajirá, </w:t>
            </w:r>
            <w:r w:rsidRPr="003C3595">
              <w:rPr>
                <w:rFonts w:ascii="Verdana" w:eastAsia="Verdana" w:hAnsi="Verdana" w:cs="Arial"/>
                <w:color w:val="000000" w:themeColor="text1"/>
                <w:sz w:val="18"/>
                <w:szCs w:val="18"/>
              </w:rPr>
              <w:t xml:space="preserve">Pasto, Pereira, Popayán, Quibdó, San Jose del Guaviare, Santa Marta, </w:t>
            </w:r>
            <w:r w:rsidR="00860E2C" w:rsidRPr="003C3595">
              <w:rPr>
                <w:rFonts w:ascii="Verdana" w:eastAsia="Verdana" w:hAnsi="Verdana" w:cs="Arial"/>
                <w:color w:val="000000" w:themeColor="text1"/>
                <w:sz w:val="18"/>
                <w:szCs w:val="18"/>
              </w:rPr>
              <w:t xml:space="preserve">, </w:t>
            </w:r>
            <w:r w:rsidRPr="003C3595">
              <w:rPr>
                <w:rFonts w:ascii="Verdana" w:eastAsia="Verdana" w:hAnsi="Verdana" w:cs="Arial"/>
                <w:color w:val="000000" w:themeColor="text1"/>
                <w:sz w:val="18"/>
                <w:szCs w:val="18"/>
              </w:rPr>
              <w:t>Valledupar, Villavicencio</w:t>
            </w:r>
            <w:r w:rsidR="008E0540" w:rsidRPr="003C3595">
              <w:rPr>
                <w:rFonts w:ascii="Verdana" w:eastAsia="Verdana" w:hAnsi="Verdana" w:cs="Arial"/>
                <w:color w:val="000000" w:themeColor="text1"/>
                <w:sz w:val="18"/>
                <w:szCs w:val="18"/>
              </w:rPr>
              <w:t>,</w:t>
            </w:r>
            <w:r w:rsidR="000E2C64" w:rsidRPr="003C3595">
              <w:rPr>
                <w:rFonts w:ascii="Verdana" w:eastAsia="Verdana" w:hAnsi="Verdana" w:cs="Arial"/>
                <w:color w:val="000000" w:themeColor="text1"/>
                <w:sz w:val="18"/>
                <w:szCs w:val="18"/>
              </w:rPr>
              <w:t xml:space="preserve"> Yopal</w:t>
            </w:r>
          </w:p>
        </w:tc>
        <w:tc>
          <w:tcPr>
            <w:tcW w:w="1665" w:type="dxa"/>
            <w:tcMar>
              <w:top w:w="15" w:type="dxa"/>
              <w:left w:w="15" w:type="dxa"/>
              <w:right w:w="15" w:type="dxa"/>
            </w:tcMar>
            <w:vAlign w:val="center"/>
          </w:tcPr>
          <w:p w14:paraId="0BD3901A" w14:textId="4FE970FF" w:rsidR="3FF21669" w:rsidRPr="00AB06F3" w:rsidRDefault="3FF21669" w:rsidP="00B01CE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lastRenderedPageBreak/>
              <w:t xml:space="preserve">Firmantes de paz, Personas en Proceso de Reintegración, </w:t>
            </w:r>
            <w:r w:rsidRPr="00AB06F3">
              <w:rPr>
                <w:rFonts w:ascii="Verdana" w:hAnsi="Verdana" w:cs="Arial"/>
                <w:sz w:val="18"/>
                <w:szCs w:val="18"/>
              </w:rPr>
              <w:br/>
            </w:r>
            <w:r w:rsidRPr="00AB06F3">
              <w:rPr>
                <w:rFonts w:ascii="Verdana" w:eastAsia="Verdana" w:hAnsi="Verdana" w:cs="Arial"/>
                <w:color w:val="000000" w:themeColor="text1"/>
                <w:sz w:val="18"/>
                <w:szCs w:val="18"/>
              </w:rPr>
              <w:t>Comunidad, Entidades del estado,</w:t>
            </w:r>
            <w:r w:rsidRPr="00AB06F3">
              <w:rPr>
                <w:rFonts w:ascii="Verdana" w:hAnsi="Verdana" w:cs="Arial"/>
                <w:sz w:val="18"/>
                <w:szCs w:val="18"/>
              </w:rPr>
              <w:br/>
            </w:r>
            <w:r w:rsidRPr="00AB06F3">
              <w:rPr>
                <w:rFonts w:ascii="Verdana" w:eastAsia="Verdana" w:hAnsi="Verdana" w:cs="Arial"/>
                <w:color w:val="000000" w:themeColor="text1"/>
                <w:sz w:val="18"/>
                <w:szCs w:val="18"/>
              </w:rPr>
              <w:t xml:space="preserve"> Medios de comunicación, </w:t>
            </w:r>
            <w:r w:rsidRPr="00AB06F3">
              <w:rPr>
                <w:rFonts w:ascii="Verdana" w:hAnsi="Verdana" w:cs="Arial"/>
                <w:sz w:val="18"/>
                <w:szCs w:val="18"/>
              </w:rPr>
              <w:br/>
            </w:r>
            <w:r w:rsidRPr="00AB06F3">
              <w:rPr>
                <w:rFonts w:ascii="Verdana" w:eastAsia="Verdana" w:hAnsi="Verdana" w:cs="Arial"/>
                <w:color w:val="000000" w:themeColor="text1"/>
                <w:sz w:val="18"/>
                <w:szCs w:val="18"/>
              </w:rPr>
              <w:t xml:space="preserve">ONG, ONU, </w:t>
            </w:r>
            <w:r w:rsidRPr="00AB06F3">
              <w:rPr>
                <w:rFonts w:ascii="Verdana" w:eastAsia="Verdana" w:hAnsi="Verdana" w:cs="Arial"/>
                <w:color w:val="000000" w:themeColor="text1"/>
                <w:sz w:val="18"/>
                <w:szCs w:val="18"/>
              </w:rPr>
              <w:lastRenderedPageBreak/>
              <w:t xml:space="preserve">Universidades, </w:t>
            </w:r>
            <w:r w:rsidRPr="00AB06F3">
              <w:rPr>
                <w:rFonts w:ascii="Verdana" w:hAnsi="Verdana" w:cs="Arial"/>
                <w:sz w:val="18"/>
                <w:szCs w:val="18"/>
              </w:rPr>
              <w:br/>
            </w:r>
            <w:r w:rsidRPr="00AB06F3">
              <w:rPr>
                <w:rFonts w:ascii="Verdana" w:eastAsia="Verdana" w:hAnsi="Verdana" w:cs="Arial"/>
                <w:color w:val="000000" w:themeColor="text1"/>
                <w:sz w:val="18"/>
                <w:szCs w:val="18"/>
              </w:rPr>
              <w:t>Comercio, Alcaldía, Institución Educativa.</w:t>
            </w:r>
          </w:p>
        </w:tc>
        <w:tc>
          <w:tcPr>
            <w:tcW w:w="969" w:type="dxa"/>
            <w:tcMar>
              <w:top w:w="15" w:type="dxa"/>
              <w:left w:w="15" w:type="dxa"/>
              <w:right w:w="15" w:type="dxa"/>
            </w:tcMar>
            <w:vAlign w:val="center"/>
          </w:tcPr>
          <w:p w14:paraId="21C5A462" w14:textId="77777777" w:rsidR="00F2794D" w:rsidRDefault="3FF21669" w:rsidP="00B01CE0">
            <w:pPr>
              <w:spacing w:after="0" w:line="276" w:lineRule="auto"/>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lastRenderedPageBreak/>
              <w:t>1</w:t>
            </w:r>
            <w:r w:rsidR="00F2794D">
              <w:rPr>
                <w:rFonts w:ascii="Verdana" w:eastAsia="Verdana" w:hAnsi="Verdana" w:cs="Arial"/>
                <w:color w:val="000000" w:themeColor="text1"/>
                <w:sz w:val="18"/>
                <w:szCs w:val="18"/>
              </w:rPr>
              <w:t>948 personas</w:t>
            </w:r>
          </w:p>
          <w:p w14:paraId="4ED6ED5C" w14:textId="77777777" w:rsidR="00F2794D" w:rsidRDefault="00F2794D" w:rsidP="00B01CE0">
            <w:pPr>
              <w:spacing w:after="0" w:line="276" w:lineRule="auto"/>
              <w:rPr>
                <w:rFonts w:ascii="Verdana" w:eastAsia="Verdana" w:hAnsi="Verdana" w:cs="Arial"/>
                <w:color w:val="000000" w:themeColor="text1"/>
                <w:sz w:val="18"/>
                <w:szCs w:val="18"/>
              </w:rPr>
            </w:pPr>
          </w:p>
          <w:p w14:paraId="7476C059" w14:textId="47CE4142" w:rsidR="00F2794D" w:rsidRPr="00F2794D" w:rsidRDefault="0060303D" w:rsidP="00B01CE0">
            <w:pPr>
              <w:spacing w:after="0" w:line="276" w:lineRule="auto"/>
              <w:rPr>
                <w:rFonts w:ascii="Verdana" w:eastAsia="Verdana" w:hAnsi="Verdana" w:cs="Arial"/>
                <w:color w:val="000000" w:themeColor="text1"/>
                <w:sz w:val="18"/>
                <w:szCs w:val="18"/>
              </w:rPr>
            </w:pPr>
            <w:r w:rsidRPr="0060303D">
              <w:rPr>
                <w:rFonts w:ascii="Verdana" w:eastAsia="Verdana" w:hAnsi="Verdana" w:cs="Arial"/>
                <w:color w:val="000000" w:themeColor="text1"/>
                <w:sz w:val="18"/>
                <w:szCs w:val="18"/>
              </w:rPr>
              <w:t xml:space="preserve">537 personas de grupos de valor, y 1161 personas </w:t>
            </w:r>
            <w:r w:rsidRPr="0060303D">
              <w:rPr>
                <w:rFonts w:ascii="Verdana" w:eastAsia="Verdana" w:hAnsi="Verdana" w:cs="Arial"/>
                <w:color w:val="000000" w:themeColor="text1"/>
                <w:sz w:val="18"/>
                <w:szCs w:val="18"/>
              </w:rPr>
              <w:lastRenderedPageBreak/>
              <w:t>de grupos de interés</w:t>
            </w:r>
          </w:p>
        </w:tc>
        <w:tc>
          <w:tcPr>
            <w:tcW w:w="828" w:type="dxa"/>
            <w:tcMar>
              <w:top w:w="15" w:type="dxa"/>
              <w:left w:w="15" w:type="dxa"/>
              <w:right w:w="15" w:type="dxa"/>
            </w:tcMar>
            <w:vAlign w:val="center"/>
          </w:tcPr>
          <w:p w14:paraId="1DAA6F41" w14:textId="7E9BD47C" w:rsidR="3FF21669" w:rsidRPr="00AB06F3" w:rsidRDefault="3FF21669" w:rsidP="00B01CE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lastRenderedPageBreak/>
              <w:t>Agosto y Septiembre de 202</w:t>
            </w:r>
            <w:r w:rsidR="00B01CE0">
              <w:rPr>
                <w:rFonts w:ascii="Verdana" w:eastAsia="Verdana" w:hAnsi="Verdana" w:cs="Arial"/>
                <w:color w:val="000000" w:themeColor="text1"/>
                <w:sz w:val="18"/>
                <w:szCs w:val="18"/>
              </w:rPr>
              <w:t>5</w:t>
            </w:r>
          </w:p>
        </w:tc>
        <w:tc>
          <w:tcPr>
            <w:tcW w:w="1432" w:type="dxa"/>
            <w:tcMar>
              <w:top w:w="15" w:type="dxa"/>
              <w:left w:w="15" w:type="dxa"/>
              <w:right w:w="15" w:type="dxa"/>
            </w:tcMar>
            <w:vAlign w:val="center"/>
          </w:tcPr>
          <w:p w14:paraId="12275F45" w14:textId="76908AEF" w:rsidR="3FF21669" w:rsidRPr="00AB06F3" w:rsidRDefault="3FF21669" w:rsidP="00B01CE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t>Rendir cuentas en los territorios de la vigencia 202</w:t>
            </w:r>
            <w:r w:rsidR="0060303D">
              <w:rPr>
                <w:rFonts w:ascii="Verdana" w:eastAsia="Verdana" w:hAnsi="Verdana" w:cs="Arial"/>
                <w:color w:val="000000" w:themeColor="text1"/>
                <w:sz w:val="18"/>
                <w:szCs w:val="18"/>
              </w:rPr>
              <w:t>4</w:t>
            </w:r>
            <w:r w:rsidRPr="00AB06F3">
              <w:rPr>
                <w:rFonts w:ascii="Verdana" w:eastAsia="Verdana" w:hAnsi="Verdana" w:cs="Arial"/>
                <w:color w:val="000000" w:themeColor="text1"/>
                <w:sz w:val="18"/>
                <w:szCs w:val="18"/>
              </w:rPr>
              <w:t>.</w:t>
            </w:r>
          </w:p>
        </w:tc>
      </w:tr>
      <w:tr w:rsidR="3FF21669" w:rsidRPr="00AB06F3" w14:paraId="2EA6024B" w14:textId="77777777" w:rsidTr="00AE51F0">
        <w:trPr>
          <w:trHeight w:val="542"/>
        </w:trPr>
        <w:tc>
          <w:tcPr>
            <w:tcW w:w="1246" w:type="dxa"/>
            <w:tcMar>
              <w:top w:w="15" w:type="dxa"/>
              <w:left w:w="15" w:type="dxa"/>
              <w:right w:w="15" w:type="dxa"/>
            </w:tcMar>
            <w:vAlign w:val="center"/>
          </w:tcPr>
          <w:p w14:paraId="2C757650" w14:textId="69860602" w:rsidR="3FF21669" w:rsidRPr="00AB06F3" w:rsidRDefault="3FF21669" w:rsidP="00A13940">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Audiencia de rendición de cuentas ARN</w:t>
            </w:r>
          </w:p>
        </w:tc>
        <w:tc>
          <w:tcPr>
            <w:tcW w:w="1281" w:type="dxa"/>
            <w:tcMar>
              <w:top w:w="15" w:type="dxa"/>
              <w:left w:w="15" w:type="dxa"/>
              <w:right w:w="15" w:type="dxa"/>
            </w:tcMar>
            <w:vAlign w:val="center"/>
          </w:tcPr>
          <w:p w14:paraId="737817E9" w14:textId="4D2D3F14" w:rsidR="3FF21669" w:rsidRPr="00AB06F3" w:rsidRDefault="3FF21669" w:rsidP="00A13940">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1 Audiencia de rendición de cuentas 202</w:t>
            </w:r>
            <w:r w:rsidR="00F2018A">
              <w:rPr>
                <w:rFonts w:ascii="Verdana" w:eastAsia="Verdana" w:hAnsi="Verdana" w:cs="Arial"/>
                <w:color w:val="000000" w:themeColor="text1"/>
                <w:sz w:val="18"/>
                <w:szCs w:val="18"/>
              </w:rPr>
              <w:t>4</w:t>
            </w:r>
            <w:r w:rsidRPr="00AB06F3">
              <w:rPr>
                <w:rFonts w:ascii="Verdana" w:eastAsia="Verdana" w:hAnsi="Verdana" w:cs="Arial"/>
                <w:color w:val="000000" w:themeColor="text1"/>
                <w:sz w:val="18"/>
                <w:szCs w:val="18"/>
              </w:rPr>
              <w:t>-ARN</w:t>
            </w:r>
          </w:p>
        </w:tc>
        <w:tc>
          <w:tcPr>
            <w:tcW w:w="1415" w:type="dxa"/>
            <w:tcMar>
              <w:top w:w="15" w:type="dxa"/>
              <w:left w:w="15" w:type="dxa"/>
              <w:right w:w="15" w:type="dxa"/>
            </w:tcMar>
            <w:vAlign w:val="center"/>
          </w:tcPr>
          <w:p w14:paraId="6B295597" w14:textId="27E40B5C" w:rsidR="3FF21669" w:rsidRPr="00AB06F3" w:rsidRDefault="00867190" w:rsidP="00A13940">
            <w:pPr>
              <w:spacing w:after="0" w:line="276" w:lineRule="auto"/>
              <w:jc w:val="both"/>
              <w:rPr>
                <w:rFonts w:ascii="Verdana" w:hAnsi="Verdana" w:cs="Arial"/>
                <w:sz w:val="18"/>
                <w:szCs w:val="18"/>
              </w:rPr>
            </w:pPr>
            <w:r>
              <w:rPr>
                <w:rFonts w:ascii="Verdana" w:eastAsia="Verdana" w:hAnsi="Verdana" w:cs="Arial"/>
                <w:color w:val="000000" w:themeColor="text1"/>
                <w:sz w:val="18"/>
                <w:szCs w:val="18"/>
              </w:rPr>
              <w:t xml:space="preserve">Popayán </w:t>
            </w:r>
          </w:p>
        </w:tc>
        <w:tc>
          <w:tcPr>
            <w:tcW w:w="1665" w:type="dxa"/>
            <w:tcMar>
              <w:top w:w="15" w:type="dxa"/>
              <w:left w:w="15" w:type="dxa"/>
              <w:right w:w="15" w:type="dxa"/>
            </w:tcMar>
            <w:vAlign w:val="center"/>
          </w:tcPr>
          <w:p w14:paraId="163993C6" w14:textId="4CC3F725" w:rsidR="3FF21669" w:rsidRPr="00AB06F3" w:rsidRDefault="3FF21669" w:rsidP="00867190">
            <w:pPr>
              <w:spacing w:after="0" w:line="276" w:lineRule="auto"/>
              <w:rPr>
                <w:rFonts w:ascii="Verdana" w:hAnsi="Verdana" w:cs="Arial"/>
                <w:sz w:val="18"/>
                <w:szCs w:val="18"/>
              </w:rPr>
            </w:pPr>
            <w:r w:rsidRPr="00AB06F3">
              <w:rPr>
                <w:rFonts w:ascii="Verdana" w:eastAsia="Verdana" w:hAnsi="Verdana" w:cs="Arial"/>
                <w:color w:val="000000" w:themeColor="text1"/>
                <w:sz w:val="18"/>
                <w:szCs w:val="18"/>
              </w:rPr>
              <w:t>Entidades públicas, empresa privada, organizaciones sociales, cooperación internacional, población sujeto de atención, funcionarios y contratistas de la ARN</w:t>
            </w:r>
          </w:p>
        </w:tc>
        <w:tc>
          <w:tcPr>
            <w:tcW w:w="969" w:type="dxa"/>
            <w:tcMar>
              <w:top w:w="15" w:type="dxa"/>
              <w:left w:w="15" w:type="dxa"/>
              <w:right w:w="15" w:type="dxa"/>
            </w:tcMar>
            <w:vAlign w:val="center"/>
          </w:tcPr>
          <w:p w14:paraId="0A15E993" w14:textId="19BD9993" w:rsidR="3FF21669" w:rsidRPr="00081BD5" w:rsidRDefault="00247B5A" w:rsidP="00A13940">
            <w:pPr>
              <w:spacing w:after="0" w:line="276" w:lineRule="auto"/>
              <w:jc w:val="both"/>
              <w:rPr>
                <w:rFonts w:ascii="Verdana" w:hAnsi="Verdana" w:cs="Arial"/>
                <w:sz w:val="18"/>
                <w:szCs w:val="18"/>
              </w:rPr>
            </w:pPr>
            <w:r>
              <w:rPr>
                <w:rFonts w:ascii="Verdana" w:eastAsia="Verdana" w:hAnsi="Verdana" w:cs="Arial"/>
                <w:sz w:val="18"/>
                <w:szCs w:val="18"/>
              </w:rPr>
              <w:t xml:space="preserve">208 </w:t>
            </w:r>
            <w:r w:rsidR="00867190" w:rsidRPr="00081BD5">
              <w:rPr>
                <w:rFonts w:ascii="Verdana" w:eastAsia="Verdana" w:hAnsi="Verdana" w:cs="Arial"/>
                <w:sz w:val="18"/>
                <w:szCs w:val="18"/>
              </w:rPr>
              <w:t>personas</w:t>
            </w:r>
          </w:p>
        </w:tc>
        <w:tc>
          <w:tcPr>
            <w:tcW w:w="828" w:type="dxa"/>
            <w:tcMar>
              <w:top w:w="15" w:type="dxa"/>
              <w:left w:w="15" w:type="dxa"/>
              <w:right w:w="15" w:type="dxa"/>
            </w:tcMar>
            <w:vAlign w:val="center"/>
          </w:tcPr>
          <w:p w14:paraId="48C419D3" w14:textId="35FC7B8A" w:rsidR="3FF21669" w:rsidRPr="00081BD5" w:rsidRDefault="00081BD5" w:rsidP="00A13940">
            <w:pPr>
              <w:spacing w:after="0" w:line="276" w:lineRule="auto"/>
              <w:jc w:val="both"/>
              <w:rPr>
                <w:rFonts w:ascii="Verdana" w:hAnsi="Verdana" w:cs="Arial"/>
                <w:sz w:val="18"/>
                <w:szCs w:val="18"/>
              </w:rPr>
            </w:pPr>
            <w:r w:rsidRPr="00081BD5">
              <w:rPr>
                <w:rFonts w:ascii="Verdana" w:eastAsia="Verdana" w:hAnsi="Verdana" w:cs="Arial"/>
                <w:sz w:val="18"/>
                <w:szCs w:val="18"/>
              </w:rPr>
              <w:t>21</w:t>
            </w:r>
            <w:r w:rsidR="3FF21669" w:rsidRPr="00081BD5">
              <w:rPr>
                <w:rFonts w:ascii="Verdana" w:eastAsia="Verdana" w:hAnsi="Verdana" w:cs="Arial"/>
                <w:sz w:val="18"/>
                <w:szCs w:val="18"/>
              </w:rPr>
              <w:t>/</w:t>
            </w:r>
            <w:r w:rsidRPr="00081BD5">
              <w:rPr>
                <w:rFonts w:ascii="Verdana" w:eastAsia="Verdana" w:hAnsi="Verdana" w:cs="Arial"/>
                <w:sz w:val="18"/>
                <w:szCs w:val="18"/>
              </w:rPr>
              <w:t>08</w:t>
            </w:r>
            <w:r w:rsidR="3FF21669" w:rsidRPr="00081BD5">
              <w:rPr>
                <w:rFonts w:ascii="Verdana" w:eastAsia="Verdana" w:hAnsi="Verdana" w:cs="Arial"/>
                <w:sz w:val="18"/>
                <w:szCs w:val="18"/>
              </w:rPr>
              <w:t>/202</w:t>
            </w:r>
            <w:r w:rsidRPr="00081BD5">
              <w:rPr>
                <w:rFonts w:ascii="Verdana" w:eastAsia="Verdana" w:hAnsi="Verdana" w:cs="Arial"/>
                <w:sz w:val="18"/>
                <w:szCs w:val="18"/>
              </w:rPr>
              <w:t>5</w:t>
            </w:r>
          </w:p>
        </w:tc>
        <w:tc>
          <w:tcPr>
            <w:tcW w:w="1432" w:type="dxa"/>
            <w:tcMar>
              <w:top w:w="15" w:type="dxa"/>
              <w:left w:w="15" w:type="dxa"/>
              <w:right w:w="15" w:type="dxa"/>
            </w:tcMar>
            <w:vAlign w:val="center"/>
          </w:tcPr>
          <w:p w14:paraId="4FB59726" w14:textId="62A23BDA" w:rsidR="3FF21669" w:rsidRPr="00081BD5" w:rsidRDefault="3FF21669" w:rsidP="00A13940">
            <w:pPr>
              <w:spacing w:after="0" w:line="276" w:lineRule="auto"/>
              <w:jc w:val="both"/>
              <w:rPr>
                <w:rFonts w:ascii="Verdana" w:hAnsi="Verdana" w:cs="Arial"/>
                <w:sz w:val="18"/>
                <w:szCs w:val="18"/>
              </w:rPr>
            </w:pPr>
            <w:r w:rsidRPr="00081BD5">
              <w:rPr>
                <w:rFonts w:ascii="Verdana" w:eastAsia="Verdana" w:hAnsi="Verdana" w:cs="Arial"/>
                <w:sz w:val="18"/>
                <w:szCs w:val="18"/>
              </w:rPr>
              <w:t>Rendir cuentas de la vigencia 202</w:t>
            </w:r>
            <w:r w:rsidR="00867190" w:rsidRPr="00081BD5">
              <w:rPr>
                <w:rFonts w:ascii="Verdana" w:eastAsia="Verdana" w:hAnsi="Verdana" w:cs="Arial"/>
                <w:sz w:val="18"/>
                <w:szCs w:val="18"/>
              </w:rPr>
              <w:t>4</w:t>
            </w:r>
            <w:r w:rsidRPr="00081BD5">
              <w:rPr>
                <w:rFonts w:ascii="Verdana" w:eastAsia="Verdana" w:hAnsi="Verdana" w:cs="Arial"/>
                <w:sz w:val="18"/>
                <w:szCs w:val="18"/>
              </w:rPr>
              <w:t>.</w:t>
            </w:r>
          </w:p>
        </w:tc>
      </w:tr>
      <w:tr w:rsidR="002E6BC2" w:rsidRPr="00AB06F3" w14:paraId="05B3026B" w14:textId="77777777" w:rsidTr="00056682">
        <w:trPr>
          <w:trHeight w:val="538"/>
        </w:trPr>
        <w:tc>
          <w:tcPr>
            <w:tcW w:w="1246" w:type="dxa"/>
            <w:tcMar>
              <w:top w:w="15" w:type="dxa"/>
              <w:left w:w="15" w:type="dxa"/>
              <w:right w:w="15" w:type="dxa"/>
            </w:tcMar>
            <w:vAlign w:val="center"/>
          </w:tcPr>
          <w:p w14:paraId="668672BB" w14:textId="3B51A4EE" w:rsidR="002E6BC2" w:rsidRPr="00AB06F3" w:rsidRDefault="002E6BC2" w:rsidP="002E6BC2">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 xml:space="preserve">Consejo </w:t>
            </w:r>
            <w:r>
              <w:rPr>
                <w:rFonts w:ascii="Verdana" w:eastAsia="Verdana" w:hAnsi="Verdana" w:cs="Arial"/>
                <w:color w:val="000000" w:themeColor="text1"/>
                <w:sz w:val="18"/>
                <w:szCs w:val="18"/>
              </w:rPr>
              <w:t>T</w:t>
            </w:r>
            <w:r w:rsidRPr="00AB06F3">
              <w:rPr>
                <w:rFonts w:ascii="Verdana" w:eastAsia="Verdana" w:hAnsi="Verdana" w:cs="Arial"/>
                <w:color w:val="000000" w:themeColor="text1"/>
                <w:sz w:val="18"/>
                <w:szCs w:val="18"/>
              </w:rPr>
              <w:t xml:space="preserve">erritorial de </w:t>
            </w:r>
            <w:r>
              <w:rPr>
                <w:rFonts w:ascii="Verdana" w:eastAsia="Verdana" w:hAnsi="Verdana" w:cs="Arial"/>
                <w:color w:val="000000" w:themeColor="text1"/>
                <w:sz w:val="18"/>
                <w:szCs w:val="18"/>
              </w:rPr>
              <w:t>R</w:t>
            </w:r>
            <w:r w:rsidRPr="00AB06F3">
              <w:rPr>
                <w:rFonts w:ascii="Verdana" w:eastAsia="Verdana" w:hAnsi="Verdana" w:cs="Arial"/>
                <w:color w:val="000000" w:themeColor="text1"/>
                <w:sz w:val="18"/>
                <w:szCs w:val="18"/>
              </w:rPr>
              <w:t>eincorporación en ETCR (CTR)</w:t>
            </w:r>
          </w:p>
        </w:tc>
        <w:tc>
          <w:tcPr>
            <w:tcW w:w="1281" w:type="dxa"/>
            <w:tcMar>
              <w:top w:w="15" w:type="dxa"/>
              <w:left w:w="15" w:type="dxa"/>
              <w:right w:w="15" w:type="dxa"/>
            </w:tcMar>
            <w:vAlign w:val="center"/>
          </w:tcPr>
          <w:p w14:paraId="6C5B33EC" w14:textId="34E8130F" w:rsidR="002E6BC2" w:rsidRPr="00AB06F3" w:rsidRDefault="002E6BC2" w:rsidP="002E6BC2">
            <w:pPr>
              <w:spacing w:after="0" w:line="276" w:lineRule="auto"/>
              <w:jc w:val="both"/>
              <w:rPr>
                <w:rFonts w:ascii="Verdana" w:hAnsi="Verdana" w:cs="Arial"/>
                <w:sz w:val="18"/>
                <w:szCs w:val="18"/>
              </w:rPr>
            </w:pPr>
            <w:r>
              <w:rPr>
                <w:rFonts w:ascii="Verdana" w:eastAsia="Verdana" w:hAnsi="Verdana" w:cs="Arial"/>
                <w:color w:val="000000" w:themeColor="text1"/>
                <w:sz w:val="18"/>
                <w:szCs w:val="18"/>
              </w:rPr>
              <w:t>10</w:t>
            </w:r>
            <w:r w:rsidRPr="00AB06F3">
              <w:rPr>
                <w:rFonts w:ascii="Verdana" w:eastAsia="Verdana" w:hAnsi="Verdana" w:cs="Arial"/>
                <w:color w:val="000000" w:themeColor="text1"/>
                <w:sz w:val="18"/>
                <w:szCs w:val="18"/>
              </w:rPr>
              <w:t xml:space="preserve"> Consejos territoriales de reincorporación en ETCR</w:t>
            </w:r>
          </w:p>
        </w:tc>
        <w:tc>
          <w:tcPr>
            <w:tcW w:w="1415" w:type="dxa"/>
            <w:tcMar>
              <w:top w:w="15" w:type="dxa"/>
              <w:left w:w="15" w:type="dxa"/>
              <w:right w:w="15" w:type="dxa"/>
            </w:tcMar>
            <w:vAlign w:val="center"/>
          </w:tcPr>
          <w:p w14:paraId="5CCAFD7F" w14:textId="47B34DE4" w:rsidR="002E6BC2" w:rsidRPr="00433A32" w:rsidRDefault="002E6BC2" w:rsidP="002E6BC2">
            <w:r>
              <w:t>Antioquia, Cauca, Cesar, Chocó, La Guajira, Norte de Santander, Tolima, Arauca y Putumayo</w:t>
            </w:r>
          </w:p>
        </w:tc>
        <w:tc>
          <w:tcPr>
            <w:tcW w:w="1665" w:type="dxa"/>
            <w:tcMar>
              <w:top w:w="15" w:type="dxa"/>
              <w:left w:w="15" w:type="dxa"/>
              <w:right w:w="15" w:type="dxa"/>
            </w:tcMar>
            <w:vAlign w:val="center"/>
          </w:tcPr>
          <w:p w14:paraId="74FA47DB" w14:textId="6BD727B6" w:rsidR="002E6BC2" w:rsidRPr="00AB06F3" w:rsidRDefault="002E6BC2" w:rsidP="00056682">
            <w:pPr>
              <w:spacing w:line="276" w:lineRule="auto"/>
              <w:rPr>
                <w:rFonts w:ascii="Verdana" w:hAnsi="Verdana" w:cs="Arial"/>
                <w:sz w:val="18"/>
                <w:szCs w:val="18"/>
              </w:rPr>
            </w:pPr>
            <w:r w:rsidRPr="08E07181">
              <w:rPr>
                <w:rFonts w:ascii="Verdana" w:eastAsia="Verdana" w:hAnsi="Verdana" w:cs="Verdana"/>
                <w:sz w:val="18"/>
                <w:szCs w:val="18"/>
              </w:rPr>
              <w:t>Autoridades departamental o distritales; Autoridades municipales;</w:t>
            </w:r>
            <w:r>
              <w:rPr>
                <w:rFonts w:ascii="Verdana" w:eastAsia="Verdana" w:hAnsi="Verdana" w:cs="Verdana"/>
                <w:sz w:val="18"/>
                <w:szCs w:val="18"/>
              </w:rPr>
              <w:t xml:space="preserve"> </w:t>
            </w:r>
            <w:r w:rsidRPr="08E07181">
              <w:rPr>
                <w:rFonts w:ascii="Verdana" w:eastAsia="Verdana" w:hAnsi="Verdana" w:cs="Verdana"/>
                <w:sz w:val="18"/>
                <w:szCs w:val="18"/>
              </w:rPr>
              <w:t xml:space="preserve">Misión de Verificación de la Organización de las Naciones Unidas en Colombia; Servicio Nacional de Aprendizaje (SENA);Policía Nacional de Colombia; Procuraduría General de la Nación; Defensoría del Pueblo y entidades del nivel nacional como Agencia Nacional de </w:t>
            </w:r>
            <w:r w:rsidRPr="08E07181">
              <w:rPr>
                <w:rFonts w:ascii="Verdana" w:eastAsia="Verdana" w:hAnsi="Verdana" w:cs="Verdana"/>
                <w:sz w:val="18"/>
                <w:szCs w:val="18"/>
              </w:rPr>
              <w:lastRenderedPageBreak/>
              <w:t>Tierras (ANT); Unidad de Búsqueda de Personas dadas por Desaparecidas (UBPD)|;Unidad de Implementación del Acuerdo de Paz|;Unidad para la Atención y Reparación Integral a las Víctimas, instituciones educativas de educación básica y media e instituciones de educación superior.</w:t>
            </w:r>
          </w:p>
        </w:tc>
        <w:tc>
          <w:tcPr>
            <w:tcW w:w="969" w:type="dxa"/>
            <w:tcMar>
              <w:top w:w="15" w:type="dxa"/>
              <w:left w:w="15" w:type="dxa"/>
              <w:right w:w="15" w:type="dxa"/>
            </w:tcMar>
            <w:vAlign w:val="center"/>
          </w:tcPr>
          <w:p w14:paraId="5D4A43E8" w14:textId="4296BA54" w:rsidR="002E6BC2" w:rsidRPr="002E6BC2" w:rsidRDefault="002E6BC2" w:rsidP="002E6BC2">
            <w:pPr>
              <w:spacing w:after="0" w:line="276" w:lineRule="auto"/>
              <w:jc w:val="both"/>
              <w:rPr>
                <w:rFonts w:ascii="Verdana" w:hAnsi="Verdana" w:cs="Arial"/>
                <w:sz w:val="18"/>
                <w:szCs w:val="18"/>
              </w:rPr>
            </w:pPr>
            <w:r w:rsidRPr="002E6BC2">
              <w:rPr>
                <w:rFonts w:ascii="Verdana" w:hAnsi="Verdana" w:cs="Arial"/>
                <w:sz w:val="18"/>
                <w:szCs w:val="18"/>
              </w:rPr>
              <w:lastRenderedPageBreak/>
              <w:t xml:space="preserve"> 88 personas lideres liderezas y participantes con rol activo</w:t>
            </w:r>
          </w:p>
        </w:tc>
        <w:tc>
          <w:tcPr>
            <w:tcW w:w="828" w:type="dxa"/>
            <w:tcMar>
              <w:top w:w="15" w:type="dxa"/>
              <w:left w:w="15" w:type="dxa"/>
              <w:right w:w="15" w:type="dxa"/>
            </w:tcMar>
            <w:vAlign w:val="center"/>
          </w:tcPr>
          <w:p w14:paraId="0F18D0BA" w14:textId="0FADAE37" w:rsidR="002E6BC2" w:rsidRPr="002E6BC2" w:rsidRDefault="002E6BC2" w:rsidP="002E6BC2">
            <w:pPr>
              <w:spacing w:after="0" w:line="276" w:lineRule="auto"/>
              <w:jc w:val="both"/>
              <w:rPr>
                <w:rFonts w:ascii="Verdana" w:hAnsi="Verdana" w:cs="Arial"/>
                <w:sz w:val="18"/>
                <w:szCs w:val="18"/>
              </w:rPr>
            </w:pPr>
            <w:r w:rsidRPr="002E6BC2">
              <w:rPr>
                <w:rFonts w:ascii="Verdana" w:eastAsia="Verdana" w:hAnsi="Verdana" w:cs="Arial"/>
                <w:sz w:val="18"/>
                <w:szCs w:val="18"/>
              </w:rPr>
              <w:t xml:space="preserve">Las sesiones  de los CTR se adelantaron entre enero y diciembre </w:t>
            </w:r>
          </w:p>
        </w:tc>
        <w:tc>
          <w:tcPr>
            <w:tcW w:w="1432" w:type="dxa"/>
            <w:tcMar>
              <w:top w:w="15" w:type="dxa"/>
              <w:left w:w="15" w:type="dxa"/>
              <w:right w:w="15" w:type="dxa"/>
            </w:tcMar>
            <w:vAlign w:val="center"/>
          </w:tcPr>
          <w:p w14:paraId="5149395A" w14:textId="3E6FED07" w:rsidR="002E6BC2" w:rsidRPr="00AB06F3" w:rsidRDefault="002E6BC2" w:rsidP="002E6BC2">
            <w:pPr>
              <w:spacing w:after="0" w:line="276" w:lineRule="auto"/>
              <w:jc w:val="both"/>
              <w:rPr>
                <w:rFonts w:ascii="Verdana" w:eastAsia="Verdana" w:hAnsi="Verdana" w:cs="Arial"/>
                <w:color w:val="000000" w:themeColor="text1"/>
                <w:sz w:val="18"/>
                <w:szCs w:val="18"/>
              </w:rPr>
            </w:pPr>
            <w:r w:rsidRPr="00D66816">
              <w:rPr>
                <w:rFonts w:ascii="Verdana" w:eastAsia="Verdana" w:hAnsi="Verdana" w:cs="Arial"/>
                <w:color w:val="000000" w:themeColor="text1"/>
                <w:sz w:val="18"/>
                <w:szCs w:val="18"/>
              </w:rPr>
              <w:t>Los temas que orientaron la gestión de los CTR corresponden a los ejes del Programa de Reincorporación Integral-PRI:</w:t>
            </w:r>
            <w:r>
              <w:rPr>
                <w:rFonts w:ascii="Verdana" w:eastAsia="Verdana" w:hAnsi="Verdana" w:cs="Arial"/>
                <w:color w:val="000000" w:themeColor="text1"/>
                <w:sz w:val="18"/>
                <w:szCs w:val="18"/>
              </w:rPr>
              <w:t xml:space="preserve"> Reincorporación comunitaria, económica, social y política. </w:t>
            </w:r>
          </w:p>
        </w:tc>
      </w:tr>
      <w:tr w:rsidR="00A32E65" w:rsidRPr="00AB06F3" w14:paraId="1ECECFDB" w14:textId="77777777" w:rsidTr="00AE51F0">
        <w:trPr>
          <w:trHeight w:val="551"/>
        </w:trPr>
        <w:tc>
          <w:tcPr>
            <w:tcW w:w="1246" w:type="dxa"/>
            <w:tcMar>
              <w:top w:w="15" w:type="dxa"/>
              <w:left w:w="15" w:type="dxa"/>
              <w:right w:w="15" w:type="dxa"/>
            </w:tcMar>
            <w:vAlign w:val="center"/>
          </w:tcPr>
          <w:p w14:paraId="5A05518D" w14:textId="25CAC5AC" w:rsidR="00A32E65" w:rsidRPr="00AB06F3" w:rsidRDefault="00A32E65" w:rsidP="00A13940">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Consejo Nacional de Reincorporación</w:t>
            </w:r>
          </w:p>
        </w:tc>
        <w:tc>
          <w:tcPr>
            <w:tcW w:w="1281" w:type="dxa"/>
            <w:tcMar>
              <w:top w:w="15" w:type="dxa"/>
              <w:left w:w="15" w:type="dxa"/>
              <w:right w:w="15" w:type="dxa"/>
            </w:tcMar>
            <w:vAlign w:val="center"/>
          </w:tcPr>
          <w:p w14:paraId="599588DA" w14:textId="72C534B4" w:rsidR="00A32E65" w:rsidRPr="00AB06F3" w:rsidRDefault="0028570B" w:rsidP="00A13940">
            <w:pPr>
              <w:spacing w:after="0" w:line="276" w:lineRule="auto"/>
              <w:jc w:val="both"/>
              <w:rPr>
                <w:rFonts w:ascii="Verdana" w:hAnsi="Verdana" w:cs="Arial"/>
                <w:sz w:val="18"/>
                <w:szCs w:val="18"/>
              </w:rPr>
            </w:pPr>
            <w:r>
              <w:rPr>
                <w:rFonts w:ascii="Verdana" w:eastAsia="Verdana" w:hAnsi="Verdana" w:cs="Arial"/>
                <w:color w:val="000000" w:themeColor="text1"/>
                <w:sz w:val="18"/>
                <w:szCs w:val="18"/>
              </w:rPr>
              <w:t>4</w:t>
            </w:r>
            <w:r w:rsidR="00A220E1">
              <w:rPr>
                <w:rFonts w:ascii="Verdana" w:eastAsia="Verdana" w:hAnsi="Verdana" w:cs="Arial"/>
                <w:color w:val="000000" w:themeColor="text1"/>
                <w:sz w:val="18"/>
                <w:szCs w:val="18"/>
              </w:rPr>
              <w:t xml:space="preserve"> </w:t>
            </w:r>
            <w:r w:rsidR="00A32E65" w:rsidRPr="00AB06F3">
              <w:rPr>
                <w:rFonts w:ascii="Verdana" w:eastAsia="Verdana" w:hAnsi="Verdana" w:cs="Arial"/>
                <w:color w:val="000000" w:themeColor="text1"/>
                <w:sz w:val="18"/>
                <w:szCs w:val="18"/>
              </w:rPr>
              <w:t>sesiones del Consejo Nacional de Reincorporación</w:t>
            </w:r>
          </w:p>
        </w:tc>
        <w:tc>
          <w:tcPr>
            <w:tcW w:w="1415" w:type="dxa"/>
            <w:tcMar>
              <w:top w:w="15" w:type="dxa"/>
              <w:left w:w="15" w:type="dxa"/>
              <w:right w:w="15" w:type="dxa"/>
            </w:tcMar>
            <w:vAlign w:val="center"/>
          </w:tcPr>
          <w:p w14:paraId="770F6C12" w14:textId="54E27033" w:rsidR="00A32E65" w:rsidRPr="00AB06F3" w:rsidRDefault="00A32E65" w:rsidP="00A13940">
            <w:pPr>
              <w:spacing w:after="0" w:line="276" w:lineRule="auto"/>
              <w:jc w:val="both"/>
              <w:rPr>
                <w:rFonts w:ascii="Verdana" w:hAnsi="Verdana" w:cs="Arial"/>
                <w:sz w:val="18"/>
                <w:szCs w:val="18"/>
              </w:rPr>
            </w:pPr>
            <w:r w:rsidRPr="00AB06F3">
              <w:rPr>
                <w:rFonts w:ascii="Verdana" w:eastAsia="Verdana" w:hAnsi="Verdana" w:cs="Arial"/>
                <w:color w:val="000000" w:themeColor="text1"/>
                <w:sz w:val="18"/>
                <w:szCs w:val="18"/>
              </w:rPr>
              <w:t xml:space="preserve">Bogotá, </w:t>
            </w:r>
            <w:r w:rsidR="00D1109C" w:rsidRPr="00AB06F3">
              <w:rPr>
                <w:rFonts w:ascii="Verdana" w:eastAsia="Verdana" w:hAnsi="Verdana" w:cs="Arial"/>
                <w:color w:val="000000" w:themeColor="text1"/>
                <w:sz w:val="18"/>
                <w:szCs w:val="18"/>
              </w:rPr>
              <w:t>C</w:t>
            </w:r>
            <w:r w:rsidR="00D1109C">
              <w:rPr>
                <w:rFonts w:ascii="Verdana" w:eastAsia="Verdana" w:hAnsi="Verdana" w:cs="Arial"/>
                <w:color w:val="000000" w:themeColor="text1"/>
                <w:sz w:val="18"/>
                <w:szCs w:val="18"/>
              </w:rPr>
              <w:t xml:space="preserve">úcuta </w:t>
            </w:r>
          </w:p>
        </w:tc>
        <w:tc>
          <w:tcPr>
            <w:tcW w:w="1665" w:type="dxa"/>
            <w:tcMar>
              <w:top w:w="15" w:type="dxa"/>
              <w:left w:w="15" w:type="dxa"/>
              <w:right w:w="15" w:type="dxa"/>
            </w:tcMar>
            <w:vAlign w:val="center"/>
          </w:tcPr>
          <w:p w14:paraId="5FC2B6EE" w14:textId="7DE3D46D" w:rsidR="00A32E65" w:rsidRPr="00531E6F" w:rsidRDefault="00A32E65" w:rsidP="00CC234E">
            <w:pPr>
              <w:spacing w:after="0" w:line="276" w:lineRule="auto"/>
              <w:rPr>
                <w:rFonts w:ascii="Verdana" w:hAnsi="Verdana" w:cs="Arial"/>
                <w:sz w:val="18"/>
                <w:szCs w:val="18"/>
              </w:rPr>
            </w:pPr>
            <w:r w:rsidRPr="00531E6F">
              <w:rPr>
                <w:rFonts w:ascii="Verdana" w:eastAsia="Verdana" w:hAnsi="Verdana" w:cs="Arial"/>
                <w:sz w:val="18"/>
                <w:szCs w:val="18"/>
              </w:rPr>
              <w:t xml:space="preserve">Economías Sociales del Común - ECOMUN, Asociación comité nacional de excombatientes lisiados de guerra, adultos mayores y enfermedad de alto costo - CONELAEC, Corporación para la Reincorporación y Reconciliación CORPORECONCILIACIÓN, Peregrinos por la vida y por la Paz, Mesa Autónoma de Reincorporación – MAR, Coordinadora Nacional de Mujeres - </w:t>
            </w:r>
            <w:r w:rsidRPr="00531E6F">
              <w:rPr>
                <w:rFonts w:ascii="Verdana" w:eastAsia="Verdana" w:hAnsi="Verdana" w:cs="Arial"/>
                <w:sz w:val="18"/>
                <w:szCs w:val="18"/>
              </w:rPr>
              <w:lastRenderedPageBreak/>
              <w:t>CONAMU y Federación Mesa Nacional del café – FEMCAFE.</w:t>
            </w:r>
          </w:p>
        </w:tc>
        <w:tc>
          <w:tcPr>
            <w:tcW w:w="969" w:type="dxa"/>
            <w:tcMar>
              <w:top w:w="15" w:type="dxa"/>
              <w:left w:w="15" w:type="dxa"/>
              <w:right w:w="15" w:type="dxa"/>
            </w:tcMar>
            <w:vAlign w:val="center"/>
          </w:tcPr>
          <w:p w14:paraId="34F7B125" w14:textId="77777777" w:rsidR="00531E6F" w:rsidRPr="00531E6F" w:rsidRDefault="00531E6F" w:rsidP="00531E6F">
            <w:pPr>
              <w:spacing w:after="0" w:line="276" w:lineRule="auto"/>
              <w:jc w:val="both"/>
              <w:rPr>
                <w:rFonts w:ascii="Verdana" w:hAnsi="Verdana" w:cs="Arial"/>
                <w:sz w:val="18"/>
                <w:szCs w:val="18"/>
              </w:rPr>
            </w:pPr>
            <w:r w:rsidRPr="00531E6F">
              <w:rPr>
                <w:rFonts w:ascii="Verdana" w:hAnsi="Verdana" w:cs="Arial"/>
                <w:sz w:val="18"/>
                <w:szCs w:val="18"/>
              </w:rPr>
              <w:lastRenderedPageBreak/>
              <w:t>Sesión 153 A: 16 personas</w:t>
            </w:r>
          </w:p>
          <w:p w14:paraId="1D53B0A3" w14:textId="77777777" w:rsidR="00531E6F" w:rsidRPr="00531E6F" w:rsidRDefault="00531E6F" w:rsidP="00531E6F">
            <w:pPr>
              <w:spacing w:after="0" w:line="276" w:lineRule="auto"/>
              <w:jc w:val="both"/>
            </w:pPr>
            <w:r w:rsidRPr="00531E6F">
              <w:rPr>
                <w:rFonts w:ascii="Verdana" w:hAnsi="Verdana" w:cs="Arial"/>
                <w:sz w:val="18"/>
                <w:szCs w:val="18"/>
              </w:rPr>
              <w:t>Sesión 154: 89 personas</w:t>
            </w:r>
          </w:p>
          <w:p w14:paraId="2EAC1FAD" w14:textId="77777777" w:rsidR="00531E6F" w:rsidRPr="00531E6F" w:rsidRDefault="00531E6F" w:rsidP="00531E6F">
            <w:pPr>
              <w:spacing w:after="0" w:line="276" w:lineRule="auto"/>
              <w:jc w:val="both"/>
            </w:pPr>
            <w:r w:rsidRPr="00531E6F">
              <w:rPr>
                <w:rFonts w:ascii="Verdana" w:hAnsi="Verdana" w:cs="Arial"/>
                <w:sz w:val="18"/>
                <w:szCs w:val="18"/>
              </w:rPr>
              <w:t>Sesión 155: 42 personas</w:t>
            </w:r>
          </w:p>
          <w:p w14:paraId="1C480E1C" w14:textId="77777777" w:rsidR="00531E6F" w:rsidRPr="00531E6F" w:rsidRDefault="00531E6F" w:rsidP="00CC234E">
            <w:pPr>
              <w:spacing w:after="0" w:line="276" w:lineRule="auto"/>
            </w:pPr>
            <w:r w:rsidRPr="00531E6F">
              <w:rPr>
                <w:rFonts w:ascii="Verdana" w:hAnsi="Verdana" w:cs="Arial"/>
                <w:sz w:val="18"/>
                <w:szCs w:val="18"/>
              </w:rPr>
              <w:t>Sesión 156: 55 personas</w:t>
            </w:r>
          </w:p>
          <w:p w14:paraId="13520EFB" w14:textId="77777777" w:rsidR="00531E6F" w:rsidRPr="00531E6F" w:rsidRDefault="00531E6F" w:rsidP="00531E6F">
            <w:pPr>
              <w:spacing w:after="0" w:line="276" w:lineRule="auto"/>
              <w:jc w:val="both"/>
            </w:pPr>
            <w:r w:rsidRPr="00531E6F">
              <w:rPr>
                <w:rFonts w:ascii="Verdana" w:hAnsi="Verdana" w:cs="Arial"/>
                <w:sz w:val="18"/>
                <w:szCs w:val="18"/>
              </w:rPr>
              <w:t>Sesión 157: 50 personas</w:t>
            </w:r>
          </w:p>
          <w:p w14:paraId="6978E099" w14:textId="026D44DE" w:rsidR="00A32E65" w:rsidRPr="00531E6F" w:rsidRDefault="00A32E65" w:rsidP="00A13940">
            <w:pPr>
              <w:spacing w:after="0" w:line="276" w:lineRule="auto"/>
              <w:jc w:val="both"/>
              <w:rPr>
                <w:rFonts w:ascii="Verdana" w:hAnsi="Verdana" w:cs="Arial"/>
                <w:sz w:val="18"/>
                <w:szCs w:val="18"/>
              </w:rPr>
            </w:pPr>
          </w:p>
        </w:tc>
        <w:tc>
          <w:tcPr>
            <w:tcW w:w="828" w:type="dxa"/>
            <w:tcMar>
              <w:top w:w="15" w:type="dxa"/>
              <w:left w:w="15" w:type="dxa"/>
              <w:right w:w="15" w:type="dxa"/>
            </w:tcMar>
            <w:vAlign w:val="center"/>
          </w:tcPr>
          <w:p w14:paraId="18B0477A" w14:textId="44E9A1A0" w:rsidR="00A32E65" w:rsidRPr="00AB06F3" w:rsidRDefault="00A32E65" w:rsidP="00A13940">
            <w:pPr>
              <w:spacing w:after="0" w:line="276" w:lineRule="auto"/>
              <w:jc w:val="both"/>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Marzo, Mayo, Ju</w:t>
            </w:r>
            <w:r w:rsidR="00D1109C">
              <w:rPr>
                <w:rFonts w:ascii="Verdana" w:eastAsia="Verdana" w:hAnsi="Verdana" w:cs="Arial"/>
                <w:color w:val="000000" w:themeColor="text1"/>
                <w:sz w:val="18"/>
                <w:szCs w:val="18"/>
              </w:rPr>
              <w:t>l</w:t>
            </w:r>
            <w:r w:rsidRPr="00AB06F3">
              <w:rPr>
                <w:rFonts w:ascii="Verdana" w:eastAsia="Verdana" w:hAnsi="Verdana" w:cs="Arial"/>
                <w:color w:val="000000" w:themeColor="text1"/>
                <w:sz w:val="18"/>
                <w:szCs w:val="18"/>
              </w:rPr>
              <w:t xml:space="preserve">io, Septiembre y </w:t>
            </w:r>
            <w:r w:rsidR="00D1109C">
              <w:rPr>
                <w:rFonts w:ascii="Verdana" w:eastAsia="Verdana" w:hAnsi="Verdana" w:cs="Arial"/>
                <w:color w:val="000000" w:themeColor="text1"/>
                <w:sz w:val="18"/>
                <w:szCs w:val="18"/>
              </w:rPr>
              <w:t>Nov</w:t>
            </w:r>
            <w:r w:rsidRPr="00AB06F3">
              <w:rPr>
                <w:rFonts w:ascii="Verdana" w:eastAsia="Verdana" w:hAnsi="Verdana" w:cs="Arial"/>
                <w:color w:val="000000" w:themeColor="text1"/>
                <w:sz w:val="18"/>
                <w:szCs w:val="18"/>
              </w:rPr>
              <w:t>iembre</w:t>
            </w:r>
          </w:p>
        </w:tc>
        <w:tc>
          <w:tcPr>
            <w:tcW w:w="1432" w:type="dxa"/>
            <w:tcMar>
              <w:top w:w="15" w:type="dxa"/>
              <w:left w:w="15" w:type="dxa"/>
              <w:right w:w="15" w:type="dxa"/>
            </w:tcMar>
            <w:vAlign w:val="center"/>
          </w:tcPr>
          <w:p w14:paraId="07D3D8D4" w14:textId="77777777" w:rsidR="00CC234E" w:rsidRPr="00AB06F3" w:rsidRDefault="00A32E65" w:rsidP="00CC234E">
            <w:pPr>
              <w:spacing w:after="0" w:line="276" w:lineRule="auto"/>
              <w:rPr>
                <w:rFonts w:ascii="Verdana" w:eastAsia="Verdana" w:hAnsi="Verdana" w:cs="Arial"/>
                <w:color w:val="000000" w:themeColor="text1"/>
                <w:sz w:val="18"/>
                <w:szCs w:val="18"/>
              </w:rPr>
            </w:pPr>
            <w:r w:rsidRPr="00AB06F3">
              <w:rPr>
                <w:rFonts w:ascii="Verdana" w:eastAsia="Verdana" w:hAnsi="Verdana" w:cs="Arial"/>
                <w:color w:val="000000" w:themeColor="text1"/>
                <w:sz w:val="18"/>
                <w:szCs w:val="18"/>
              </w:rPr>
              <w:t>Balance de la implementación del Programa de Reincorporación Integral (PRI).</w:t>
            </w:r>
            <w:r w:rsidRPr="00AB06F3">
              <w:rPr>
                <w:rFonts w:ascii="Verdana" w:hAnsi="Verdana" w:cs="Arial"/>
                <w:sz w:val="18"/>
                <w:szCs w:val="18"/>
              </w:rPr>
              <w:br/>
            </w:r>
            <w:r w:rsidRPr="00AB06F3">
              <w:rPr>
                <w:rFonts w:ascii="Verdana" w:eastAsia="Verdana" w:hAnsi="Verdana" w:cs="Arial"/>
                <w:color w:val="000000" w:themeColor="text1"/>
                <w:sz w:val="18"/>
                <w:szCs w:val="18"/>
              </w:rPr>
              <w:t xml:space="preserve"> Avances en la puesta en marcha del Sistema Nacional de Reincorporación (SNR). </w:t>
            </w:r>
            <w:r w:rsidRPr="00AB06F3">
              <w:rPr>
                <w:rFonts w:ascii="Verdana" w:hAnsi="Verdana" w:cs="Arial"/>
                <w:sz w:val="18"/>
                <w:szCs w:val="18"/>
              </w:rPr>
              <w:br/>
            </w:r>
            <w:r w:rsidRPr="00AB06F3">
              <w:rPr>
                <w:rFonts w:ascii="Verdana" w:eastAsia="Verdana" w:hAnsi="Verdana" w:cs="Arial"/>
                <w:color w:val="000000" w:themeColor="text1"/>
                <w:sz w:val="18"/>
                <w:szCs w:val="18"/>
              </w:rPr>
              <w:t>Avances de la Estrategia de Sostenibilidad Económica.</w:t>
            </w:r>
            <w:r w:rsidR="00CC234E">
              <w:rPr>
                <w:rFonts w:ascii="Verdana" w:eastAsia="Verdana" w:hAnsi="Verdana" w:cs="Arial"/>
                <w:color w:val="000000" w:themeColor="text1"/>
                <w:sz w:val="18"/>
                <w:szCs w:val="18"/>
              </w:rPr>
              <w:t xml:space="preserve"> </w:t>
            </w:r>
            <w:r w:rsidR="00CC234E" w:rsidRPr="723B6215">
              <w:rPr>
                <w:rFonts w:ascii="Verdana" w:eastAsia="Verdana" w:hAnsi="Verdana" w:cs="Arial"/>
                <w:color w:val="000000" w:themeColor="text1"/>
                <w:sz w:val="18"/>
                <w:szCs w:val="18"/>
              </w:rPr>
              <w:t xml:space="preserve">Balance de las rutas de acceso a </w:t>
            </w:r>
            <w:r w:rsidR="00CC234E" w:rsidRPr="32223871">
              <w:rPr>
                <w:rFonts w:ascii="Verdana" w:eastAsia="Verdana" w:hAnsi="Verdana" w:cs="Arial"/>
                <w:color w:val="000000" w:themeColor="text1"/>
                <w:sz w:val="18"/>
                <w:szCs w:val="18"/>
              </w:rPr>
              <w:t>tierras y vivienda.</w:t>
            </w:r>
          </w:p>
          <w:p w14:paraId="5E09A53A" w14:textId="6531E28E" w:rsidR="00A32E65" w:rsidRPr="00AB06F3" w:rsidRDefault="00A32E65" w:rsidP="00A13940">
            <w:pPr>
              <w:spacing w:after="0" w:line="276" w:lineRule="auto"/>
              <w:jc w:val="both"/>
              <w:rPr>
                <w:rFonts w:ascii="Verdana" w:hAnsi="Verdana" w:cs="Arial"/>
                <w:sz w:val="18"/>
                <w:szCs w:val="18"/>
              </w:rPr>
            </w:pPr>
          </w:p>
        </w:tc>
      </w:tr>
    </w:tbl>
    <w:p w14:paraId="276F2C84" w14:textId="77777777" w:rsidR="0077302C" w:rsidRDefault="0077302C" w:rsidP="0077302C">
      <w:pPr>
        <w:spacing w:before="240" w:after="0" w:line="276" w:lineRule="auto"/>
        <w:jc w:val="center"/>
        <w:rPr>
          <w:rFonts w:ascii="Verdana" w:eastAsia="Verdana" w:hAnsi="Verdana" w:cs="Arial"/>
          <w:sz w:val="18"/>
          <w:szCs w:val="18"/>
        </w:rPr>
      </w:pPr>
      <w:bookmarkStart w:id="81" w:name="_Toc154672466"/>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4175EF98" w14:textId="536222F8" w:rsidR="000B1DA2" w:rsidRDefault="55F7FD91" w:rsidP="00C25586">
      <w:pPr>
        <w:pStyle w:val="Ttulo2"/>
        <w:spacing w:after="0" w:line="276" w:lineRule="auto"/>
        <w:jc w:val="both"/>
        <w:rPr>
          <w:rFonts w:ascii="Verdana" w:eastAsia="Verdana" w:hAnsi="Verdana" w:cs="Arial"/>
          <w:color w:val="806000" w:themeColor="accent4" w:themeShade="80"/>
        </w:rPr>
      </w:pPr>
      <w:bookmarkStart w:id="82" w:name="_Toc225283100"/>
      <w:r w:rsidRPr="00AB06F3">
        <w:rPr>
          <w:rFonts w:ascii="Verdana" w:eastAsia="Verdana" w:hAnsi="Verdana" w:cs="Arial"/>
          <w:color w:val="806000" w:themeColor="accent4" w:themeShade="80"/>
        </w:rPr>
        <w:t xml:space="preserve">2.2. </w:t>
      </w:r>
      <w:r w:rsidR="5B345336" w:rsidRPr="00AB06F3">
        <w:rPr>
          <w:rFonts w:ascii="Verdana" w:eastAsia="Verdana" w:hAnsi="Verdana" w:cs="Arial"/>
          <w:color w:val="806000" w:themeColor="accent4" w:themeShade="80"/>
        </w:rPr>
        <w:t>Acciones de Promoción para el Control Social para la Construcción de Paz</w:t>
      </w:r>
      <w:bookmarkEnd w:id="82"/>
      <w:r w:rsidR="5B345336" w:rsidRPr="00AB06F3">
        <w:rPr>
          <w:rFonts w:ascii="Verdana" w:eastAsia="Verdana" w:hAnsi="Verdana" w:cs="Arial"/>
          <w:color w:val="806000" w:themeColor="accent4" w:themeShade="80"/>
        </w:rPr>
        <w:t xml:space="preserve"> </w:t>
      </w:r>
      <w:bookmarkEnd w:id="81"/>
    </w:p>
    <w:p w14:paraId="432DCADD" w14:textId="77777777" w:rsidR="001C53A0" w:rsidRPr="001C53A0" w:rsidRDefault="001C53A0" w:rsidP="001C53A0"/>
    <w:p w14:paraId="08AD810F" w14:textId="4CEED963" w:rsidR="00766DC1" w:rsidRDefault="00766DC1" w:rsidP="00766DC1">
      <w:pPr>
        <w:spacing w:after="0" w:line="276" w:lineRule="auto"/>
        <w:jc w:val="both"/>
        <w:rPr>
          <w:rFonts w:ascii="Verdana" w:hAnsi="Verdana" w:cs="Arial"/>
          <w:sz w:val="24"/>
          <w:szCs w:val="24"/>
        </w:rPr>
      </w:pPr>
      <w:r w:rsidRPr="00766DC1">
        <w:rPr>
          <w:rFonts w:ascii="Verdana" w:hAnsi="Verdana" w:cs="Arial"/>
          <w:sz w:val="24"/>
          <w:szCs w:val="24"/>
        </w:rPr>
        <w:t xml:space="preserve">El control social </w:t>
      </w:r>
      <w:r w:rsidR="004B6A04">
        <w:rPr>
          <w:rFonts w:ascii="Verdana" w:hAnsi="Verdana" w:cs="Arial"/>
          <w:sz w:val="24"/>
          <w:szCs w:val="24"/>
        </w:rPr>
        <w:t xml:space="preserve">constituye </w:t>
      </w:r>
      <w:r w:rsidRPr="00766DC1">
        <w:rPr>
          <w:rFonts w:ascii="Verdana" w:hAnsi="Verdana" w:cs="Arial"/>
          <w:sz w:val="24"/>
          <w:szCs w:val="24"/>
        </w:rPr>
        <w:t xml:space="preserve">un derecho como un deber de la ciudadanía para supervisar y vigilar la gestión de las entidades públicas. </w:t>
      </w:r>
      <w:r w:rsidR="004B6A04">
        <w:rPr>
          <w:rFonts w:ascii="Verdana" w:hAnsi="Verdana" w:cs="Arial"/>
          <w:sz w:val="24"/>
          <w:szCs w:val="24"/>
        </w:rPr>
        <w:t>Este ejercicio i</w:t>
      </w:r>
      <w:r w:rsidRPr="00766DC1">
        <w:rPr>
          <w:rFonts w:ascii="Verdana" w:hAnsi="Verdana" w:cs="Arial"/>
          <w:sz w:val="24"/>
          <w:szCs w:val="24"/>
        </w:rPr>
        <w:t xml:space="preserve">mplica </w:t>
      </w:r>
      <w:r w:rsidR="004B6A04">
        <w:rPr>
          <w:rFonts w:ascii="Verdana" w:hAnsi="Verdana" w:cs="Arial"/>
          <w:sz w:val="24"/>
          <w:szCs w:val="24"/>
        </w:rPr>
        <w:t xml:space="preserve">realizar </w:t>
      </w:r>
      <w:r w:rsidRPr="00766DC1">
        <w:rPr>
          <w:rFonts w:ascii="Verdana" w:hAnsi="Verdana" w:cs="Arial"/>
          <w:sz w:val="24"/>
          <w:szCs w:val="24"/>
        </w:rPr>
        <w:t>seguimiento a la planificación</w:t>
      </w:r>
      <w:r w:rsidR="004B6A04">
        <w:rPr>
          <w:rFonts w:ascii="Verdana" w:hAnsi="Verdana" w:cs="Arial"/>
          <w:sz w:val="24"/>
          <w:szCs w:val="24"/>
        </w:rPr>
        <w:t xml:space="preserve">, </w:t>
      </w:r>
      <w:r w:rsidRPr="00766DC1">
        <w:rPr>
          <w:rFonts w:ascii="Verdana" w:hAnsi="Verdana" w:cs="Arial"/>
          <w:sz w:val="24"/>
          <w:szCs w:val="24"/>
        </w:rPr>
        <w:t xml:space="preserve">ejecución </w:t>
      </w:r>
      <w:r w:rsidR="004B6A04">
        <w:rPr>
          <w:rFonts w:ascii="Verdana" w:hAnsi="Verdana" w:cs="Arial"/>
          <w:sz w:val="24"/>
          <w:szCs w:val="24"/>
        </w:rPr>
        <w:t xml:space="preserve">y resultados de los </w:t>
      </w:r>
      <w:r w:rsidRPr="00766DC1">
        <w:rPr>
          <w:rFonts w:ascii="Verdana" w:hAnsi="Verdana" w:cs="Arial"/>
          <w:sz w:val="24"/>
          <w:szCs w:val="24"/>
        </w:rPr>
        <w:t xml:space="preserve">proyectos y recursos </w:t>
      </w:r>
      <w:r w:rsidR="004B6A04">
        <w:rPr>
          <w:rFonts w:ascii="Verdana" w:hAnsi="Verdana" w:cs="Arial"/>
          <w:sz w:val="24"/>
          <w:szCs w:val="24"/>
        </w:rPr>
        <w:t xml:space="preserve">orientados </w:t>
      </w:r>
      <w:r w:rsidRPr="00766DC1">
        <w:rPr>
          <w:rFonts w:ascii="Verdana" w:hAnsi="Verdana" w:cs="Arial"/>
          <w:sz w:val="24"/>
          <w:szCs w:val="24"/>
        </w:rPr>
        <w:t>al cumplimiento del Acuerdo de Paz y a la garantía de derechos.</w:t>
      </w:r>
    </w:p>
    <w:p w14:paraId="53F4DDD8" w14:textId="77777777" w:rsidR="00517542" w:rsidRPr="00766DC1" w:rsidRDefault="00517542" w:rsidP="00766DC1">
      <w:pPr>
        <w:spacing w:after="0" w:line="276" w:lineRule="auto"/>
        <w:jc w:val="both"/>
        <w:rPr>
          <w:rFonts w:ascii="Verdana" w:hAnsi="Verdana" w:cs="Arial"/>
          <w:sz w:val="24"/>
          <w:szCs w:val="24"/>
        </w:rPr>
      </w:pPr>
    </w:p>
    <w:p w14:paraId="4A51168E" w14:textId="4E47EE9D" w:rsidR="00517542" w:rsidRDefault="00D5793E" w:rsidP="00766DC1">
      <w:pPr>
        <w:spacing w:after="0" w:line="276" w:lineRule="auto"/>
        <w:jc w:val="both"/>
        <w:rPr>
          <w:rFonts w:ascii="Verdana" w:hAnsi="Verdana" w:cs="Arial"/>
          <w:sz w:val="24"/>
          <w:szCs w:val="24"/>
        </w:rPr>
      </w:pPr>
      <w:r w:rsidRPr="00D5793E">
        <w:rPr>
          <w:rFonts w:ascii="Verdana" w:hAnsi="Verdana" w:cs="Arial"/>
          <w:sz w:val="24"/>
          <w:szCs w:val="24"/>
        </w:rPr>
        <w:t>En este sentido, invitamos a la ciudadanía y a las organizaciones sociales a participar activamente en los mecanismos de seguimiento, veeduría y control social sobre la gestión institucional y el actuar de los servidores públicos.</w:t>
      </w:r>
    </w:p>
    <w:p w14:paraId="42A48141" w14:textId="77777777" w:rsidR="00D5793E" w:rsidRPr="00766DC1" w:rsidRDefault="00D5793E" w:rsidP="00766DC1">
      <w:pPr>
        <w:spacing w:after="0" w:line="276" w:lineRule="auto"/>
        <w:jc w:val="both"/>
        <w:rPr>
          <w:rFonts w:ascii="Verdana" w:hAnsi="Verdana" w:cs="Arial"/>
          <w:sz w:val="24"/>
          <w:szCs w:val="24"/>
        </w:rPr>
      </w:pPr>
    </w:p>
    <w:p w14:paraId="0CF51C63" w14:textId="2E18B201" w:rsidR="2B0C6680" w:rsidRDefault="00D5793E" w:rsidP="00C25586">
      <w:pPr>
        <w:spacing w:after="0" w:line="276" w:lineRule="auto"/>
        <w:jc w:val="both"/>
        <w:rPr>
          <w:rFonts w:ascii="Verdana" w:hAnsi="Verdana" w:cs="Arial"/>
          <w:sz w:val="24"/>
          <w:szCs w:val="24"/>
        </w:rPr>
      </w:pPr>
      <w:r w:rsidRPr="00D5793E">
        <w:rPr>
          <w:rFonts w:ascii="Verdana" w:hAnsi="Verdana" w:cs="Arial"/>
          <w:sz w:val="24"/>
          <w:szCs w:val="24"/>
        </w:rPr>
        <w:t>A continuación, se presentan las principales acciones desarrolladas por la Agencia para la Reincorporación y la Normalización (ARN) durante la vigencia 2025 para fortalecer la veeduría ciudadana y el control social, promoviendo el cumplimiento de los compromisos derivados del Acuerdo de Paz a través de la participación de organizaciones comunitarias y sociales que hacen parte de los grupos de valor de la entidad.</w:t>
      </w:r>
    </w:p>
    <w:p w14:paraId="11881C0D" w14:textId="77777777" w:rsidR="00D5793E" w:rsidRPr="00AB06F3" w:rsidRDefault="00D5793E" w:rsidP="00C25586">
      <w:pPr>
        <w:spacing w:after="0" w:line="276" w:lineRule="auto"/>
        <w:jc w:val="both"/>
        <w:rPr>
          <w:rFonts w:ascii="Verdana" w:hAnsi="Verdana" w:cs="Arial"/>
        </w:rPr>
      </w:pPr>
    </w:p>
    <w:p w14:paraId="6E4136FF" w14:textId="70212D76" w:rsidR="4DAF7DEC" w:rsidRDefault="4DAF7DEC" w:rsidP="00031DF5">
      <w:pPr>
        <w:pStyle w:val="Prrafodelista"/>
        <w:numPr>
          <w:ilvl w:val="0"/>
          <w:numId w:val="6"/>
        </w:numPr>
        <w:spacing w:after="0" w:line="276" w:lineRule="auto"/>
        <w:jc w:val="both"/>
        <w:rPr>
          <w:rFonts w:ascii="Verdana" w:eastAsia="Verdana" w:hAnsi="Verdana" w:cs="Arial"/>
          <w:sz w:val="24"/>
          <w:szCs w:val="24"/>
          <w:lang w:eastAsia="es-ES"/>
        </w:rPr>
      </w:pPr>
      <w:r w:rsidRPr="00AB06F3">
        <w:rPr>
          <w:rFonts w:ascii="Verdana" w:eastAsia="Verdana" w:hAnsi="Verdana" w:cs="Arial"/>
          <w:sz w:val="24"/>
          <w:szCs w:val="24"/>
          <w:lang w:eastAsia="es-ES"/>
        </w:rPr>
        <w:t>Derechos de petición</w:t>
      </w:r>
      <w:r w:rsidR="13BEEF8F" w:rsidRPr="00AB06F3">
        <w:rPr>
          <w:rFonts w:ascii="Verdana" w:eastAsia="Verdana" w:hAnsi="Verdana" w:cs="Arial"/>
          <w:sz w:val="24"/>
          <w:szCs w:val="24"/>
          <w:lang w:eastAsia="es-ES"/>
        </w:rPr>
        <w:t>, quejas, reclamos, sugerencias y denuncias PQRSD:</w:t>
      </w:r>
    </w:p>
    <w:p w14:paraId="1A7DBA04" w14:textId="77777777" w:rsidR="00517542" w:rsidRPr="00517542" w:rsidRDefault="00517542" w:rsidP="00517542">
      <w:pPr>
        <w:spacing w:after="0" w:line="276" w:lineRule="auto"/>
        <w:ind w:left="360"/>
        <w:jc w:val="both"/>
        <w:rPr>
          <w:rFonts w:ascii="Verdana" w:eastAsia="Verdana" w:hAnsi="Verdana" w:cs="Arial"/>
          <w:sz w:val="24"/>
          <w:szCs w:val="24"/>
          <w:lang w:eastAsia="es-ES"/>
        </w:rPr>
      </w:pPr>
    </w:p>
    <w:p w14:paraId="13841224" w14:textId="5ED6E323" w:rsidR="3BC5154A" w:rsidRPr="00AB06F3" w:rsidRDefault="00B22280" w:rsidP="00C25586">
      <w:pPr>
        <w:spacing w:after="0" w:line="276" w:lineRule="auto"/>
        <w:jc w:val="both"/>
        <w:rPr>
          <w:rFonts w:ascii="Verdana" w:eastAsia="Verdana" w:hAnsi="Verdana" w:cs="Arial"/>
          <w:sz w:val="24"/>
          <w:szCs w:val="24"/>
          <w:lang w:eastAsia="es-ES"/>
        </w:rPr>
      </w:pPr>
      <w:r w:rsidRPr="00B22280">
        <w:rPr>
          <w:rFonts w:ascii="Verdana" w:eastAsia="Verdana" w:hAnsi="Verdana" w:cs="Arial"/>
          <w:sz w:val="24"/>
          <w:szCs w:val="24"/>
          <w:lang w:eastAsia="es-ES"/>
        </w:rPr>
        <w:t>Los informes relacionados con la gestión de las PQRSD correspondientes a la vigencia 2025 pueden ser consultados en el siguiente enlace institucional:</w:t>
      </w:r>
      <w:r>
        <w:rPr>
          <w:rFonts w:ascii="Verdana" w:eastAsia="Verdana" w:hAnsi="Verdana" w:cs="Arial"/>
          <w:sz w:val="24"/>
          <w:szCs w:val="24"/>
          <w:lang w:eastAsia="es-ES"/>
        </w:rPr>
        <w:t xml:space="preserve"> </w:t>
      </w:r>
    </w:p>
    <w:p w14:paraId="7614063B" w14:textId="027C9BF1" w:rsidR="0E086FB5" w:rsidRDefault="0E086FB5" w:rsidP="00C25586">
      <w:pPr>
        <w:spacing w:after="0" w:line="276" w:lineRule="auto"/>
        <w:jc w:val="both"/>
        <w:rPr>
          <w:rFonts w:ascii="Verdana" w:eastAsia="Verdana" w:hAnsi="Verdana" w:cs="Arial"/>
          <w:sz w:val="24"/>
          <w:szCs w:val="24"/>
          <w:lang w:eastAsia="es-ES"/>
        </w:rPr>
      </w:pPr>
      <w:hyperlink r:id="rId32">
        <w:r w:rsidRPr="00AB06F3">
          <w:rPr>
            <w:rStyle w:val="Hipervnculo"/>
            <w:rFonts w:ascii="Verdana" w:eastAsia="Verdana" w:hAnsi="Verdana" w:cs="Arial"/>
            <w:sz w:val="24"/>
            <w:szCs w:val="24"/>
            <w:lang w:eastAsia="es-ES"/>
          </w:rPr>
          <w:t>https://www.reincorporacion.gov.co/es/agencia/Paginas/pqrs-d.aspx</w:t>
        </w:r>
      </w:hyperlink>
      <w:r w:rsidRPr="00AB06F3">
        <w:rPr>
          <w:rFonts w:ascii="Verdana" w:eastAsia="Verdana" w:hAnsi="Verdana" w:cs="Arial"/>
          <w:sz w:val="24"/>
          <w:szCs w:val="24"/>
          <w:lang w:eastAsia="es-ES"/>
        </w:rPr>
        <w:t xml:space="preserve"> </w:t>
      </w:r>
    </w:p>
    <w:p w14:paraId="6B49CD3D" w14:textId="77777777" w:rsidR="00517542" w:rsidRPr="00AB06F3" w:rsidRDefault="00517542" w:rsidP="00C25586">
      <w:pPr>
        <w:spacing w:after="0" w:line="276" w:lineRule="auto"/>
        <w:jc w:val="both"/>
        <w:rPr>
          <w:rFonts w:ascii="Verdana" w:eastAsia="Verdana" w:hAnsi="Verdana" w:cs="Arial"/>
          <w:sz w:val="24"/>
          <w:szCs w:val="24"/>
          <w:lang w:eastAsia="es-ES"/>
        </w:rPr>
      </w:pPr>
    </w:p>
    <w:p w14:paraId="657B851E" w14:textId="4CB47D5E" w:rsidR="00517542" w:rsidRPr="00B22280" w:rsidRDefault="00B22280" w:rsidP="00B22280">
      <w:pPr>
        <w:pStyle w:val="Prrafodelista"/>
        <w:numPr>
          <w:ilvl w:val="0"/>
          <w:numId w:val="6"/>
        </w:numPr>
        <w:spacing w:after="0" w:line="276" w:lineRule="auto"/>
        <w:jc w:val="both"/>
        <w:rPr>
          <w:rFonts w:ascii="Verdana" w:eastAsia="Verdana" w:hAnsi="Verdana" w:cs="Arial"/>
          <w:sz w:val="24"/>
          <w:szCs w:val="24"/>
        </w:rPr>
      </w:pPr>
      <w:r w:rsidRPr="00B22280">
        <w:rPr>
          <w:rFonts w:ascii="Verdana" w:eastAsia="Verdana" w:hAnsi="Verdana" w:cs="Arial"/>
          <w:sz w:val="24"/>
          <w:szCs w:val="24"/>
          <w:lang w:eastAsia="es-ES"/>
        </w:rPr>
        <w:t>Consulta pública de proyectos normativos</w:t>
      </w:r>
    </w:p>
    <w:p w14:paraId="1593A2CA" w14:textId="62BB51F2" w:rsidR="6A9A73CE" w:rsidRDefault="00B22280" w:rsidP="00C25586">
      <w:pPr>
        <w:spacing w:after="0" w:line="276" w:lineRule="auto"/>
        <w:jc w:val="both"/>
        <w:rPr>
          <w:rFonts w:ascii="Verdana" w:hAnsi="Verdana" w:cs="Arial"/>
        </w:rPr>
      </w:pPr>
      <w:r w:rsidRPr="00B22280">
        <w:rPr>
          <w:rFonts w:ascii="Verdana" w:eastAsia="Verdana" w:hAnsi="Verdana" w:cs="Arial"/>
          <w:sz w:val="24"/>
          <w:szCs w:val="24"/>
        </w:rPr>
        <w:t xml:space="preserve">Los proyectos normativos internos de la entidad y las observaciones presentadas por la ciudadanía durante el proceso de consulta pública </w:t>
      </w:r>
      <w:r w:rsidRPr="00B22280">
        <w:rPr>
          <w:rFonts w:ascii="Verdana" w:eastAsia="Verdana" w:hAnsi="Verdana" w:cs="Arial"/>
          <w:sz w:val="24"/>
          <w:szCs w:val="24"/>
        </w:rPr>
        <w:lastRenderedPageBreak/>
        <w:t>pueden ser consultados en el siguiente enlace:</w:t>
      </w:r>
      <w:r>
        <w:rPr>
          <w:rFonts w:ascii="Verdana" w:eastAsia="Verdana" w:hAnsi="Verdana" w:cs="Arial"/>
          <w:sz w:val="24"/>
          <w:szCs w:val="24"/>
        </w:rPr>
        <w:t xml:space="preserve"> </w:t>
      </w:r>
      <w:hyperlink r:id="rId33">
        <w:r w:rsidR="6A9A73CE" w:rsidRPr="00AB06F3">
          <w:rPr>
            <w:rStyle w:val="Hipervnculo"/>
            <w:rFonts w:ascii="Verdana" w:hAnsi="Verdana" w:cs="Arial"/>
          </w:rPr>
          <w:t>https://www.reincorporacion.gov.co/es/agencia/Paginas/Proyectos-Normativos.aspx?RootFolder=%2Fes%2Fagencia%2FProyectos%5FNormativos%2FVigencia%2D2024&amp;FolderCTID=0x012000A4A8E327ECB3CB4B8AFF93BA62655786&amp;View=%7B4098DC3D%2DA9C3%2D4C78%2D8A34%2DE204CCA1CEBE%7D</w:t>
        </w:r>
      </w:hyperlink>
      <w:r w:rsidR="6A9A73CE" w:rsidRPr="00AB06F3">
        <w:rPr>
          <w:rFonts w:ascii="Verdana" w:hAnsi="Verdana" w:cs="Arial"/>
        </w:rPr>
        <w:t xml:space="preserve"> </w:t>
      </w:r>
    </w:p>
    <w:p w14:paraId="2A4A5234" w14:textId="77777777" w:rsidR="00AE2862" w:rsidRPr="00AB06F3" w:rsidRDefault="00AE2862" w:rsidP="00C25586">
      <w:pPr>
        <w:spacing w:after="0" w:line="276" w:lineRule="auto"/>
        <w:jc w:val="both"/>
        <w:rPr>
          <w:rFonts w:ascii="Verdana" w:hAnsi="Verdana" w:cs="Arial"/>
        </w:rPr>
      </w:pPr>
    </w:p>
    <w:p w14:paraId="61E1099C" w14:textId="23718FB0" w:rsidR="4DAF7DEC" w:rsidRPr="00AB06F3" w:rsidRDefault="4DAF7DEC" w:rsidP="00031DF5">
      <w:pPr>
        <w:pStyle w:val="Prrafodelista"/>
        <w:numPr>
          <w:ilvl w:val="0"/>
          <w:numId w:val="6"/>
        </w:numPr>
        <w:spacing w:after="0" w:line="276" w:lineRule="auto"/>
        <w:jc w:val="both"/>
        <w:rPr>
          <w:rFonts w:ascii="Verdana" w:eastAsia="Verdana" w:hAnsi="Verdana" w:cs="Arial"/>
          <w:sz w:val="24"/>
          <w:szCs w:val="24"/>
        </w:rPr>
      </w:pPr>
      <w:r w:rsidRPr="00AB06F3">
        <w:rPr>
          <w:rFonts w:ascii="Verdana" w:eastAsia="Verdana" w:hAnsi="Verdana" w:cs="Arial"/>
          <w:sz w:val="24"/>
          <w:szCs w:val="24"/>
          <w:lang w:eastAsia="es-ES"/>
        </w:rPr>
        <w:t>Rendición pública de cuentas</w:t>
      </w:r>
      <w:r w:rsidR="756AF84E" w:rsidRPr="00AB06F3">
        <w:rPr>
          <w:rFonts w:ascii="Verdana" w:eastAsia="Verdana" w:hAnsi="Verdana" w:cs="Arial"/>
          <w:sz w:val="24"/>
          <w:szCs w:val="24"/>
          <w:lang w:eastAsia="es-ES"/>
        </w:rPr>
        <w:t xml:space="preserve"> y audiencia pública</w:t>
      </w:r>
    </w:p>
    <w:p w14:paraId="1FD790A2" w14:textId="77777777" w:rsidR="00517542" w:rsidRDefault="00517542" w:rsidP="00C25586">
      <w:pPr>
        <w:spacing w:after="0" w:line="276" w:lineRule="auto"/>
        <w:jc w:val="both"/>
        <w:rPr>
          <w:rFonts w:ascii="Verdana" w:eastAsia="Verdana" w:hAnsi="Verdana" w:cs="Arial"/>
          <w:sz w:val="24"/>
          <w:szCs w:val="24"/>
          <w:lang w:eastAsia="es-ES"/>
        </w:rPr>
      </w:pPr>
    </w:p>
    <w:p w14:paraId="2DC847FB" w14:textId="3BD25AA8" w:rsidR="0799BFE6" w:rsidRDefault="00E90C29" w:rsidP="00C25586">
      <w:pPr>
        <w:spacing w:after="0" w:line="276" w:lineRule="auto"/>
      </w:pPr>
      <w:r w:rsidRPr="00E90C29">
        <w:rPr>
          <w:rFonts w:ascii="Verdana" w:eastAsia="Verdana" w:hAnsi="Verdana" w:cs="Arial"/>
          <w:sz w:val="24"/>
          <w:szCs w:val="24"/>
          <w:lang w:eastAsia="es-ES"/>
        </w:rPr>
        <w:t>Los informes y resultados de las audiencias públicas de rendición de cuentas realizadas por la entidad durante la vigencia 2025 pueden ser consultados en los siguientes enlaces:</w:t>
      </w:r>
      <w:r>
        <w:rPr>
          <w:rFonts w:ascii="Verdana" w:eastAsia="Verdana" w:hAnsi="Verdana" w:cs="Arial"/>
          <w:sz w:val="24"/>
          <w:szCs w:val="24"/>
          <w:lang w:eastAsia="es-ES"/>
        </w:rPr>
        <w:t xml:space="preserve"> </w:t>
      </w:r>
      <w:hyperlink r:id="rId34">
        <w:r w:rsidR="756AF84E" w:rsidRPr="00AB06F3">
          <w:rPr>
            <w:rStyle w:val="Hipervnculo"/>
            <w:rFonts w:ascii="Verdana" w:hAnsi="Verdana" w:cs="Arial"/>
          </w:rPr>
          <w:t>https://www.reincorporacion.gov.co/es/participa/Paginas/Rendicion-de-Cuentas.aspx</w:t>
        </w:r>
      </w:hyperlink>
    </w:p>
    <w:p w14:paraId="2E57A691" w14:textId="77777777" w:rsidR="001438D5" w:rsidRPr="00AB06F3" w:rsidRDefault="001438D5" w:rsidP="00C25586">
      <w:pPr>
        <w:spacing w:after="0" w:line="276" w:lineRule="auto"/>
        <w:rPr>
          <w:rFonts w:ascii="Verdana" w:hAnsi="Verdana" w:cs="Arial"/>
        </w:rPr>
      </w:pPr>
    </w:p>
    <w:p w14:paraId="5B36A702" w14:textId="56940635" w:rsidR="756AF84E" w:rsidRDefault="756AF84E" w:rsidP="00C25586">
      <w:pPr>
        <w:spacing w:after="0" w:line="276" w:lineRule="auto"/>
        <w:jc w:val="both"/>
        <w:rPr>
          <w:rStyle w:val="Hipervnculo"/>
          <w:rFonts w:ascii="Verdana" w:eastAsiaTheme="minorEastAsia" w:hAnsi="Verdana" w:cs="Arial"/>
          <w:sz w:val="24"/>
          <w:szCs w:val="24"/>
          <w:lang w:eastAsia="es-ES"/>
        </w:rPr>
      </w:pPr>
      <w:hyperlink r:id="rId35">
        <w:r w:rsidRPr="00AB06F3">
          <w:rPr>
            <w:rStyle w:val="Hipervnculo"/>
            <w:rFonts w:ascii="Verdana" w:eastAsiaTheme="minorEastAsia" w:hAnsi="Verdana" w:cs="Arial"/>
            <w:sz w:val="24"/>
            <w:szCs w:val="24"/>
            <w:lang w:eastAsia="es-ES"/>
          </w:rPr>
          <w:t>https://www.reincorporacion.gov.co/es/agencia/Paginas/Informes-de-rendicion-de-cuentas.aspx</w:t>
        </w:r>
      </w:hyperlink>
    </w:p>
    <w:p w14:paraId="0CE90B06" w14:textId="77777777" w:rsidR="00517542" w:rsidRPr="00AB06F3" w:rsidRDefault="00517542" w:rsidP="00C25586">
      <w:pPr>
        <w:spacing w:after="0" w:line="276" w:lineRule="auto"/>
        <w:jc w:val="both"/>
        <w:rPr>
          <w:rFonts w:ascii="Verdana" w:hAnsi="Verdana" w:cs="Arial"/>
        </w:rPr>
      </w:pPr>
    </w:p>
    <w:p w14:paraId="4560CFC4" w14:textId="6AA847DC" w:rsidR="443BC27A" w:rsidRPr="00AB06F3" w:rsidRDefault="443BC27A" w:rsidP="00031DF5">
      <w:pPr>
        <w:pStyle w:val="Prrafodelista"/>
        <w:numPr>
          <w:ilvl w:val="0"/>
          <w:numId w:val="6"/>
        </w:numPr>
        <w:spacing w:after="0" w:line="276" w:lineRule="auto"/>
        <w:jc w:val="both"/>
        <w:rPr>
          <w:rFonts w:ascii="Verdana" w:hAnsi="Verdana" w:cs="Arial"/>
        </w:rPr>
      </w:pPr>
      <w:r w:rsidRPr="00AB06F3">
        <w:rPr>
          <w:rFonts w:ascii="Verdana" w:hAnsi="Verdana" w:cs="Arial"/>
          <w:sz w:val="24"/>
          <w:szCs w:val="24"/>
        </w:rPr>
        <w:t>Consejo Nacional de Reincorporación</w:t>
      </w:r>
      <w:r w:rsidR="00E90C29">
        <w:rPr>
          <w:rFonts w:ascii="Verdana" w:hAnsi="Verdana" w:cs="Arial"/>
          <w:sz w:val="24"/>
          <w:szCs w:val="24"/>
        </w:rPr>
        <w:t xml:space="preserve"> </w:t>
      </w:r>
      <w:r w:rsidRPr="00AB06F3">
        <w:rPr>
          <w:rFonts w:ascii="Verdana" w:hAnsi="Verdana" w:cs="Arial"/>
          <w:sz w:val="24"/>
          <w:szCs w:val="24"/>
        </w:rPr>
        <w:t xml:space="preserve">y Consejo Territorial de </w:t>
      </w:r>
      <w:r w:rsidRPr="00AB06F3">
        <w:rPr>
          <w:rFonts w:ascii="Verdana" w:eastAsia="Verdana" w:hAnsi="Verdana" w:cs="Arial"/>
          <w:sz w:val="24"/>
          <w:szCs w:val="24"/>
          <w:lang w:eastAsia="es-ES"/>
        </w:rPr>
        <w:t>Reincorporación</w:t>
      </w:r>
      <w:r w:rsidR="00E90C29">
        <w:rPr>
          <w:rFonts w:ascii="Verdana" w:hAnsi="Verdana" w:cs="Arial"/>
          <w:sz w:val="24"/>
          <w:szCs w:val="24"/>
        </w:rPr>
        <w:t xml:space="preserve"> </w:t>
      </w:r>
    </w:p>
    <w:p w14:paraId="5977D01B" w14:textId="77777777" w:rsidR="00517542" w:rsidRDefault="00517542" w:rsidP="00C25586">
      <w:pPr>
        <w:spacing w:after="0" w:line="276" w:lineRule="auto"/>
        <w:jc w:val="both"/>
        <w:rPr>
          <w:rFonts w:ascii="Verdana" w:hAnsi="Verdana" w:cs="Arial"/>
          <w:sz w:val="24"/>
          <w:szCs w:val="24"/>
        </w:rPr>
      </w:pPr>
    </w:p>
    <w:p w14:paraId="28139C52" w14:textId="77777777" w:rsidR="009800E7" w:rsidRPr="009800E7" w:rsidRDefault="009800E7" w:rsidP="009800E7">
      <w:pPr>
        <w:spacing w:after="0" w:line="276" w:lineRule="auto"/>
        <w:jc w:val="both"/>
        <w:rPr>
          <w:rFonts w:ascii="Verdana" w:hAnsi="Verdana" w:cs="Arial"/>
          <w:sz w:val="24"/>
          <w:szCs w:val="24"/>
        </w:rPr>
      </w:pPr>
      <w:r w:rsidRPr="009800E7">
        <w:rPr>
          <w:rFonts w:ascii="Verdana" w:hAnsi="Verdana" w:cs="Arial"/>
          <w:sz w:val="24"/>
          <w:szCs w:val="24"/>
        </w:rPr>
        <w:t>La información relacionada con el funcionamiento y desarrollo de las sesiones del Consejo Nacional de Reincorporación (CNR) y de los Consejos Territoriales de Reincorporación (CTR) se encuentra descrita en el numeral 2.1. Acciones de promoción de la participación ciudadana.</w:t>
      </w:r>
    </w:p>
    <w:p w14:paraId="3DFEC9A4" w14:textId="77777777" w:rsidR="00301AAA" w:rsidRDefault="00301AAA" w:rsidP="009800E7">
      <w:pPr>
        <w:spacing w:after="0" w:line="276" w:lineRule="auto"/>
        <w:jc w:val="both"/>
        <w:rPr>
          <w:rFonts w:ascii="Verdana" w:hAnsi="Verdana" w:cs="Arial"/>
          <w:sz w:val="24"/>
          <w:szCs w:val="24"/>
        </w:rPr>
      </w:pPr>
    </w:p>
    <w:p w14:paraId="1360CC09" w14:textId="26D46A4D" w:rsidR="009800E7" w:rsidRPr="009800E7" w:rsidRDefault="009800E7" w:rsidP="009800E7">
      <w:pPr>
        <w:spacing w:after="0" w:line="276" w:lineRule="auto"/>
        <w:jc w:val="both"/>
        <w:rPr>
          <w:rFonts w:ascii="Verdana" w:hAnsi="Verdana" w:cs="Arial"/>
          <w:sz w:val="24"/>
          <w:szCs w:val="24"/>
        </w:rPr>
      </w:pPr>
      <w:r w:rsidRPr="009800E7">
        <w:rPr>
          <w:rFonts w:ascii="Verdana" w:hAnsi="Verdana" w:cs="Arial"/>
          <w:sz w:val="24"/>
          <w:szCs w:val="24"/>
        </w:rPr>
        <w:t>Las sesiones del CNR correspondientes a la vigencia 2025 pueden consultarse en el siguiente enlace institucional:</w:t>
      </w:r>
    </w:p>
    <w:p w14:paraId="42BE58AE" w14:textId="77777777" w:rsidR="00A61349" w:rsidRDefault="00A61349" w:rsidP="00C25586">
      <w:pPr>
        <w:spacing w:after="0" w:line="276" w:lineRule="auto"/>
        <w:jc w:val="both"/>
        <w:rPr>
          <w:rFonts w:ascii="Verdana" w:hAnsi="Verdana" w:cs="Arial"/>
          <w:sz w:val="24"/>
          <w:szCs w:val="24"/>
        </w:rPr>
      </w:pPr>
    </w:p>
    <w:p w14:paraId="79F99E98" w14:textId="0497A652" w:rsidR="007D56EB" w:rsidRDefault="007D56EB" w:rsidP="00C25586">
      <w:pPr>
        <w:spacing w:after="0" w:line="276" w:lineRule="auto"/>
        <w:jc w:val="both"/>
        <w:rPr>
          <w:rFonts w:ascii="Verdana" w:hAnsi="Verdana" w:cs="Arial"/>
          <w:sz w:val="24"/>
          <w:szCs w:val="24"/>
        </w:rPr>
      </w:pPr>
      <w:hyperlink r:id="rId36" w:history="1">
        <w:r w:rsidRPr="00EB63D6">
          <w:rPr>
            <w:rStyle w:val="Hipervnculo"/>
            <w:rFonts w:ascii="Verdana" w:hAnsi="Verdana" w:cs="Arial"/>
            <w:sz w:val="24"/>
            <w:szCs w:val="24"/>
          </w:rPr>
          <w:t>https://www.youtube.com/@ARNColombia/search?query=cnr</w:t>
        </w:r>
      </w:hyperlink>
      <w:r>
        <w:rPr>
          <w:rFonts w:ascii="Verdana" w:hAnsi="Verdana" w:cs="Arial"/>
          <w:sz w:val="24"/>
          <w:szCs w:val="24"/>
        </w:rPr>
        <w:t xml:space="preserve"> </w:t>
      </w:r>
    </w:p>
    <w:p w14:paraId="58D77139" w14:textId="77777777" w:rsidR="00517542" w:rsidRPr="00AB06F3" w:rsidRDefault="00517542" w:rsidP="00C25586">
      <w:pPr>
        <w:spacing w:after="0" w:line="276" w:lineRule="auto"/>
        <w:jc w:val="both"/>
        <w:rPr>
          <w:rFonts w:ascii="Verdana" w:hAnsi="Verdana" w:cs="Arial"/>
          <w:sz w:val="24"/>
          <w:szCs w:val="24"/>
        </w:rPr>
      </w:pPr>
    </w:p>
    <w:p w14:paraId="6E7A4DC4" w14:textId="140D4584" w:rsidR="00517542" w:rsidRPr="000D6296" w:rsidRDefault="000D6296" w:rsidP="000D6296">
      <w:pPr>
        <w:pStyle w:val="Prrafodelista"/>
        <w:numPr>
          <w:ilvl w:val="0"/>
          <w:numId w:val="6"/>
        </w:numPr>
        <w:spacing w:after="0" w:line="276" w:lineRule="auto"/>
        <w:rPr>
          <w:rFonts w:ascii="Verdana" w:hAnsi="Verdana" w:cs="Arial"/>
          <w:b/>
          <w:bCs/>
          <w:sz w:val="24"/>
          <w:szCs w:val="24"/>
        </w:rPr>
      </w:pPr>
      <w:r w:rsidRPr="000D6296">
        <w:rPr>
          <w:rFonts w:ascii="Verdana" w:hAnsi="Verdana" w:cs="Arial"/>
          <w:b/>
          <w:bCs/>
          <w:sz w:val="24"/>
          <w:szCs w:val="24"/>
        </w:rPr>
        <w:t>Ejercicio de control social a la gestión pública</w:t>
      </w:r>
    </w:p>
    <w:p w14:paraId="7BE4C291" w14:textId="77777777" w:rsidR="000D6296" w:rsidRDefault="000D6296" w:rsidP="00C25586">
      <w:pPr>
        <w:spacing w:after="0" w:line="276" w:lineRule="auto"/>
        <w:rPr>
          <w:rFonts w:ascii="Verdana" w:hAnsi="Verdana" w:cs="Arial"/>
          <w:sz w:val="24"/>
          <w:szCs w:val="24"/>
        </w:rPr>
      </w:pPr>
    </w:p>
    <w:p w14:paraId="370B5B47" w14:textId="5C1A66C0" w:rsidR="4218E41B" w:rsidRPr="00AB06F3" w:rsidRDefault="000D6296" w:rsidP="00C25586">
      <w:pPr>
        <w:spacing w:after="0" w:line="276" w:lineRule="auto"/>
        <w:rPr>
          <w:rFonts w:ascii="Verdana" w:hAnsi="Verdana" w:cs="Arial"/>
        </w:rPr>
      </w:pPr>
      <w:r w:rsidRPr="000D6296">
        <w:rPr>
          <w:rFonts w:ascii="Verdana" w:hAnsi="Verdana" w:cs="Arial"/>
          <w:sz w:val="24"/>
          <w:szCs w:val="24"/>
        </w:rPr>
        <w:t xml:space="preserve">La ciudadanía puede consultar las convocatorias a ejercicios de control social y rendición de cuentas a través del </w:t>
      </w:r>
      <w:r w:rsidRPr="000D6296">
        <w:rPr>
          <w:rFonts w:ascii="Verdana" w:hAnsi="Verdana" w:cs="Arial"/>
          <w:b/>
          <w:bCs/>
          <w:sz w:val="24"/>
          <w:szCs w:val="24"/>
        </w:rPr>
        <w:t>Menú Participa</w:t>
      </w:r>
      <w:r w:rsidRPr="000D6296">
        <w:rPr>
          <w:rFonts w:ascii="Verdana" w:hAnsi="Verdana" w:cs="Arial"/>
          <w:sz w:val="24"/>
          <w:szCs w:val="24"/>
        </w:rPr>
        <w:t xml:space="preserve"> de la página institucional de la ARN, disponible en el siguiente enlace:</w:t>
      </w:r>
      <w:hyperlink r:id="rId37">
        <w:r w:rsidR="5BB21A03" w:rsidRPr="00AB06F3">
          <w:rPr>
            <w:rStyle w:val="Hipervnculo"/>
            <w:rFonts w:ascii="Verdana" w:hAnsi="Verdana" w:cs="Arial"/>
          </w:rPr>
          <w:t>https://www.reincorporacion.gov.co/es/participa/Paginas/Rendicion-de-Cuentas.aspx</w:t>
        </w:r>
      </w:hyperlink>
    </w:p>
    <w:p w14:paraId="380F305E" w14:textId="7A722236" w:rsidR="000B1DA2" w:rsidRPr="00AB06F3" w:rsidRDefault="003200DA" w:rsidP="00C25586">
      <w:pPr>
        <w:pStyle w:val="NormalWeb"/>
        <w:spacing w:after="0" w:afterAutospacing="0" w:line="276" w:lineRule="auto"/>
        <w:jc w:val="both"/>
        <w:rPr>
          <w:rFonts w:ascii="Verdana" w:hAnsi="Verdana" w:cs="Arial"/>
        </w:rPr>
      </w:pPr>
      <w:r w:rsidRPr="00AB06F3">
        <w:rPr>
          <w:rFonts w:ascii="Verdana" w:hAnsi="Verdana" w:cs="Arial"/>
        </w:rPr>
        <w:lastRenderedPageBreak/>
        <w:t>Por otra parte, i</w:t>
      </w:r>
      <w:r w:rsidR="000B1DA2" w:rsidRPr="00AB06F3">
        <w:rPr>
          <w:rFonts w:ascii="Verdana" w:hAnsi="Verdana" w:cs="Arial"/>
        </w:rPr>
        <w:t>nvitamos a ejercer el derecho a control social a los contratos que se celebran por parte de las entidades públicas en el portal de Colombia Compra Eficiente </w:t>
      </w:r>
      <w:hyperlink r:id="rId38" w:tgtFrame="_blank" w:tooltip="http://www.colombiacompra.gov.co/" w:history="1">
        <w:r w:rsidR="000B1DA2" w:rsidRPr="00AB06F3">
          <w:rPr>
            <w:rStyle w:val="Hipervnculo"/>
            <w:rFonts w:ascii="Verdana" w:hAnsi="Verdana" w:cs="Arial"/>
          </w:rPr>
          <w:t>www.colombiacompra.gov.co</w:t>
        </w:r>
      </w:hyperlink>
    </w:p>
    <w:p w14:paraId="1BC6E860" w14:textId="77777777" w:rsidR="00364C27" w:rsidRPr="00364C27" w:rsidRDefault="00364C27" w:rsidP="00364C27">
      <w:pPr>
        <w:pStyle w:val="NormalWeb"/>
        <w:spacing w:after="0" w:afterAutospacing="0" w:line="276" w:lineRule="auto"/>
        <w:jc w:val="both"/>
        <w:rPr>
          <w:rFonts w:ascii="Verdana" w:hAnsi="Verdana" w:cs="Arial"/>
        </w:rPr>
      </w:pPr>
      <w:r w:rsidRPr="00364C27">
        <w:rPr>
          <w:rFonts w:ascii="Verdana" w:hAnsi="Verdana" w:cs="Arial"/>
        </w:rPr>
        <w:t>Asimismo, se invita a ejercer el derecho al control social sobre los procesos contractuales adelantados por las entidades públicas a través del portal de Colombia Compra Eficiente.</w:t>
      </w:r>
    </w:p>
    <w:p w14:paraId="38CD7B0D" w14:textId="77777777" w:rsidR="00364C27" w:rsidRPr="00364C27" w:rsidRDefault="00364C27" w:rsidP="00364C27">
      <w:pPr>
        <w:pStyle w:val="NormalWeb"/>
        <w:spacing w:after="0" w:afterAutospacing="0" w:line="276" w:lineRule="auto"/>
        <w:jc w:val="both"/>
        <w:rPr>
          <w:rFonts w:ascii="Verdana" w:hAnsi="Verdana" w:cs="Arial"/>
        </w:rPr>
      </w:pPr>
      <w:r w:rsidRPr="00364C27">
        <w:rPr>
          <w:rFonts w:ascii="Verdana" w:hAnsi="Verdana" w:cs="Arial"/>
        </w:rPr>
        <w:t>Para consultar los procesos de contratación adelantados por la ARN durante la vigencia 2025, se pueden utilizar los siguientes enlaces institucionales:</w:t>
      </w:r>
    </w:p>
    <w:p w14:paraId="29A7542B" w14:textId="42BE5B71" w:rsidR="000B1DA2" w:rsidRPr="00AB06F3" w:rsidRDefault="000B1DA2" w:rsidP="00C25586">
      <w:pPr>
        <w:pStyle w:val="NormalWeb"/>
        <w:spacing w:after="0" w:afterAutospacing="0" w:line="276" w:lineRule="auto"/>
        <w:jc w:val="both"/>
        <w:rPr>
          <w:rFonts w:ascii="Verdana" w:hAnsi="Verdana" w:cs="Arial"/>
        </w:rPr>
      </w:pPr>
      <w:hyperlink r:id="rId39">
        <w:r w:rsidRPr="00AB06F3">
          <w:rPr>
            <w:rStyle w:val="Hipervnculo"/>
            <w:rFonts w:ascii="Verdana" w:hAnsi="Verdana" w:cs="Arial"/>
          </w:rPr>
          <w:t>https://www.colombiacompra.gov.co/secop/busqueda-de-procesos-de-contratacion</w:t>
        </w:r>
      </w:hyperlink>
      <w:r w:rsidR="003200DA" w:rsidRPr="00AB06F3">
        <w:rPr>
          <w:rFonts w:ascii="Verdana" w:hAnsi="Verdana" w:cs="Arial"/>
        </w:rPr>
        <w:t xml:space="preserve"> </w:t>
      </w:r>
      <w:hyperlink r:id="rId40">
        <w:r w:rsidR="001D2DDA" w:rsidRPr="00AB06F3">
          <w:rPr>
            <w:rStyle w:val="Hipervnculo"/>
            <w:rFonts w:ascii="Verdana" w:hAnsi="Verdana" w:cs="Arial"/>
          </w:rPr>
          <w:t>https://www.contratos.gov.co/consultas/inicioConsulta.do</w:t>
        </w:r>
      </w:hyperlink>
      <w:r w:rsidRPr="00AB06F3">
        <w:rPr>
          <w:rFonts w:ascii="Verdana" w:hAnsi="Verdana" w:cs="Arial"/>
        </w:rPr>
        <w:t>   </w:t>
      </w:r>
    </w:p>
    <w:p w14:paraId="0DBD3E6E" w14:textId="77777777" w:rsidR="00517542" w:rsidRDefault="00517542" w:rsidP="00C25586">
      <w:pPr>
        <w:pStyle w:val="NormalWeb"/>
        <w:spacing w:before="0" w:beforeAutospacing="0" w:after="0" w:afterAutospacing="0" w:line="276" w:lineRule="auto"/>
        <w:jc w:val="both"/>
        <w:rPr>
          <w:rFonts w:ascii="Verdana" w:hAnsi="Verdana" w:cs="Arial"/>
        </w:rPr>
      </w:pPr>
    </w:p>
    <w:p w14:paraId="451CED08" w14:textId="77777777" w:rsidR="00737453" w:rsidRDefault="00737453" w:rsidP="00737453">
      <w:pPr>
        <w:pStyle w:val="NormalWeb"/>
        <w:spacing w:before="0" w:beforeAutospacing="0" w:after="0" w:afterAutospacing="0" w:line="276" w:lineRule="auto"/>
        <w:jc w:val="both"/>
        <w:rPr>
          <w:rFonts w:ascii="Verdana" w:hAnsi="Verdana" w:cs="Arial"/>
        </w:rPr>
      </w:pPr>
      <w:r w:rsidRPr="00737453">
        <w:rPr>
          <w:rFonts w:ascii="Verdana" w:hAnsi="Verdana" w:cs="Arial"/>
        </w:rPr>
        <w:t>En estos portales es posible realizar la búsqueda ingresando el nombre de la entidad o el número del contrato en el campo “Buscar proceso de contratación”.</w:t>
      </w:r>
    </w:p>
    <w:p w14:paraId="1204276D" w14:textId="77777777" w:rsidR="00737453" w:rsidRPr="00737453" w:rsidRDefault="00737453" w:rsidP="00737453">
      <w:pPr>
        <w:pStyle w:val="NormalWeb"/>
        <w:spacing w:before="0" w:beforeAutospacing="0" w:after="0" w:afterAutospacing="0" w:line="276" w:lineRule="auto"/>
        <w:jc w:val="both"/>
        <w:rPr>
          <w:rFonts w:ascii="Verdana" w:hAnsi="Verdana" w:cs="Arial"/>
        </w:rPr>
      </w:pPr>
    </w:p>
    <w:p w14:paraId="242553BC" w14:textId="188CA55B" w:rsidR="00737453" w:rsidRDefault="00737453" w:rsidP="00C25586">
      <w:pPr>
        <w:pStyle w:val="NormalWeb"/>
        <w:spacing w:before="0" w:beforeAutospacing="0" w:after="0" w:afterAutospacing="0" w:line="276" w:lineRule="auto"/>
        <w:jc w:val="both"/>
        <w:rPr>
          <w:rFonts w:ascii="Verdana" w:hAnsi="Verdana" w:cs="Arial"/>
        </w:rPr>
      </w:pPr>
      <w:r w:rsidRPr="00737453">
        <w:rPr>
          <w:rFonts w:ascii="Verdana" w:hAnsi="Verdana" w:cs="Arial"/>
        </w:rPr>
        <w:t>Finalmente, y de manera indicativa, a continuación se relacionan algunos de los contratos celebrados por la entidad para el cumplimiento de los compromisos derivados de la implementación del Acuerdo de Paz.</w:t>
      </w:r>
    </w:p>
    <w:p w14:paraId="7FC543B8" w14:textId="77777777" w:rsidR="00316BE4" w:rsidRDefault="00316BE4" w:rsidP="00316BE4">
      <w:pPr>
        <w:pStyle w:val="Descripcin"/>
        <w:keepNext/>
        <w:jc w:val="center"/>
        <w:rPr>
          <w:rFonts w:ascii="Verdana" w:hAnsi="Verdana" w:cs="Arial"/>
          <w:i w:val="0"/>
          <w:iCs w:val="0"/>
          <w:color w:val="000000" w:themeColor="text1"/>
        </w:rPr>
      </w:pPr>
    </w:p>
    <w:p w14:paraId="6B7955FE" w14:textId="3175F793" w:rsidR="00316BE4" w:rsidRPr="00316BE4" w:rsidRDefault="00316BE4" w:rsidP="00316BE4">
      <w:pPr>
        <w:pStyle w:val="Descripcin"/>
        <w:keepNext/>
        <w:jc w:val="center"/>
        <w:rPr>
          <w:rFonts w:ascii="Verdana" w:hAnsi="Verdana" w:cs="Arial"/>
          <w:i w:val="0"/>
          <w:iCs w:val="0"/>
          <w:color w:val="000000" w:themeColor="text1"/>
        </w:rPr>
      </w:pPr>
      <w:bookmarkStart w:id="83" w:name="_Toc225283183"/>
      <w:r w:rsidRPr="00316BE4">
        <w:rPr>
          <w:rFonts w:ascii="Verdana" w:hAnsi="Verdana" w:cs="Arial"/>
          <w:i w:val="0"/>
          <w:iCs w:val="0"/>
          <w:color w:val="000000" w:themeColor="text1"/>
        </w:rPr>
        <w:t xml:space="preserve">Tabla </w:t>
      </w:r>
      <w:r w:rsidRPr="00316BE4">
        <w:rPr>
          <w:rFonts w:ascii="Verdana" w:hAnsi="Verdana" w:cs="Arial"/>
          <w:i w:val="0"/>
          <w:iCs w:val="0"/>
          <w:color w:val="000000" w:themeColor="text1"/>
        </w:rPr>
        <w:fldChar w:fldCharType="begin"/>
      </w:r>
      <w:r w:rsidRPr="00316BE4">
        <w:rPr>
          <w:rFonts w:ascii="Verdana" w:hAnsi="Verdana" w:cs="Arial"/>
          <w:i w:val="0"/>
          <w:iCs w:val="0"/>
          <w:color w:val="000000" w:themeColor="text1"/>
        </w:rPr>
        <w:instrText xml:space="preserve"> SEQ Tabla \* ARABIC </w:instrText>
      </w:r>
      <w:r w:rsidRPr="00316BE4">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71</w:t>
      </w:r>
      <w:r w:rsidRPr="00316BE4">
        <w:rPr>
          <w:rFonts w:ascii="Verdana" w:hAnsi="Verdana" w:cs="Arial"/>
          <w:i w:val="0"/>
          <w:iCs w:val="0"/>
          <w:color w:val="000000" w:themeColor="text1"/>
        </w:rPr>
        <w:fldChar w:fldCharType="end"/>
      </w:r>
      <w:r w:rsidRPr="00316BE4">
        <w:rPr>
          <w:rFonts w:ascii="Verdana" w:hAnsi="Verdana" w:cs="Arial"/>
          <w:i w:val="0"/>
          <w:iCs w:val="0"/>
          <w:color w:val="000000" w:themeColor="text1"/>
        </w:rPr>
        <w:t>. Contratos celebrados en el periodo para la implementación del Acuerdo Final</w:t>
      </w:r>
      <w:bookmarkEnd w:id="83"/>
    </w:p>
    <w:tbl>
      <w:tblPr>
        <w:tblStyle w:val="Tablaconcuadrcula1clara-nfasis4"/>
        <w:tblW w:w="0" w:type="auto"/>
        <w:jc w:val="center"/>
        <w:tblLayout w:type="fixed"/>
        <w:tblLook w:val="04A0" w:firstRow="1" w:lastRow="0" w:firstColumn="1" w:lastColumn="0" w:noHBand="0" w:noVBand="1"/>
        <w:tblCaption w:val="Contratos celebrados en el periodo para la implementación del Acuerdo Final"/>
        <w:tblDescription w:val="Tabla que contiene los siguientes items: Número de contrato/año, descripción sencilla del objeto del contrato, enlace al contrato para consulta ciudadana."/>
      </w:tblPr>
      <w:tblGrid>
        <w:gridCol w:w="2263"/>
        <w:gridCol w:w="3550"/>
        <w:gridCol w:w="2835"/>
      </w:tblGrid>
      <w:tr w:rsidR="00952203" w:rsidRPr="00AB06F3" w14:paraId="5D57FDAD" w14:textId="77777777" w:rsidTr="00A4638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263" w:type="dxa"/>
            <w:hideMark/>
          </w:tcPr>
          <w:p w14:paraId="2E998EA2" w14:textId="67D3B945" w:rsidR="00952203" w:rsidRPr="006E660E" w:rsidRDefault="00952203" w:rsidP="006E660E">
            <w:pPr>
              <w:pStyle w:val="NormalWeb"/>
              <w:spacing w:after="0" w:afterAutospacing="0" w:line="276" w:lineRule="auto"/>
              <w:jc w:val="center"/>
              <w:rPr>
                <w:rFonts w:ascii="Verdana" w:eastAsia="Verdana" w:hAnsi="Verdana" w:cs="Arial"/>
                <w:sz w:val="18"/>
                <w:szCs w:val="18"/>
              </w:rPr>
            </w:pPr>
            <w:r w:rsidRPr="006E660E">
              <w:rPr>
                <w:rFonts w:ascii="Verdana" w:eastAsia="Verdana" w:hAnsi="Verdana" w:cs="Arial"/>
                <w:sz w:val="18"/>
                <w:szCs w:val="18"/>
              </w:rPr>
              <w:t>Número de Contrato/Año</w:t>
            </w:r>
          </w:p>
        </w:tc>
        <w:tc>
          <w:tcPr>
            <w:tcW w:w="3550" w:type="dxa"/>
          </w:tcPr>
          <w:p w14:paraId="19A8EF74" w14:textId="143F1480" w:rsidR="00952203" w:rsidRPr="006E660E" w:rsidRDefault="00952203" w:rsidP="00211EE1">
            <w:pPr>
              <w:pStyle w:val="NormalWeb"/>
              <w:spacing w:after="0" w:afterAutospacing="0"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6E660E">
              <w:rPr>
                <w:rFonts w:ascii="Verdana" w:eastAsia="Verdana" w:hAnsi="Verdana" w:cs="Arial"/>
                <w:sz w:val="18"/>
                <w:szCs w:val="18"/>
              </w:rPr>
              <w:t>Descripción sencilla del Objeto del contrato</w:t>
            </w:r>
          </w:p>
        </w:tc>
        <w:tc>
          <w:tcPr>
            <w:tcW w:w="2835" w:type="dxa"/>
            <w:hideMark/>
          </w:tcPr>
          <w:p w14:paraId="54019FB0" w14:textId="2D9F09FC" w:rsidR="00952203" w:rsidRPr="00945F86" w:rsidRDefault="00952203" w:rsidP="006E660E">
            <w:pPr>
              <w:pStyle w:val="NormalWeb"/>
              <w:spacing w:after="0" w:afterAutospacing="0"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Arial"/>
                <w:sz w:val="18"/>
                <w:szCs w:val="18"/>
              </w:rPr>
            </w:pPr>
            <w:r w:rsidRPr="00945F86">
              <w:rPr>
                <w:rFonts w:ascii="Verdana" w:eastAsia="Verdana" w:hAnsi="Verdana" w:cs="Arial"/>
                <w:sz w:val="18"/>
                <w:szCs w:val="18"/>
              </w:rPr>
              <w:t>Enlace al contrato para Consulta ciudadana</w:t>
            </w:r>
          </w:p>
        </w:tc>
      </w:tr>
      <w:tr w:rsidR="00952203" w:rsidRPr="00AB06F3" w14:paraId="20D2D339"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3098FF2B" w14:textId="77777777" w:rsidR="00952203" w:rsidRPr="000B4537" w:rsidRDefault="00952203" w:rsidP="00C401E4">
            <w:pPr>
              <w:pStyle w:val="NormalWeb"/>
              <w:spacing w:after="0" w:afterAutospacing="0" w:line="276" w:lineRule="auto"/>
              <w:ind w:left="708" w:hanging="708"/>
              <w:jc w:val="both"/>
              <w:rPr>
                <w:rFonts w:ascii="Verdana" w:eastAsia="Verdana" w:hAnsi="Verdana" w:cs="Arial"/>
                <w:b w:val="0"/>
                <w:bCs w:val="0"/>
                <w:color w:val="000000" w:themeColor="text1"/>
                <w:sz w:val="18"/>
                <w:szCs w:val="18"/>
              </w:rPr>
            </w:pPr>
            <w:r w:rsidRPr="000B4537">
              <w:rPr>
                <w:rFonts w:ascii="Verdana" w:eastAsia="Verdana" w:hAnsi="Verdana" w:cs="Arial"/>
                <w:b w:val="0"/>
                <w:bCs w:val="0"/>
                <w:color w:val="000000" w:themeColor="text1"/>
                <w:sz w:val="18"/>
                <w:szCs w:val="18"/>
              </w:rPr>
              <w:t>Contrato 1359-2025</w:t>
            </w:r>
          </w:p>
          <w:p w14:paraId="30515061" w14:textId="6107A3C4" w:rsidR="00952203" w:rsidRPr="000B4537" w:rsidRDefault="00952203" w:rsidP="00C401E4">
            <w:pPr>
              <w:pStyle w:val="NormalWeb"/>
              <w:spacing w:after="0" w:afterAutospacing="0" w:line="276" w:lineRule="auto"/>
              <w:ind w:left="708" w:hanging="708"/>
              <w:jc w:val="both"/>
              <w:rPr>
                <w:rFonts w:ascii="Verdana" w:eastAsia="Verdana" w:hAnsi="Verdana" w:cs="Arial"/>
                <w:b w:val="0"/>
                <w:bCs w:val="0"/>
                <w:color w:val="000000" w:themeColor="text1"/>
                <w:sz w:val="18"/>
                <w:szCs w:val="18"/>
              </w:rPr>
            </w:pPr>
            <w:r w:rsidRPr="000B4537">
              <w:rPr>
                <w:rFonts w:ascii="Verdana" w:eastAsia="Verdana" w:hAnsi="Verdana" w:cs="Arial"/>
                <w:b w:val="0"/>
                <w:bCs w:val="0"/>
                <w:color w:val="000000" w:themeColor="text1"/>
                <w:sz w:val="18"/>
                <w:szCs w:val="18"/>
              </w:rPr>
              <w:t>Universidad Nacional Abierta y a Distancia</w:t>
            </w:r>
          </w:p>
        </w:tc>
        <w:tc>
          <w:tcPr>
            <w:tcW w:w="3550" w:type="dxa"/>
          </w:tcPr>
          <w:p w14:paraId="3A855AA7" w14:textId="251EEDC0" w:rsidR="00952203" w:rsidRPr="001C154D"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60195C">
              <w:rPr>
                <w:rFonts w:ascii="Verdana" w:eastAsia="Verdana" w:hAnsi="Verdana" w:cs="Arial"/>
                <w:color w:val="000000" w:themeColor="text1"/>
                <w:sz w:val="18"/>
                <w:szCs w:val="18"/>
              </w:rPr>
              <w:t>Aunar esfuerzos para la implementación del “Modelo Educativo Flexible Tejiendo Saberes” en los ciclos I, II, III IV, V, y VI, para brindar atención en educación a personas objeto de atención de la ARN, familiares y personas de la comunidad a nivel nacional, de acuerdo con lo estipulado en el Anexo No. 1 Especificaciones Técnicas Mínimas</w:t>
            </w:r>
          </w:p>
        </w:tc>
        <w:tc>
          <w:tcPr>
            <w:tcW w:w="2835" w:type="dxa"/>
          </w:tcPr>
          <w:p w14:paraId="28F38219" w14:textId="13DF9A0A"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60195C">
              <w:rPr>
                <w:rFonts w:ascii="Verdana" w:hAnsi="Verdana"/>
                <w:color w:val="000000" w:themeColor="text1"/>
                <w:sz w:val="18"/>
                <w:szCs w:val="18"/>
              </w:rPr>
              <w:t>https://community.secop.gov.co/public/tendering/contractnoticephases/view?ppi=co1.ppi.39239027&amp;isfrompublicarea=true&amp;ismodal=false</w:t>
            </w:r>
          </w:p>
        </w:tc>
      </w:tr>
      <w:tr w:rsidR="00952203" w:rsidRPr="00AB06F3" w14:paraId="626F9EFD"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827EFFF" w14:textId="10C5E670" w:rsidR="00952203" w:rsidRPr="00495C3C" w:rsidRDefault="00952203" w:rsidP="00C401E4">
            <w:pPr>
              <w:pStyle w:val="NormalWeb"/>
              <w:spacing w:after="0" w:afterAutospacing="0" w:line="276" w:lineRule="auto"/>
              <w:ind w:left="708" w:hanging="708"/>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1374-2025</w:t>
            </w:r>
          </w:p>
          <w:p w14:paraId="4AC87765" w14:textId="3593E809" w:rsidR="00952203" w:rsidRPr="00495C3C" w:rsidRDefault="00952203" w:rsidP="00C401E4">
            <w:pPr>
              <w:pStyle w:val="NormalWeb"/>
              <w:spacing w:after="0" w:afterAutospacing="0" w:line="276" w:lineRule="auto"/>
              <w:ind w:left="708" w:hanging="708"/>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Universidad Nacional Abierta y a Distancia</w:t>
            </w:r>
          </w:p>
        </w:tc>
        <w:tc>
          <w:tcPr>
            <w:tcW w:w="3550" w:type="dxa"/>
          </w:tcPr>
          <w:p w14:paraId="07992999" w14:textId="6741706A"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Aunar esfuerzos para que la población objeto de atención de la ARN, acceda a los servicios de Alfabetización, Educación Formal Básica y Media por Ciclos Lectivos Especiales Integrados – CLEI dentro </w:t>
            </w:r>
            <w:r w:rsidRPr="00495C3C">
              <w:rPr>
                <w:rFonts w:ascii="Verdana" w:eastAsia="Verdana" w:hAnsi="Verdana" w:cs="Arial"/>
                <w:color w:val="000000" w:themeColor="text1"/>
                <w:sz w:val="18"/>
                <w:szCs w:val="18"/>
              </w:rPr>
              <w:lastRenderedPageBreak/>
              <w:t>de la modalidad flexible que incluye la formación semipresencial, virtual, a distancia y por módulos a través de la Metodología Maestro Itinerante de la UNAD.</w:t>
            </w:r>
          </w:p>
        </w:tc>
        <w:tc>
          <w:tcPr>
            <w:tcW w:w="2835" w:type="dxa"/>
          </w:tcPr>
          <w:p w14:paraId="19DD8623" w14:textId="11D48B8E" w:rsidR="00952203" w:rsidRPr="0060195C"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91355">
              <w:rPr>
                <w:rFonts w:ascii="Verdana" w:hAnsi="Verdana"/>
                <w:color w:val="000000" w:themeColor="text1"/>
                <w:sz w:val="18"/>
                <w:szCs w:val="18"/>
              </w:rPr>
              <w:lastRenderedPageBreak/>
              <w:t>https://community.secop.gov.co/public/tendering/contractnoticephases/view?ppi=co1.ppi.39421195&amp;isfrompublicarea=true&amp;ismodal=false</w:t>
            </w:r>
          </w:p>
        </w:tc>
      </w:tr>
      <w:tr w:rsidR="00952203" w:rsidRPr="00AB06F3" w14:paraId="202D374D"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E3680F3"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 xml:space="preserve">Convenio 1378-2025 </w:t>
            </w:r>
          </w:p>
          <w:p w14:paraId="553AD7EB" w14:textId="6BFDE0BD"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Resguardo indígena de Jambaló, Cauca:</w:t>
            </w:r>
          </w:p>
        </w:tc>
        <w:tc>
          <w:tcPr>
            <w:tcW w:w="3550" w:type="dxa"/>
          </w:tcPr>
          <w:p w14:paraId="4D7A44DC" w14:textId="05A3932C"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la construcción e implementación del Plan Comunitario de Armonización -PCA en el Resguardo Indígena Jambaló, en el marco de la implementación del Programa Especial de Armonización Indígena PEAI “Caminos para volver al origen.</w:t>
            </w:r>
          </w:p>
        </w:tc>
        <w:tc>
          <w:tcPr>
            <w:tcW w:w="2835" w:type="dxa"/>
          </w:tcPr>
          <w:p w14:paraId="6F51B0A9"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https://www.secop.gov.co/CO1BusinessLine/Tendering/ContractNoticeView/Index?prevCtxLb</w:t>
            </w:r>
          </w:p>
          <w:p w14:paraId="2BF32DA5"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66B09ABD" w14:textId="2B2ADC4C"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 xml:space="preserve">sLine%2fTendering%2fContractNoticeManagement%2fIndex&amp;notice=CO1.NTC.8175712 </w:t>
            </w:r>
          </w:p>
        </w:tc>
      </w:tr>
      <w:tr w:rsidR="00952203" w:rsidRPr="00AB06F3" w14:paraId="049E9738"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03010042" w14:textId="675A884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1379-2025</w:t>
            </w:r>
            <w:r w:rsidRPr="00495C3C">
              <w:rPr>
                <w:rFonts w:ascii="Calibri" w:hAnsi="Calibri" w:cs="Calibri"/>
                <w:b w:val="0"/>
                <w:kern w:val="0"/>
              </w:rPr>
              <w:t xml:space="preserve"> </w:t>
            </w:r>
            <w:r w:rsidRPr="00495C3C">
              <w:rPr>
                <w:rFonts w:ascii="Verdana" w:eastAsia="Verdana" w:hAnsi="Verdana" w:cs="Arial"/>
                <w:b w:val="0"/>
                <w:color w:val="000000" w:themeColor="text1"/>
                <w:sz w:val="18"/>
                <w:szCs w:val="18"/>
              </w:rPr>
              <w:t>Resguardo Indígena Mayasquer (Cumbal, Nariño)</w:t>
            </w:r>
          </w:p>
        </w:tc>
        <w:tc>
          <w:tcPr>
            <w:tcW w:w="3550" w:type="dxa"/>
          </w:tcPr>
          <w:p w14:paraId="58738FBC" w14:textId="7E0ADDC1" w:rsidR="00952203" w:rsidRPr="00495C3C" w:rsidRDefault="00952203" w:rsidP="00C401E4">
            <w:pPr>
              <w:pStyle w:val="NormalWeb"/>
              <w:spacing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la construcción e implementación del Plan Comunitario de Armonización - PCA en el Resguardo Indígena Mayasquer, en el marco de la implementación del Programa Especial de Armonización Indígena PEAI “Caminos para volver al origen</w:t>
            </w:r>
          </w:p>
        </w:tc>
        <w:tc>
          <w:tcPr>
            <w:tcW w:w="2835" w:type="dxa"/>
          </w:tcPr>
          <w:p w14:paraId="46C5D6D3" w14:textId="77777777" w:rsidR="00952203" w:rsidRPr="008740A4"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740A4">
              <w:rPr>
                <w:rFonts w:ascii="Verdana" w:hAnsi="Verdana"/>
                <w:color w:val="000000" w:themeColor="text1"/>
                <w:sz w:val="18"/>
                <w:szCs w:val="18"/>
              </w:rPr>
              <w:t>https://www.secop.gov.co/CO1BusinessLine/Tendering/ContractNoticeView/Index?prevCtxLb</w:t>
            </w:r>
          </w:p>
          <w:p w14:paraId="2ECF25DC" w14:textId="77777777" w:rsidR="00952203" w:rsidRPr="008740A4"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740A4">
              <w:rPr>
                <w:rFonts w:ascii="Verdana" w:hAnsi="Verdana"/>
                <w:color w:val="000000" w:themeColor="text1"/>
                <w:sz w:val="18"/>
                <w:szCs w:val="18"/>
              </w:rPr>
              <w:t>l=Buscar+procesos&amp;prevCtxUrl=https%3a%2f%2fwww.secop.gov.co%3a443%2fCO1Busines</w:t>
            </w:r>
          </w:p>
          <w:p w14:paraId="645DFC22" w14:textId="5BEC2E2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sLine%2fTendering%2fContractNoticeManagement%2fIndex&amp;notice=CO1.NTC.8182526</w:t>
            </w:r>
          </w:p>
        </w:tc>
      </w:tr>
      <w:tr w:rsidR="00952203" w:rsidRPr="00AB06F3" w14:paraId="26065C6E"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537D0B7" w14:textId="1E691866"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1380-2025 Resguardo Indígena Cañamomo Lomaprieta (Riosucio y Supía, Caldas)</w:t>
            </w:r>
          </w:p>
        </w:tc>
        <w:tc>
          <w:tcPr>
            <w:tcW w:w="3550" w:type="dxa"/>
          </w:tcPr>
          <w:p w14:paraId="594EDD19" w14:textId="3FE1700C"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la construcción e implementación del Plan Comunitario de Armonización -PCA en el Resguardo indígena Cañamomo y Lomaprieta, en el marco de la implementación del Programa Especial de Armonización Indígena PEAI “Caminos para volver al origen”.</w:t>
            </w:r>
          </w:p>
        </w:tc>
        <w:tc>
          <w:tcPr>
            <w:tcW w:w="2835" w:type="dxa"/>
          </w:tcPr>
          <w:p w14:paraId="5E028E77"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https://www.secop.gov.co/CO1BusinessLine/Tendering/ContractNoticeView/Index?prevCtxLb</w:t>
            </w:r>
          </w:p>
          <w:p w14:paraId="2320637E"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4184FDB8" w14:textId="365490B4"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sLine%2fTendering%2fContractNoticeManagement%2fIndex&amp;notice=CO1.NTC.8182080</w:t>
            </w:r>
            <w:r>
              <w:rPr>
                <w:rFonts w:ascii="Verdana" w:hAnsi="Verdana"/>
                <w:color w:val="000000" w:themeColor="text1"/>
                <w:sz w:val="18"/>
                <w:szCs w:val="18"/>
              </w:rPr>
              <w:t xml:space="preserve"> </w:t>
            </w:r>
          </w:p>
        </w:tc>
      </w:tr>
      <w:tr w:rsidR="00952203" w:rsidRPr="00AB06F3" w14:paraId="400AE208"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67CA097D" w14:textId="7074293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1381-2025 Consejo Comunitario El Recuerdo de Nuestros Ancestros del Río Mejicano (San Andrés de Tumaco, Nariño)</w:t>
            </w:r>
          </w:p>
        </w:tc>
        <w:tc>
          <w:tcPr>
            <w:tcW w:w="3550" w:type="dxa"/>
          </w:tcPr>
          <w:p w14:paraId="4CDAFBE4" w14:textId="35BAFA57"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Construir e implementar el plan comunitario de armonización -PCA, en el territorio del consejo comunitario el recuerdo de nuestros ancestros del río mejicano, en el marco de la implementación del programa especial de armonización-pea para la reintegración y </w:t>
            </w:r>
            <w:r w:rsidRPr="00495C3C">
              <w:rPr>
                <w:rFonts w:ascii="Verdana" w:eastAsia="Verdana" w:hAnsi="Verdana" w:cs="Arial"/>
                <w:color w:val="000000" w:themeColor="text1"/>
                <w:sz w:val="18"/>
                <w:szCs w:val="18"/>
              </w:rPr>
              <w:lastRenderedPageBreak/>
              <w:t>reincorporación social y económica, con enfoque diferencial étnico y de género para las comunidades negras, afrocolombianas, raizales y palenqueras.</w:t>
            </w:r>
          </w:p>
        </w:tc>
        <w:tc>
          <w:tcPr>
            <w:tcW w:w="2835" w:type="dxa"/>
          </w:tcPr>
          <w:p w14:paraId="6B5D87F3"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lastRenderedPageBreak/>
              <w:t>https://www.secop.gov.co/CO1BusinessLine/Tendering/ContractNoticeView/Index?prevCtxLb</w:t>
            </w:r>
          </w:p>
          <w:p w14:paraId="7E355D93"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07FE40DC" w14:textId="7FD8AC3D"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lastRenderedPageBreak/>
              <w:t>sLine%2fTendering%2fContractNoticeManagement%2fIndex&amp;notice=CO1.NTC.8176417</w:t>
            </w:r>
            <w:r>
              <w:rPr>
                <w:rFonts w:ascii="Verdana" w:hAnsi="Verdana"/>
                <w:color w:val="000000" w:themeColor="text1"/>
                <w:sz w:val="18"/>
                <w:szCs w:val="18"/>
              </w:rPr>
              <w:t xml:space="preserve"> </w:t>
            </w:r>
          </w:p>
        </w:tc>
      </w:tr>
      <w:tr w:rsidR="00952203" w:rsidRPr="00AB06F3" w14:paraId="5CC54F25"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80022F0"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lastRenderedPageBreak/>
              <w:t>Contrato 1382-2025</w:t>
            </w:r>
          </w:p>
          <w:p w14:paraId="6E7F9429" w14:textId="45175DC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Consejo Comunitario Mayor de la Comunidad Negra del Río Jiguamiandó (Carmen del Darién, Chocó)</w:t>
            </w:r>
          </w:p>
        </w:tc>
        <w:tc>
          <w:tcPr>
            <w:tcW w:w="3550" w:type="dxa"/>
          </w:tcPr>
          <w:p w14:paraId="2F63DADD" w14:textId="17EF3FE0"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Construir e implementar el plan comunitario de armonización -PCA, en el territorio del consejo comunitario mayor de la comunidad negra del rio Jiguamiandó - choco, en el marco de la implementación del programa especial de armonización-pea para la reintegración y reincorporación social y económica, con enfoque diferencial étnico y de género para las comunidades negras, afrocolombianas, raizales y palenqueras.</w:t>
            </w:r>
          </w:p>
        </w:tc>
        <w:tc>
          <w:tcPr>
            <w:tcW w:w="2835" w:type="dxa"/>
          </w:tcPr>
          <w:p w14:paraId="3053A36E"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https://www.secop.gov.co/CO1BusinessLine/Tendering/ContractNoticeView/Index?prevCtxLb</w:t>
            </w:r>
          </w:p>
          <w:p w14:paraId="13B175E0"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24D00E67" w14:textId="00D82A3A"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sLine%2fTendering%2fContractNoticeManagement%2fIndex&amp;notice=CO1.NTC.8198060</w:t>
            </w:r>
            <w:r>
              <w:rPr>
                <w:rFonts w:ascii="Verdana" w:hAnsi="Verdana"/>
                <w:color w:val="000000" w:themeColor="text1"/>
                <w:sz w:val="18"/>
                <w:szCs w:val="18"/>
              </w:rPr>
              <w:t xml:space="preserve"> </w:t>
            </w:r>
          </w:p>
        </w:tc>
      </w:tr>
      <w:tr w:rsidR="00952203" w:rsidRPr="00AB06F3" w14:paraId="504354EB"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204E198"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1383 -2025</w:t>
            </w:r>
          </w:p>
          <w:p w14:paraId="16DF45AE" w14:textId="03FBFBBD"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Fondo Nacional de Vivienda Fonvivienda</w:t>
            </w:r>
          </w:p>
        </w:tc>
        <w:tc>
          <w:tcPr>
            <w:tcW w:w="3550" w:type="dxa"/>
          </w:tcPr>
          <w:p w14:paraId="0E80D19F" w14:textId="46800639"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entre Fonvivienda y la agencia para la reincorporación y la normalización, para la ejecución y financiación de subsidios familiares de vivienda y acciones asociadas a procesos de habitabilidad para las personas en proceso de reincorporación.</w:t>
            </w:r>
          </w:p>
        </w:tc>
        <w:tc>
          <w:tcPr>
            <w:tcW w:w="2835" w:type="dxa"/>
          </w:tcPr>
          <w:p w14:paraId="7EF67715" w14:textId="051BE268"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4458C0">
              <w:rPr>
                <w:rFonts w:ascii="Verdana" w:hAnsi="Verdana"/>
                <w:color w:val="000000" w:themeColor="text1"/>
                <w:sz w:val="18"/>
                <w:szCs w:val="18"/>
              </w:rPr>
              <w:t>https://community.secop.gov.co/public/tendering/contractnoticephases/view?ppi=co1.ppi.39674128&amp;isfrompublicarea=true&amp;ismodal=false</w:t>
            </w:r>
          </w:p>
        </w:tc>
      </w:tr>
      <w:tr w:rsidR="00952203" w:rsidRPr="00AB06F3" w14:paraId="6FAF6F7F"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AB551E2" w14:textId="5D5F7261"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1404-2025 Consejo Comunitario Mayor de la Asociación Campesina Integral del Atrato –COCOMACIA (Vigía del Fuerte, Antioquia)</w:t>
            </w:r>
          </w:p>
        </w:tc>
        <w:tc>
          <w:tcPr>
            <w:tcW w:w="3550" w:type="dxa"/>
          </w:tcPr>
          <w:p w14:paraId="391319B4" w14:textId="6931C50B"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Construir e implementar el plan comunitario de armonización - PCA, en el consejo comunitario local de Vegáez, perteneciente al título colectivo del consejo comunitario mayor de la asociación campesina integral del Atrato - Cocomacia, en el marco de la implementación del programa especial de armonización-pea para la reintegración y reincorporación social y económica, con enfoque diferencial étnico y de género, para las comunidades negras, afrocolombianas, raizales y palenqueras”.</w:t>
            </w:r>
          </w:p>
        </w:tc>
        <w:tc>
          <w:tcPr>
            <w:tcW w:w="2835" w:type="dxa"/>
          </w:tcPr>
          <w:p w14:paraId="4CCEC0E4"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https://www.secop.gov.co/CO1BusinessLine/Tendering/ContractNoticeView/Index?prevCtxLb</w:t>
            </w:r>
          </w:p>
          <w:p w14:paraId="32CAC857" w14:textId="77777777"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l=Buscar+procesos&amp;prevCtxUrl=https%3a%2f%2fwww.secop.gov.co%3a443%2fCO1Busines</w:t>
            </w:r>
          </w:p>
          <w:p w14:paraId="2CCDD69F" w14:textId="7F15C29E"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945F86">
              <w:rPr>
                <w:rFonts w:ascii="Verdana" w:hAnsi="Verdana"/>
                <w:color w:val="000000" w:themeColor="text1"/>
                <w:sz w:val="18"/>
                <w:szCs w:val="18"/>
              </w:rPr>
              <w:t>sLine%2fTendering%2fContractNoticeManagement%2fIndex&amp;notice=CO1.NTC.8216615</w:t>
            </w:r>
            <w:r>
              <w:rPr>
                <w:rFonts w:ascii="Verdana" w:hAnsi="Verdana"/>
                <w:color w:val="000000" w:themeColor="text1"/>
                <w:sz w:val="18"/>
                <w:szCs w:val="18"/>
              </w:rPr>
              <w:t xml:space="preserve"> </w:t>
            </w:r>
          </w:p>
        </w:tc>
      </w:tr>
      <w:tr w:rsidR="00952203" w:rsidRPr="00AB06F3" w14:paraId="09BFACCE"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48BEDF6"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1429- 2025</w:t>
            </w:r>
          </w:p>
          <w:p w14:paraId="2B81A1FE" w14:textId="6CB92494"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Fondo Nacional de Vivienda Fonvivienda</w:t>
            </w:r>
          </w:p>
        </w:tc>
        <w:tc>
          <w:tcPr>
            <w:tcW w:w="3550" w:type="dxa"/>
          </w:tcPr>
          <w:p w14:paraId="27306910" w14:textId="07B79E41"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Aunar esfuerzos jurídicos, administrativos, técnicos y financieros entre el Fondo Nacional de Vivienda - FONVIVIENDA y la Agencia para la Reincorporación y la Normalización - ARN, para la financiación y ejecución de subsidios </w:t>
            </w:r>
            <w:r w:rsidRPr="00495C3C">
              <w:rPr>
                <w:rFonts w:ascii="Verdana" w:eastAsia="Verdana" w:hAnsi="Verdana" w:cs="Arial"/>
                <w:color w:val="000000" w:themeColor="text1"/>
                <w:sz w:val="18"/>
                <w:szCs w:val="18"/>
              </w:rPr>
              <w:lastRenderedPageBreak/>
              <w:t>familiares de vivienda rural en especie, y acciones asociadas a procesos de habitabilidad focalizado en las personas en proceso de reincorporación en el ETCR Charras en el Departamento del Guaviare, en cumplimiento del componente de habitabilidad y vivienda”.</w:t>
            </w:r>
          </w:p>
        </w:tc>
        <w:tc>
          <w:tcPr>
            <w:tcW w:w="2835" w:type="dxa"/>
          </w:tcPr>
          <w:p w14:paraId="073B51D9" w14:textId="53C09CED"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4D57A0">
              <w:rPr>
                <w:rFonts w:ascii="Verdana" w:hAnsi="Verdana"/>
                <w:color w:val="000000" w:themeColor="text1"/>
                <w:sz w:val="18"/>
                <w:szCs w:val="18"/>
              </w:rPr>
              <w:lastRenderedPageBreak/>
              <w:t>https://community.secop.gov.co/Public/Tendering/ContractNoticePhases/View?PPI=CO1.PPI.40913898&amp;isFromPublicArea=True&amp;isModal=False</w:t>
            </w:r>
          </w:p>
        </w:tc>
      </w:tr>
      <w:tr w:rsidR="00952203" w:rsidRPr="00AB06F3" w14:paraId="0581681E"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1C057C7" w14:textId="0F134B79"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de cooperación 1458 de 2025 con la Fundación ANDI</w:t>
            </w:r>
          </w:p>
        </w:tc>
        <w:tc>
          <w:tcPr>
            <w:tcW w:w="3550" w:type="dxa"/>
          </w:tcPr>
          <w:p w14:paraId="7AF46447" w14:textId="349C6166"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entre la Fundación ANDI y la Agencia para la Reincorporación y la Normalización - ARN, para la realización de acciones de intercambio de información para la creación de la Edición Nacional del Directorio "¡SE LE TIENE!", con el fin de incluir y visibilizar los proyectos productivos liderados por firmantes de paz</w:t>
            </w:r>
          </w:p>
        </w:tc>
        <w:tc>
          <w:tcPr>
            <w:tcW w:w="2835" w:type="dxa"/>
          </w:tcPr>
          <w:p w14:paraId="0CB7E2B8" w14:textId="227103B3"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096A13">
              <w:rPr>
                <w:rFonts w:ascii="Verdana" w:hAnsi="Verdana"/>
                <w:color w:val="000000" w:themeColor="text1"/>
                <w:sz w:val="18"/>
                <w:szCs w:val="18"/>
              </w:rPr>
              <w:t>https://community.secop.gov.co/Public/Tendering/OpportunityDetail/Index?noticeUID=CO1.NTC.8591496&amp;isFromPublicArea=True&amp;isModal=False</w:t>
            </w:r>
          </w:p>
        </w:tc>
      </w:tr>
      <w:tr w:rsidR="00952203" w:rsidRPr="00AB06F3" w14:paraId="43A64B62"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C296667" w14:textId="2EB1A8C3"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1467 – 2025</w:t>
            </w:r>
          </w:p>
          <w:p w14:paraId="3EF665E2" w14:textId="22FCB04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Ut Merani Compañía Pedagógica S.A.S</w:t>
            </w:r>
          </w:p>
        </w:tc>
        <w:tc>
          <w:tcPr>
            <w:tcW w:w="3550" w:type="dxa"/>
          </w:tcPr>
          <w:p w14:paraId="0DAF5430" w14:textId="2D8A77F3"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Prestar servicios para el desarrollo de acciones orientadas al fortalecimiento de capacidades y habilidades en los ámbitos individual, comunitario e institucional, con el propósito de contribuir a la implementación de la Estrategia de Prevención y Superación de la Estigmatización hacia las personas en proceso de reincorporación, sus familias y comunidades, conforme a las condiciones establecidas en el Anexo No. 1 “Especificaciones Técnicas Mínimas”.</w:t>
            </w:r>
          </w:p>
        </w:tc>
        <w:tc>
          <w:tcPr>
            <w:tcW w:w="2835" w:type="dxa"/>
          </w:tcPr>
          <w:p w14:paraId="1A3D7B0C" w14:textId="477ACEC6" w:rsidR="00952203" w:rsidRPr="00096A1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693617">
              <w:rPr>
                <w:rFonts w:ascii="Verdana" w:hAnsi="Verdana"/>
                <w:color w:val="000000" w:themeColor="text1"/>
                <w:sz w:val="18"/>
                <w:szCs w:val="18"/>
              </w:rPr>
              <w:t>https://community.secop.gov.co/Public/Tendering/OpportunityDetail/Index?noticeUID=CO1.NTC.8371244&amp;isFromPublicArea=True&amp;isModal=False</w:t>
            </w:r>
          </w:p>
        </w:tc>
      </w:tr>
      <w:tr w:rsidR="00952203" w:rsidRPr="00AB06F3" w14:paraId="44F76105"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3AC941A" w14:textId="156DACFF"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1473 – 2025</w:t>
            </w:r>
          </w:p>
          <w:p w14:paraId="0FBCF56C" w14:textId="3EBAA22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Ut Merani Compañía Pedagógica S.A.S</w:t>
            </w:r>
          </w:p>
        </w:tc>
        <w:tc>
          <w:tcPr>
            <w:tcW w:w="3550" w:type="dxa"/>
          </w:tcPr>
          <w:p w14:paraId="5F1FDB51" w14:textId="05395128"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Prestar servicios para la implementación de procesos comunitarios orientados al fortalecimiento de los entornos protectores de Niños, Niñas, Adolescentes y Jóvenes (NNAJ), en sus entornos familiares, comunitarios e institucionales que contribuyan a la prevención temprana del Reclutamiento, por medio del fortalecimiento de capacidades y habilidades para la convivencia y la reconciliación.</w:t>
            </w:r>
          </w:p>
        </w:tc>
        <w:tc>
          <w:tcPr>
            <w:tcW w:w="2835" w:type="dxa"/>
          </w:tcPr>
          <w:p w14:paraId="642D9D46" w14:textId="28463E47" w:rsidR="00952203" w:rsidRPr="00693617"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BD22D6">
              <w:rPr>
                <w:rFonts w:ascii="Verdana" w:hAnsi="Verdana"/>
                <w:color w:val="000000" w:themeColor="text1"/>
                <w:sz w:val="18"/>
                <w:szCs w:val="18"/>
              </w:rPr>
              <w:t>https://community.secop.gov.co/Public/Tendering/OpportunityDetail/Index?noticeUID=CO1.NTC.8375608&amp;isFromPublicArea=True&amp;isModal=False</w:t>
            </w:r>
          </w:p>
        </w:tc>
      </w:tr>
      <w:tr w:rsidR="00952203" w:rsidRPr="00AB06F3" w14:paraId="59C3CF53"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65E4B32"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1467 – 2025</w:t>
            </w:r>
          </w:p>
          <w:p w14:paraId="17D5CC2B" w14:textId="7A77A011"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Ut Merani Compañía Pedagógica S.A.S</w:t>
            </w:r>
          </w:p>
        </w:tc>
        <w:tc>
          <w:tcPr>
            <w:tcW w:w="3550" w:type="dxa"/>
          </w:tcPr>
          <w:p w14:paraId="000650FC" w14:textId="280F3BAC"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Aunar esfuerzos técnicos, administrativos y financieros para facilitar la ejecución y el acompañamiento de las actividades </w:t>
            </w:r>
            <w:r w:rsidRPr="00495C3C">
              <w:rPr>
                <w:rFonts w:ascii="Verdana" w:eastAsia="Verdana" w:hAnsi="Verdana" w:cs="Arial"/>
                <w:color w:val="000000" w:themeColor="text1"/>
                <w:sz w:val="18"/>
                <w:szCs w:val="18"/>
              </w:rPr>
              <w:lastRenderedPageBreak/>
              <w:t>de fortalecimiento a los proyectos e iniciativas productivas de reincorporación económica, en el marco de la implementación de la Estrategia de Sostenibilidad dirigida a la población en proceso de reincorporación de conformidad con los lineamientos y criterios establecidos por la Agencia para la Reincorporación y la Normalización (ARN).”</w:t>
            </w:r>
          </w:p>
        </w:tc>
        <w:tc>
          <w:tcPr>
            <w:tcW w:w="2835" w:type="dxa"/>
          </w:tcPr>
          <w:p w14:paraId="0D5D9257" w14:textId="0F8FEA21" w:rsidR="00952203" w:rsidRPr="00096A1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93658">
              <w:rPr>
                <w:rFonts w:ascii="Verdana" w:hAnsi="Verdana"/>
                <w:color w:val="000000" w:themeColor="text1"/>
                <w:sz w:val="18"/>
                <w:szCs w:val="18"/>
              </w:rPr>
              <w:lastRenderedPageBreak/>
              <w:t>https://community.secop.gov.co/Public/Tendering/OpportunityDetail/Index?noticeUID=CO1.NTC.8865969&amp;isFro</w:t>
            </w:r>
            <w:r w:rsidRPr="00D93658">
              <w:rPr>
                <w:rFonts w:ascii="Verdana" w:hAnsi="Verdana"/>
                <w:color w:val="000000" w:themeColor="text1"/>
                <w:sz w:val="18"/>
                <w:szCs w:val="18"/>
              </w:rPr>
              <w:lastRenderedPageBreak/>
              <w:t>mPublicArea=True&amp;isModal=False</w:t>
            </w:r>
          </w:p>
        </w:tc>
      </w:tr>
      <w:tr w:rsidR="00952203" w:rsidRPr="00AB06F3" w14:paraId="2B4A9B3B"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01A2063B" w14:textId="763B214F"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de cooperación internacional 1490-2025</w:t>
            </w:r>
          </w:p>
          <w:p w14:paraId="3D0DFEBD" w14:textId="539A4EC1"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We Effect</w:t>
            </w:r>
          </w:p>
          <w:p w14:paraId="29E9B2DB"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p>
        </w:tc>
        <w:tc>
          <w:tcPr>
            <w:tcW w:w="3550" w:type="dxa"/>
          </w:tcPr>
          <w:p w14:paraId="057F3FF9" w14:textId="662FCAB2"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facilitar la implementación de la Estrategia de Inclusión laboral diseñada por la ARN, con un enfoque diferencial que garantice la participación efectiva de personas en proceso de reincorporación, especialmente aquellas con discapacidad y otros enfoques poblacionales priorizados</w:t>
            </w:r>
          </w:p>
        </w:tc>
        <w:tc>
          <w:tcPr>
            <w:tcW w:w="2835" w:type="dxa"/>
          </w:tcPr>
          <w:p w14:paraId="7DC5E0B6" w14:textId="5D00A26A" w:rsidR="00952203" w:rsidRPr="00D9365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545306">
              <w:rPr>
                <w:rFonts w:ascii="Verdana" w:hAnsi="Verdana"/>
                <w:color w:val="000000" w:themeColor="text1"/>
                <w:sz w:val="18"/>
                <w:szCs w:val="18"/>
              </w:rPr>
              <w:t>https://community.secop.gov.co/Public/Tendering/OpportunityDetail/Index?noticeUID=CO1.NTC.8678992&amp;isFromPublicArea=True&amp;isModal=False</w:t>
            </w:r>
          </w:p>
        </w:tc>
      </w:tr>
      <w:tr w:rsidR="00952203" w:rsidRPr="00AB06F3" w14:paraId="40003571"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EAB9FDE" w14:textId="1F0CC89A"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1500 - 2025 Régimen Especial - Decreto 092 de 2017</w:t>
            </w:r>
          </w:p>
          <w:p w14:paraId="2448FA99" w14:textId="0A43ED9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Corporación Para el Desarrollo Integral de la Mujer del Pacifico Colombiano</w:t>
            </w:r>
          </w:p>
        </w:tc>
        <w:tc>
          <w:tcPr>
            <w:tcW w:w="3550" w:type="dxa"/>
          </w:tcPr>
          <w:p w14:paraId="1EC28199" w14:textId="0BBFA2C0"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Aunar esfuerzos técnicos, administrativos y financieros para implementar acciones que permitan el acompañamiento psicosocial y jurídico, así como el fortalecimiento de redes de apoyo comunitaria para mujeres familiares e hijos e hijas menores de 18 años de firmantes víctimas de homicidio y víctimas de desaparición forzada, en cumplimiento del autosar </w:t>
            </w:r>
            <w:r w:rsidR="00B917ED">
              <w:rPr>
                <w:rFonts w:ascii="Verdana" w:eastAsia="Verdana" w:hAnsi="Verdana" w:cs="Arial"/>
                <w:color w:val="000000" w:themeColor="text1"/>
                <w:sz w:val="18"/>
                <w:szCs w:val="18"/>
              </w:rPr>
              <w:t>IA</w:t>
            </w:r>
            <w:r w:rsidRPr="00495C3C">
              <w:rPr>
                <w:rFonts w:ascii="Verdana" w:eastAsia="Verdana" w:hAnsi="Verdana" w:cs="Arial"/>
                <w:color w:val="000000" w:themeColor="text1"/>
                <w:sz w:val="18"/>
                <w:szCs w:val="18"/>
              </w:rPr>
              <w:t xml:space="preserve"> 067 de 2021, la resolución 0275 de 2025 y el eje temático de programas especiales del programa de reincorporación integral</w:t>
            </w:r>
          </w:p>
        </w:tc>
        <w:tc>
          <w:tcPr>
            <w:tcW w:w="2835" w:type="dxa"/>
          </w:tcPr>
          <w:p w14:paraId="26F27F09" w14:textId="4EE26C6F" w:rsidR="00952203" w:rsidRPr="0054530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AA0D9C">
              <w:rPr>
                <w:rFonts w:ascii="Verdana" w:hAnsi="Verdana"/>
                <w:color w:val="000000" w:themeColor="text1"/>
                <w:sz w:val="18"/>
                <w:szCs w:val="18"/>
              </w:rPr>
              <w:t>https://community.secop.gov.co/Public/Tendering/OpportunityDetail/Index?noticeUID=CO1.NTC.8443014&amp;isFromPublicArea=True&amp;isModal=False</w:t>
            </w:r>
          </w:p>
        </w:tc>
      </w:tr>
      <w:tr w:rsidR="00952203" w:rsidRPr="00AB06F3" w14:paraId="6587AA5E"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BC178C4" w14:textId="298ABFF1"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1513 – 2025</w:t>
            </w:r>
          </w:p>
          <w:p w14:paraId="71492C91" w14:textId="662578FF"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Asesoría y Gestión CIA S.A.S</w:t>
            </w:r>
          </w:p>
        </w:tc>
        <w:tc>
          <w:tcPr>
            <w:tcW w:w="3550" w:type="dxa"/>
          </w:tcPr>
          <w:p w14:paraId="1F3F9E61" w14:textId="6C8D5CDA"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Prestar servicios de acompañamiento para el bienestar psicosocial enfocado en el fortalecimiento de capacidades y habilidades para la vida de personas en proceso de reincorporación.</w:t>
            </w:r>
          </w:p>
        </w:tc>
        <w:tc>
          <w:tcPr>
            <w:tcW w:w="2835" w:type="dxa"/>
          </w:tcPr>
          <w:p w14:paraId="66ABBD3D" w14:textId="10098044" w:rsidR="00952203" w:rsidRPr="00AA0D9C"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AB51B3">
              <w:rPr>
                <w:rFonts w:ascii="Verdana" w:hAnsi="Verdana"/>
                <w:color w:val="000000" w:themeColor="text1"/>
                <w:sz w:val="18"/>
                <w:szCs w:val="18"/>
              </w:rPr>
              <w:t>https://community.secop.gov.co/Public/Tendering/OpportunityDetail/Index?noticeUID=CO1.NTC.8528545&amp;isFromPublicArea=True&amp;isModal=False</w:t>
            </w:r>
          </w:p>
        </w:tc>
      </w:tr>
      <w:tr w:rsidR="00952203" w:rsidRPr="00AB06F3" w14:paraId="545F6D11"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6BE81544" w14:textId="4F4035E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de cooperación internacional 1537-2025</w:t>
            </w:r>
          </w:p>
          <w:p w14:paraId="318AE8AF" w14:textId="662906DC"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lastRenderedPageBreak/>
              <w:t>Organización Internacional Para las Migraciones - OIM</w:t>
            </w:r>
          </w:p>
          <w:p w14:paraId="636C0537"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p>
        </w:tc>
        <w:tc>
          <w:tcPr>
            <w:tcW w:w="3550" w:type="dxa"/>
          </w:tcPr>
          <w:p w14:paraId="4210E7EC" w14:textId="0143D01F"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lastRenderedPageBreak/>
              <w:t xml:space="preserve">Aunar esfuerzos para el desarrollo de la Estrategia de Asistencia Técnica dirigida a proyectos productivos Individuales e individuales asociativos, de acuerdo con los lineamientos técnicos establecidos </w:t>
            </w:r>
            <w:r w:rsidRPr="00495C3C">
              <w:rPr>
                <w:rFonts w:ascii="Verdana" w:eastAsia="Verdana" w:hAnsi="Verdana" w:cs="Arial"/>
                <w:color w:val="000000" w:themeColor="text1"/>
                <w:sz w:val="18"/>
                <w:szCs w:val="18"/>
              </w:rPr>
              <w:lastRenderedPageBreak/>
              <w:t>en el PAATI y de la Estrategia de Acompañamiento para la Comercialización y Acceso a Mercados de conformidad con los lineamientos de la ARN.</w:t>
            </w:r>
          </w:p>
        </w:tc>
        <w:tc>
          <w:tcPr>
            <w:tcW w:w="2835" w:type="dxa"/>
          </w:tcPr>
          <w:p w14:paraId="1D9E1384" w14:textId="18C87BF1" w:rsidR="00952203" w:rsidRPr="0054530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BF4A3F">
              <w:rPr>
                <w:rFonts w:ascii="Verdana" w:hAnsi="Verdana"/>
                <w:color w:val="000000" w:themeColor="text1"/>
                <w:sz w:val="18"/>
                <w:szCs w:val="18"/>
              </w:rPr>
              <w:lastRenderedPageBreak/>
              <w:t>https://community.secop.gov.co/Public/Tendering/OpportunityDetail/Index?noticeUID=CO1.NTC.8837660&amp;isFromPublicArea=True&amp;isModal=False</w:t>
            </w:r>
          </w:p>
        </w:tc>
      </w:tr>
      <w:tr w:rsidR="00952203" w:rsidRPr="00AB06F3" w14:paraId="101E4A88"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2A9C349" w14:textId="422C9FAA"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1546- 2025</w:t>
            </w:r>
          </w:p>
          <w:p w14:paraId="30B2E50B" w14:textId="75B5AACC"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Fondo Nacional de Vivienda Fonvivienda</w:t>
            </w:r>
          </w:p>
        </w:tc>
        <w:tc>
          <w:tcPr>
            <w:tcW w:w="3550" w:type="dxa"/>
          </w:tcPr>
          <w:p w14:paraId="5A099C87" w14:textId="239C22C9"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jurídicos, administrativos, técnicos y financieros entre El Fondo Nacional de Vivienda - FONVIVIENDA y la Agencia para la Reincorporación y la Normalización - ARN, para la financiación y ejecución de subsidios familiares de vivienda rural en especie, y acciones asociadas a procesos de habitabilidad focalizado en las personas en proceso de reincorporación para el ETCR Carrizal en el Departamento de Antioquia, en cumplimiento del componente de habitabilidad y vivienda</w:t>
            </w:r>
          </w:p>
        </w:tc>
        <w:tc>
          <w:tcPr>
            <w:tcW w:w="2835" w:type="dxa"/>
          </w:tcPr>
          <w:p w14:paraId="3DC6D676" w14:textId="676AD961" w:rsidR="00952203" w:rsidRPr="00096A1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E5970">
              <w:rPr>
                <w:rFonts w:ascii="Verdana" w:hAnsi="Verdana"/>
                <w:color w:val="000000" w:themeColor="text1"/>
                <w:sz w:val="18"/>
                <w:szCs w:val="18"/>
              </w:rPr>
              <w:t>https://community.secop.gov.co/Public/Tendering/OpportunityDetail/Index?noticeUID=CO1.NTC.8892587&amp;isFromPublicArea=True&amp;isModal=False</w:t>
            </w:r>
          </w:p>
        </w:tc>
      </w:tr>
      <w:tr w:rsidR="00952203" w:rsidRPr="00AB06F3" w14:paraId="6A811AC7"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2947F50"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1548-2025</w:t>
            </w:r>
          </w:p>
          <w:p w14:paraId="0C8B035E" w14:textId="7C1956CA"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Universidad Nacional de Colombia</w:t>
            </w:r>
          </w:p>
        </w:tc>
        <w:tc>
          <w:tcPr>
            <w:tcW w:w="3550" w:type="dxa"/>
          </w:tcPr>
          <w:p w14:paraId="4C0CE32C" w14:textId="276E74F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para propiciar escenarios que estimulen el desarrollo de habilidades para la innovación, dirigidos a participantes de los procesos misionales que acompaña la ARN, con el fin de potenciar su rol como agentes de cambio, promoviendo la creación de iniciativas y acciones que aborden problemáticas de los territorios con un enfoque comunitario</w:t>
            </w:r>
          </w:p>
        </w:tc>
        <w:tc>
          <w:tcPr>
            <w:tcW w:w="2835" w:type="dxa"/>
          </w:tcPr>
          <w:p w14:paraId="2573E767" w14:textId="4DB7F538" w:rsidR="00952203" w:rsidRPr="008E5970"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537A6B">
              <w:rPr>
                <w:rFonts w:ascii="Verdana" w:hAnsi="Verdana"/>
                <w:color w:val="000000" w:themeColor="text1"/>
                <w:sz w:val="18"/>
                <w:szCs w:val="18"/>
              </w:rPr>
              <w:t>https://community.secop.gov.co/Public/Tendering/OpportunityDetail/Index?noticeUID=CO1.NTC.8824141&amp;isFromPublicArea=True&amp;isModal=False</w:t>
            </w:r>
          </w:p>
        </w:tc>
      </w:tr>
      <w:tr w:rsidR="00952203" w:rsidRPr="00AB06F3" w14:paraId="0942CE13"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0C83DBE"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1550-2025</w:t>
            </w:r>
          </w:p>
          <w:p w14:paraId="78463E23" w14:textId="1D7A57C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Universidad de Antioquia</w:t>
            </w:r>
          </w:p>
        </w:tc>
        <w:tc>
          <w:tcPr>
            <w:tcW w:w="3550" w:type="dxa"/>
          </w:tcPr>
          <w:p w14:paraId="39CAC66B" w14:textId="021332D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financieros y humanos para el diseño, desarrollo e implementación de acciones formativas estratégicas en el marco de la Reincorporación Política, orientadas al fortalecimiento de las capacidades de participación ciudadana y política, ejercicio de control social mediante veedurías ciudadanas y participación electoral de las personas en proceso de reincorporación</w:t>
            </w:r>
          </w:p>
        </w:tc>
        <w:tc>
          <w:tcPr>
            <w:tcW w:w="2835" w:type="dxa"/>
          </w:tcPr>
          <w:p w14:paraId="332ABA88" w14:textId="4D89D124" w:rsidR="00952203" w:rsidRPr="008E5970"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1F74EF">
              <w:rPr>
                <w:rFonts w:ascii="Verdana" w:hAnsi="Verdana"/>
                <w:color w:val="000000" w:themeColor="text1"/>
                <w:sz w:val="18"/>
                <w:szCs w:val="18"/>
              </w:rPr>
              <w:t>https://community.secop.gov.co/Public/Tendering/OpportunityDetail/Index?noticeUID=CO1.NTC.8831675&amp;isFromPublicArea=True&amp;isModal=False</w:t>
            </w:r>
          </w:p>
        </w:tc>
      </w:tr>
      <w:tr w:rsidR="00952203" w:rsidRPr="00AB06F3" w14:paraId="691DC5D7"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694AE333" w14:textId="7E1948C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 xml:space="preserve">Convenio de cooperación internacional 1553 de 2025 con la Organización </w:t>
            </w:r>
            <w:r w:rsidRPr="00495C3C">
              <w:rPr>
                <w:rFonts w:ascii="Verdana" w:eastAsia="Verdana" w:hAnsi="Verdana" w:cs="Arial"/>
                <w:b w:val="0"/>
                <w:color w:val="000000" w:themeColor="text1"/>
                <w:sz w:val="18"/>
                <w:szCs w:val="18"/>
              </w:rPr>
              <w:lastRenderedPageBreak/>
              <w:t>Internacional para las migraciones - OIM</w:t>
            </w:r>
          </w:p>
        </w:tc>
        <w:tc>
          <w:tcPr>
            <w:tcW w:w="3550" w:type="dxa"/>
          </w:tcPr>
          <w:p w14:paraId="78FB05B3" w14:textId="2A080CF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lastRenderedPageBreak/>
              <w:t xml:space="preserve">Aunar esfuerzos para garantizar los componentes técnicos, metodológicos, administrativos y logísticos requeridos, en el marco de la Reunificación Familiar de las personas en proceso de </w:t>
            </w:r>
            <w:r w:rsidRPr="00495C3C">
              <w:rPr>
                <w:rFonts w:ascii="Verdana" w:eastAsia="Verdana" w:hAnsi="Verdana" w:cs="Arial"/>
                <w:color w:val="000000" w:themeColor="text1"/>
                <w:sz w:val="18"/>
                <w:szCs w:val="18"/>
              </w:rPr>
              <w:lastRenderedPageBreak/>
              <w:t>reincorporación con sus familias, que tuvieron que separarse, en razón, a las dinámicas del conflicto armado interno, en cumplimiento de lo establecido en el Acuerdo Final de Paz, el Programa de Reunificación Familiar y el Programa de Reincorporación Integral.</w:t>
            </w:r>
          </w:p>
        </w:tc>
        <w:tc>
          <w:tcPr>
            <w:tcW w:w="2835" w:type="dxa"/>
          </w:tcPr>
          <w:p w14:paraId="51168CA0" w14:textId="00B82052" w:rsidR="00952203" w:rsidRPr="00096A1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86178">
              <w:rPr>
                <w:rFonts w:ascii="Verdana" w:hAnsi="Verdana"/>
                <w:color w:val="000000" w:themeColor="text1"/>
                <w:sz w:val="18"/>
                <w:szCs w:val="18"/>
              </w:rPr>
              <w:lastRenderedPageBreak/>
              <w:t>https://community.secop.gov.co/Public/Tendering/OpportunityDetail/Index?noticeUID=CO1.NTC.8845213&amp;isFromPublicArea=True&amp;isModal=False</w:t>
            </w:r>
          </w:p>
        </w:tc>
      </w:tr>
      <w:tr w:rsidR="00952203" w:rsidRPr="00AB06F3" w14:paraId="513081ED"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9769058" w14:textId="62152B99"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1571 - 2025 Régimen Especial - Decreto 092 de 2017</w:t>
            </w:r>
          </w:p>
          <w:p w14:paraId="6FB1A67D" w14:textId="748C321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Corporación Para el Desarrollo Integral de la Mujer del Pacifico Colombiano</w:t>
            </w:r>
          </w:p>
        </w:tc>
        <w:tc>
          <w:tcPr>
            <w:tcW w:w="3550" w:type="dxa"/>
          </w:tcPr>
          <w:p w14:paraId="0D4CFD41" w14:textId="7679C88C"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implementar acciones que promuevan el reconocimiento, redistribución y reducción de las cargas del cuidado de las mujeres firmantes dentro de los procesos productivos en el marco de la reincorporación económica.</w:t>
            </w:r>
          </w:p>
        </w:tc>
        <w:tc>
          <w:tcPr>
            <w:tcW w:w="2835" w:type="dxa"/>
          </w:tcPr>
          <w:p w14:paraId="5D9C5332" w14:textId="1D71E32D" w:rsidR="00952203" w:rsidRPr="00D8617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572EC">
              <w:rPr>
                <w:rFonts w:ascii="Verdana" w:hAnsi="Verdana"/>
                <w:color w:val="000000" w:themeColor="text1"/>
                <w:sz w:val="18"/>
                <w:szCs w:val="18"/>
              </w:rPr>
              <w:t>https://community.secop.gov.co/Public/Tendering/OpportunityDetail/Index?noticeUID=CO1.NTC.8743252&amp;isFromPublicArea=True&amp;isModal=False</w:t>
            </w:r>
          </w:p>
        </w:tc>
      </w:tr>
      <w:tr w:rsidR="00952203" w:rsidRPr="00AB06F3" w14:paraId="74146AE5"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2FAB5D03"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1574 -2025</w:t>
            </w:r>
          </w:p>
          <w:p w14:paraId="4352EB2F" w14:textId="68A34C28"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Banco Agrario de Colombia S.A.</w:t>
            </w:r>
          </w:p>
        </w:tc>
        <w:tc>
          <w:tcPr>
            <w:tcW w:w="3550" w:type="dxa"/>
          </w:tcPr>
          <w:p w14:paraId="5F154722" w14:textId="76816AD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entre la Agencia para la Reincorporación y la Normalización – ARN y el Banco Agrario de Colombia para impulsar y facilitar el acceso a crédito, así como promover la inclusión financiera de las personas en proceso de reincorporación, fomentando así el desarrollo de su actividad desde la producción, transformación y comercialización de sus productos y servicios.</w:t>
            </w:r>
          </w:p>
        </w:tc>
        <w:tc>
          <w:tcPr>
            <w:tcW w:w="2835" w:type="dxa"/>
          </w:tcPr>
          <w:p w14:paraId="4E56D41E" w14:textId="2C1E856A" w:rsidR="00952203" w:rsidRPr="00D8617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585C52">
              <w:rPr>
                <w:rFonts w:ascii="Verdana" w:hAnsi="Verdana"/>
                <w:color w:val="000000" w:themeColor="text1"/>
                <w:sz w:val="18"/>
                <w:szCs w:val="18"/>
              </w:rPr>
              <w:t>https://community.secop.gov.co/Public/Tendering/OpportunityDetail/Index?noticeUID=CO1.NTC.8956300&amp;isFromPublicArea=True&amp;isModal=False</w:t>
            </w:r>
          </w:p>
        </w:tc>
      </w:tr>
      <w:tr w:rsidR="00952203" w:rsidRPr="00AB06F3" w14:paraId="69232997"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118F37DD"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1633 -2025</w:t>
            </w:r>
          </w:p>
          <w:p w14:paraId="75CB48CD" w14:textId="00D26C62"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UT Merani - Compañía</w:t>
            </w:r>
          </w:p>
        </w:tc>
        <w:tc>
          <w:tcPr>
            <w:tcW w:w="3550" w:type="dxa"/>
          </w:tcPr>
          <w:p w14:paraId="12B4C541" w14:textId="6D9BC7E5"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financieros para implementar acciones que permitan la promoción de los derechos sexuales y reproductivos, así como la prevención de violencias basadas en género, dirigidas a mujeres y hombres firmantes del acuerdo de paz, miembros de la comunidad, así como a niñas y adolescentes vinculadas al proceso de reincorporación.</w:t>
            </w:r>
          </w:p>
        </w:tc>
        <w:tc>
          <w:tcPr>
            <w:tcW w:w="2835" w:type="dxa"/>
          </w:tcPr>
          <w:p w14:paraId="3C000DEE" w14:textId="39560A49" w:rsidR="00952203" w:rsidRPr="00585C52"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E03128">
              <w:rPr>
                <w:rFonts w:ascii="Verdana" w:hAnsi="Verdana"/>
                <w:color w:val="000000" w:themeColor="text1"/>
                <w:sz w:val="18"/>
                <w:szCs w:val="18"/>
              </w:rPr>
              <w:t>https://community.secop.gov.co/Public/Tendering/ContractNoticePhases/View?PPI=CO1.PPI.41880044&amp;isFromPublicArea=True&amp;isModal=False</w:t>
            </w:r>
          </w:p>
        </w:tc>
      </w:tr>
      <w:tr w:rsidR="00952203" w:rsidRPr="00AB06F3" w14:paraId="2D5394CF"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29D5DA1C"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 xml:space="preserve">Contrato 1634 – 2025 </w:t>
            </w:r>
          </w:p>
          <w:p w14:paraId="4D759586" w14:textId="61F7AF80"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Unión Temporal Agendas Comunitarias Eufess 2025</w:t>
            </w:r>
          </w:p>
        </w:tc>
        <w:tc>
          <w:tcPr>
            <w:tcW w:w="3550" w:type="dxa"/>
          </w:tcPr>
          <w:p w14:paraId="32F6204E" w14:textId="433C9BFA" w:rsidR="00952203" w:rsidRPr="00495C3C"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 xml:space="preserve">Prestar servicios para implementar las agendas territoriales de reincorporación comunitaria a través de acciones encaminadas a la reincorporación comunitaria que contribuyan al diálogo social, la reconstrucción del tejido social, la </w:t>
            </w:r>
            <w:r w:rsidRPr="00495C3C">
              <w:rPr>
                <w:rFonts w:ascii="Verdana" w:eastAsia="Verdana" w:hAnsi="Verdana" w:cs="Arial"/>
                <w:color w:val="000000" w:themeColor="text1"/>
                <w:sz w:val="18"/>
                <w:szCs w:val="18"/>
              </w:rPr>
              <w:lastRenderedPageBreak/>
              <w:t xml:space="preserve">convivencia, la reconciliación y la prevención de la estigmatización en el marco del objetivo no. 2 de la política nacional de reincorporación social y económica de exintegrantes de las </w:t>
            </w:r>
            <w:r w:rsidR="00CB3E3F">
              <w:rPr>
                <w:rFonts w:ascii="Verdana" w:eastAsia="Verdana" w:hAnsi="Verdana" w:cs="Arial"/>
                <w:color w:val="000000" w:themeColor="text1"/>
                <w:sz w:val="18"/>
                <w:szCs w:val="18"/>
              </w:rPr>
              <w:t>F</w:t>
            </w:r>
            <w:r w:rsidRPr="00495C3C">
              <w:rPr>
                <w:rFonts w:ascii="Verdana" w:eastAsia="Verdana" w:hAnsi="Verdana" w:cs="Arial"/>
                <w:color w:val="000000" w:themeColor="text1"/>
                <w:sz w:val="18"/>
                <w:szCs w:val="18"/>
              </w:rPr>
              <w:t>arc-</w:t>
            </w:r>
            <w:r w:rsidR="00CB3E3F">
              <w:rPr>
                <w:rFonts w:ascii="Verdana" w:eastAsia="Verdana" w:hAnsi="Verdana" w:cs="Arial"/>
                <w:color w:val="000000" w:themeColor="text1"/>
                <w:sz w:val="18"/>
                <w:szCs w:val="18"/>
              </w:rPr>
              <w:t>EP</w:t>
            </w:r>
            <w:r w:rsidRPr="00495C3C">
              <w:rPr>
                <w:rFonts w:ascii="Verdana" w:eastAsia="Verdana" w:hAnsi="Verdana" w:cs="Arial"/>
                <w:color w:val="000000" w:themeColor="text1"/>
                <w:sz w:val="18"/>
                <w:szCs w:val="18"/>
              </w:rPr>
              <w:t xml:space="preserve"> y a línea estratégica de reincorporación comunitaria del programa de reincorporación integral de conformidad con las condiciones establecidas en el anexo no. 1 de “especificaciones técnicas mínimas”. – lote 2 y lote 3</w:t>
            </w:r>
            <w:r w:rsidR="00CD21A7">
              <w:rPr>
                <w:rFonts w:ascii="Verdana" w:eastAsia="Verdana" w:hAnsi="Verdana" w:cs="Arial"/>
                <w:color w:val="000000" w:themeColor="text1"/>
                <w:sz w:val="18"/>
                <w:szCs w:val="18"/>
              </w:rPr>
              <w:t>.</w:t>
            </w:r>
          </w:p>
        </w:tc>
        <w:tc>
          <w:tcPr>
            <w:tcW w:w="2835" w:type="dxa"/>
          </w:tcPr>
          <w:p w14:paraId="27421605" w14:textId="2BB1B0B4" w:rsidR="00952203" w:rsidRPr="00E0312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B7DE9">
              <w:rPr>
                <w:rFonts w:ascii="Verdana" w:hAnsi="Verdana"/>
                <w:color w:val="000000" w:themeColor="text1"/>
                <w:sz w:val="18"/>
                <w:szCs w:val="18"/>
              </w:rPr>
              <w:lastRenderedPageBreak/>
              <w:t>https://community.secop.gov.co/Public/Tendering/ContractNoticePhases/View?PPI=CO1.PPI.41880044&amp;isFromPublicArea=True&amp;isModal=False</w:t>
            </w:r>
          </w:p>
        </w:tc>
      </w:tr>
      <w:tr w:rsidR="00952203" w:rsidRPr="00AB06F3" w14:paraId="1949087A"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7EB81377" w14:textId="4FC19FD9"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Convenio interadministrativo 1640 de 2025 con el Distrito de Santiago de Cali Distrito Especial, Deportivo, Cultural, Turístico, Empresarial y de Servicios</w:t>
            </w:r>
          </w:p>
        </w:tc>
        <w:tc>
          <w:tcPr>
            <w:tcW w:w="3550" w:type="dxa"/>
          </w:tcPr>
          <w:p w14:paraId="76CFC39F" w14:textId="2714144A" w:rsidR="00952203" w:rsidRPr="00495C3C" w:rsidRDefault="00952203" w:rsidP="00C401E4">
            <w:pPr>
              <w:pStyle w:val="NormalWeb"/>
              <w:spacing w:after="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técnicos, administrativos y operativos entre la ARN y el Distrito de Santiago de Cali (Secretaría de Vivienda Social y Hábitat) para identificar, gestionar y adquirir predios en zonas urbanas y rurales para el desarrollo de futuros proyectos de Vivienda de Interés Social y/o Vivienda de Interés Prioritario, orientados a población vulnerable, en especial a firmantes del Acuerdo de Paz.</w:t>
            </w:r>
          </w:p>
        </w:tc>
        <w:tc>
          <w:tcPr>
            <w:tcW w:w="2835" w:type="dxa"/>
          </w:tcPr>
          <w:p w14:paraId="1B90B3A9" w14:textId="5E211710" w:rsidR="00952203" w:rsidRPr="00D86178"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D77AA3">
              <w:rPr>
                <w:rFonts w:ascii="Verdana" w:hAnsi="Verdana"/>
                <w:color w:val="000000" w:themeColor="text1"/>
                <w:sz w:val="18"/>
                <w:szCs w:val="18"/>
              </w:rPr>
              <w:t>https://community.secop.gov.co/Public/Tendering/OpportunityDetail/Index?noticeUID=CO1.NTC.9106775&amp;isFromPublicArea=True&amp;isModal=False</w:t>
            </w:r>
          </w:p>
        </w:tc>
      </w:tr>
      <w:tr w:rsidR="00952203" w:rsidRPr="00AB06F3" w14:paraId="2B9F3935"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53E710F" w14:textId="77777777"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Contrato 1641-2025</w:t>
            </w:r>
          </w:p>
          <w:p w14:paraId="02874487" w14:textId="1A5C92C9"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r w:rsidRPr="00495C3C">
              <w:rPr>
                <w:rFonts w:ascii="Verdana" w:eastAsia="Verdana" w:hAnsi="Verdana" w:cs="Arial"/>
                <w:b w:val="0"/>
                <w:color w:val="000000" w:themeColor="text1"/>
                <w:sz w:val="18"/>
                <w:szCs w:val="18"/>
              </w:rPr>
              <w:t>Fondo Nacional de Vivienda Fonvivienda</w:t>
            </w:r>
          </w:p>
          <w:p w14:paraId="6677D010" w14:textId="39113B13" w:rsidR="00952203" w:rsidRPr="00495C3C" w:rsidRDefault="00952203" w:rsidP="00C401E4">
            <w:pPr>
              <w:pStyle w:val="NormalWeb"/>
              <w:spacing w:line="276" w:lineRule="auto"/>
              <w:jc w:val="both"/>
              <w:rPr>
                <w:rFonts w:ascii="Verdana" w:eastAsia="Verdana" w:hAnsi="Verdana" w:cs="Arial"/>
                <w:b w:val="0"/>
                <w:color w:val="000000" w:themeColor="text1"/>
                <w:sz w:val="18"/>
                <w:szCs w:val="18"/>
              </w:rPr>
            </w:pPr>
          </w:p>
        </w:tc>
        <w:tc>
          <w:tcPr>
            <w:tcW w:w="3550" w:type="dxa"/>
          </w:tcPr>
          <w:p w14:paraId="1D75E203" w14:textId="07389506" w:rsidR="00952203" w:rsidRPr="00495C3C" w:rsidRDefault="00952203" w:rsidP="00CB3E3F">
            <w:pPr>
              <w:pStyle w:val="NormalWeb"/>
              <w:spacing w:after="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95C3C">
              <w:rPr>
                <w:rFonts w:ascii="Verdana" w:eastAsia="Verdana" w:hAnsi="Verdana" w:cs="Arial"/>
                <w:color w:val="000000" w:themeColor="text1"/>
                <w:sz w:val="18"/>
                <w:szCs w:val="18"/>
              </w:rPr>
              <w:t>Aunar esfuerzos jurídicos, administrativos, técnicos y</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financieros entre El Fondo Nacional de Vivienda - FONVIVIENDA y la Agencia para la</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Reincorporación y la Normalización - ARN, para la financiación y ejecución de subsidios</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familiares de vivienda rural en especie, y acciones asociadas a procesos de habitabilidad</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focalizado en las personas en proceso de reincorporación para el ETCR la Fila en el</w:t>
            </w:r>
            <w:r w:rsidR="00CB3E3F">
              <w:rPr>
                <w:rFonts w:ascii="Verdana" w:eastAsia="Verdana" w:hAnsi="Verdana" w:cs="Arial"/>
                <w:color w:val="000000" w:themeColor="text1"/>
                <w:sz w:val="18"/>
                <w:szCs w:val="18"/>
              </w:rPr>
              <w:t xml:space="preserve"> </w:t>
            </w:r>
            <w:r w:rsidRPr="00495C3C">
              <w:rPr>
                <w:rFonts w:ascii="Verdana" w:eastAsia="Verdana" w:hAnsi="Verdana" w:cs="Arial"/>
                <w:color w:val="000000" w:themeColor="text1"/>
                <w:sz w:val="18"/>
                <w:szCs w:val="18"/>
              </w:rPr>
              <w:t>Departamento de Tolima, en cumplimiento del componente de habitabilidad y vivienda</w:t>
            </w:r>
            <w:r w:rsidR="00CD21A7">
              <w:rPr>
                <w:rFonts w:ascii="Verdana" w:eastAsia="Verdana" w:hAnsi="Verdana" w:cs="Arial"/>
                <w:color w:val="000000" w:themeColor="text1"/>
                <w:sz w:val="18"/>
                <w:szCs w:val="18"/>
              </w:rPr>
              <w:t>.</w:t>
            </w:r>
          </w:p>
        </w:tc>
        <w:tc>
          <w:tcPr>
            <w:tcW w:w="2835" w:type="dxa"/>
          </w:tcPr>
          <w:p w14:paraId="4E6C4BA8" w14:textId="7659B818" w:rsidR="00952203" w:rsidRPr="00D77AA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551AC">
              <w:rPr>
                <w:rFonts w:ascii="Verdana" w:hAnsi="Verdana"/>
                <w:color w:val="000000" w:themeColor="text1"/>
                <w:sz w:val="18"/>
                <w:szCs w:val="18"/>
              </w:rPr>
              <w:t>https://community.secop.gov.co/Public/Tendering/OpportunityDetail/Index?noticeUID=CO1.NTC.9323241&amp;isFromPublicArea=True&amp;isModal=False</w:t>
            </w:r>
          </w:p>
        </w:tc>
      </w:tr>
      <w:tr w:rsidR="00952203" w:rsidRPr="00AB06F3" w14:paraId="7C5C8CF4"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1049243" w14:textId="77777777"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Contrato 1643-2025</w:t>
            </w:r>
          </w:p>
          <w:p w14:paraId="1753F0AA" w14:textId="376BFE11"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Fondo Nacional de Vivienda Fonvivienda</w:t>
            </w:r>
          </w:p>
        </w:tc>
        <w:tc>
          <w:tcPr>
            <w:tcW w:w="3550" w:type="dxa"/>
          </w:tcPr>
          <w:p w14:paraId="0A44657B" w14:textId="29B9D78A" w:rsidR="00952203" w:rsidRPr="00D77AA3" w:rsidRDefault="00952203" w:rsidP="00C401E4">
            <w:pPr>
              <w:pStyle w:val="NormalWeb"/>
              <w:spacing w:after="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7A0A3A">
              <w:rPr>
                <w:rFonts w:ascii="Verdana" w:eastAsia="Verdana" w:hAnsi="Verdana" w:cs="Arial"/>
                <w:color w:val="000000" w:themeColor="text1"/>
                <w:sz w:val="18"/>
                <w:szCs w:val="18"/>
              </w:rPr>
              <w:t xml:space="preserve">Aunar esfuerzos jurídicos, administrativos, técnicos y financieros entre El Fondo Nacional de Vivienda - FONVIVIENDA y la Agencia para la Reincorporación y la Normalización - ARN, para la financiación y ejecución de subsidios familiares de vivienda rural en especie, y acciones asociadas a procesos de habitabilidad focalizado </w:t>
            </w:r>
            <w:r w:rsidRPr="007A0A3A">
              <w:rPr>
                <w:rFonts w:ascii="Verdana" w:eastAsia="Verdana" w:hAnsi="Verdana" w:cs="Arial"/>
                <w:color w:val="000000" w:themeColor="text1"/>
                <w:sz w:val="18"/>
                <w:szCs w:val="18"/>
              </w:rPr>
              <w:lastRenderedPageBreak/>
              <w:t>en las personas en proceso de reincorporación para el ETCR Caño Indio en el departamento de Norte de Santander.</w:t>
            </w:r>
          </w:p>
        </w:tc>
        <w:tc>
          <w:tcPr>
            <w:tcW w:w="2835" w:type="dxa"/>
          </w:tcPr>
          <w:p w14:paraId="7CF5CA3D" w14:textId="3E0BB88D" w:rsidR="00952203" w:rsidRPr="00D77AA3"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8551AC">
              <w:rPr>
                <w:rFonts w:ascii="Verdana" w:hAnsi="Verdana"/>
                <w:color w:val="000000" w:themeColor="text1"/>
                <w:sz w:val="18"/>
                <w:szCs w:val="18"/>
              </w:rPr>
              <w:lastRenderedPageBreak/>
              <w:t>https://community.secop.gov.co/Public/Tendering/ContractNoticePhases/View?PPI=CO1.PPI.43461792&amp;isFromPublicArea=True&amp;isModal=False</w:t>
            </w:r>
          </w:p>
        </w:tc>
      </w:tr>
      <w:tr w:rsidR="00952203" w:rsidRPr="00AB06F3" w14:paraId="05124480"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06EB6C4F" w14:textId="765E2AB6"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Acuerdo de cooperación para el intercambio de información N° 1647- 2025 entre ARN y la Fundación Once para la Solidaridad con Personas Ciegas de América Latina - FOAL</w:t>
            </w:r>
          </w:p>
        </w:tc>
        <w:tc>
          <w:tcPr>
            <w:tcW w:w="3550" w:type="dxa"/>
          </w:tcPr>
          <w:p w14:paraId="10A6B638" w14:textId="64ABFF67" w:rsidR="00952203" w:rsidRPr="001C154D"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C373F6">
              <w:rPr>
                <w:rFonts w:ascii="Verdana" w:eastAsia="Verdana" w:hAnsi="Verdana" w:cs="Arial"/>
                <w:color w:val="000000" w:themeColor="text1"/>
                <w:sz w:val="18"/>
                <w:szCs w:val="18"/>
              </w:rPr>
              <w:t>Aunar esfuerzos administrativos, logísticos y técnicos entre la Agencia para la Reincorporación y la Normalización – ARN y la Fundación Once para la Solidaridad con Personas Ciegas de América Latina FOAL, para el intercambio de información y de las transferencias de conocimientos, metodologías, buenas prácticas y lecciones aprendidas en temas de interés común afines al desarrollo de capacidades e inclusión social, laboral y comunitaria a población en proceso de reincorporación, reintegración y desmovilización con discapacidad visual o baja visión</w:t>
            </w:r>
          </w:p>
        </w:tc>
        <w:tc>
          <w:tcPr>
            <w:tcW w:w="2835" w:type="dxa"/>
          </w:tcPr>
          <w:p w14:paraId="66A93990" w14:textId="337C5E72" w:rsidR="00952203" w:rsidRPr="00945F86"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2E4AF1">
              <w:rPr>
                <w:rFonts w:ascii="Verdana" w:hAnsi="Verdana"/>
                <w:color w:val="000000" w:themeColor="text1"/>
                <w:sz w:val="18"/>
                <w:szCs w:val="18"/>
              </w:rPr>
              <w:t>https://community.secop.gov.co/Public/Tendering/OpportunityDetail/Index?noticeUID=CO1.NTC.9136355&amp;isFromPublicArea=True&amp;isModal=False</w:t>
            </w:r>
          </w:p>
        </w:tc>
      </w:tr>
      <w:tr w:rsidR="00952203" w:rsidRPr="00AB06F3" w14:paraId="7E2E5DEF"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540B476A" w14:textId="02493C51"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Convenio de asociación ESAL 1649 de 2025 con Corporación para el Desarrollo Integral de la Mujer del Pacifico Colombiano - Corpamujer</w:t>
            </w:r>
          </w:p>
        </w:tc>
        <w:tc>
          <w:tcPr>
            <w:tcW w:w="3550" w:type="dxa"/>
          </w:tcPr>
          <w:p w14:paraId="4FBFA1F2" w14:textId="1167C8AE" w:rsidR="00952203" w:rsidRPr="00C373F6"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420331">
              <w:rPr>
                <w:rFonts w:ascii="Verdana" w:eastAsia="Verdana" w:hAnsi="Verdana" w:cs="Arial"/>
                <w:color w:val="000000" w:themeColor="text1"/>
                <w:sz w:val="18"/>
                <w:szCs w:val="18"/>
              </w:rPr>
              <w:t>Aunar esfuerzos técnicos, administrativos y financieros para implementar acciones que permitan la promoción de los derechos sexuales y derechos reproductivos, así como la prevención de violencias basadas en género, dirigidas a mujeres y hombres firmantes del Acuerdo de Paz, miembros de la comunidad, así como a niñas y adolescentes vinculadas al proceso de reincorporación.</w:t>
            </w:r>
          </w:p>
        </w:tc>
        <w:tc>
          <w:tcPr>
            <w:tcW w:w="2835" w:type="dxa"/>
          </w:tcPr>
          <w:p w14:paraId="05B4A519" w14:textId="711902AB" w:rsidR="00952203" w:rsidRPr="002E4AF1"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420331">
              <w:rPr>
                <w:rFonts w:ascii="Verdana" w:hAnsi="Verdana"/>
                <w:color w:val="000000" w:themeColor="text1"/>
                <w:sz w:val="18"/>
                <w:szCs w:val="18"/>
              </w:rPr>
              <w:t>https://community.secop.gov.co/Public/Tendering/OpportunityDetail/Index?noticeUID=CO1.NTC.8859824&amp;isFromPublicArea=True&amp;isModal=False</w:t>
            </w:r>
          </w:p>
        </w:tc>
      </w:tr>
      <w:tr w:rsidR="00952203" w:rsidRPr="00AB06F3" w14:paraId="058973DA" w14:textId="77777777" w:rsidTr="00A46380">
        <w:trPr>
          <w:trHeight w:val="300"/>
          <w:jc w:val="center"/>
        </w:trPr>
        <w:tc>
          <w:tcPr>
            <w:cnfStyle w:val="001000000000" w:firstRow="0" w:lastRow="0" w:firstColumn="1" w:lastColumn="0" w:oddVBand="0" w:evenVBand="0" w:oddHBand="0" w:evenHBand="0" w:firstRowFirstColumn="0" w:firstRowLastColumn="0" w:lastRowFirstColumn="0" w:lastRowLastColumn="0"/>
            <w:tcW w:w="2263" w:type="dxa"/>
          </w:tcPr>
          <w:p w14:paraId="20B5DD59" w14:textId="77777777"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 xml:space="preserve">Contrato 1654 -2025 </w:t>
            </w:r>
          </w:p>
          <w:p w14:paraId="40297C8F" w14:textId="4B93F1E3" w:rsidR="00952203" w:rsidRPr="00495C3C" w:rsidRDefault="00952203" w:rsidP="00C401E4">
            <w:pPr>
              <w:pStyle w:val="NormalWeb"/>
              <w:spacing w:line="276" w:lineRule="auto"/>
              <w:jc w:val="both"/>
              <w:rPr>
                <w:rFonts w:ascii="Verdana" w:eastAsia="Verdana" w:hAnsi="Verdana" w:cs="Arial"/>
                <w:b w:val="0"/>
                <w:bCs w:val="0"/>
                <w:color w:val="000000" w:themeColor="text1"/>
                <w:sz w:val="18"/>
                <w:szCs w:val="18"/>
              </w:rPr>
            </w:pPr>
            <w:r w:rsidRPr="00495C3C">
              <w:rPr>
                <w:rFonts w:ascii="Verdana" w:eastAsia="Verdana" w:hAnsi="Verdana" w:cs="Arial"/>
                <w:b w:val="0"/>
                <w:bCs w:val="0"/>
                <w:color w:val="000000" w:themeColor="text1"/>
                <w:sz w:val="18"/>
                <w:szCs w:val="18"/>
              </w:rPr>
              <w:t>Unidad Administrativa Especial del Servicio Público de Empleo</w:t>
            </w:r>
          </w:p>
        </w:tc>
        <w:tc>
          <w:tcPr>
            <w:tcW w:w="3550" w:type="dxa"/>
          </w:tcPr>
          <w:p w14:paraId="129C4C00" w14:textId="37971689" w:rsidR="00952203" w:rsidRPr="00420331" w:rsidRDefault="00952203" w:rsidP="00C401E4">
            <w:pPr>
              <w:pStyle w:val="NormalWeb"/>
              <w:spacing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Arial"/>
                <w:color w:val="000000" w:themeColor="text1"/>
                <w:sz w:val="18"/>
                <w:szCs w:val="18"/>
              </w:rPr>
            </w:pPr>
            <w:r w:rsidRPr="00082687">
              <w:rPr>
                <w:rFonts w:ascii="Verdana" w:eastAsia="Verdana" w:hAnsi="Verdana" w:cs="Arial"/>
                <w:color w:val="000000" w:themeColor="text1"/>
                <w:sz w:val="18"/>
                <w:szCs w:val="18"/>
              </w:rPr>
              <w:t xml:space="preserve">Aunar esfuerzos técnicos, administrativos y operativos entre la Unidad Administrativa Especial del Servicio Público de Empleo (UNIDAD DEL SPE) y la Agencia para la Reincorporación y la Normalización (ARN), con el fin de articular, fortalecer y desarrollar estrategias, planes, programas y acciones orientadas a la inclusión laboral de la población objetivo de la ARN, a través de la Red de Prestadores del Servicio Público de Empleo, bajo un modelo de inclusión laboral, que permita mejorar las condiciones de empleabilidad y acceso al mercado </w:t>
            </w:r>
            <w:r w:rsidRPr="00082687">
              <w:rPr>
                <w:rFonts w:ascii="Verdana" w:eastAsia="Verdana" w:hAnsi="Verdana" w:cs="Arial"/>
                <w:color w:val="000000" w:themeColor="text1"/>
                <w:sz w:val="18"/>
                <w:szCs w:val="18"/>
              </w:rPr>
              <w:lastRenderedPageBreak/>
              <w:t>laboral formal de dicha población y su núcleo familiar</w:t>
            </w:r>
          </w:p>
        </w:tc>
        <w:tc>
          <w:tcPr>
            <w:tcW w:w="2835" w:type="dxa"/>
          </w:tcPr>
          <w:p w14:paraId="111C4B82" w14:textId="5490ABFC" w:rsidR="00952203" w:rsidRPr="00420331" w:rsidRDefault="00952203" w:rsidP="00C401E4">
            <w:pPr>
              <w:spacing w:line="276" w:lineRule="auto"/>
              <w:jc w:val="both"/>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7D73A8">
              <w:rPr>
                <w:rFonts w:ascii="Verdana" w:hAnsi="Verdana"/>
                <w:color w:val="000000" w:themeColor="text1"/>
                <w:sz w:val="18"/>
                <w:szCs w:val="18"/>
              </w:rPr>
              <w:lastRenderedPageBreak/>
              <w:t>https://community.secop.gov.co/Public/Tendering/OpportunityDetail/Index?noticeUID=CO1.NTC.9246499&amp;isFromPublicArea=True&amp;isModal=False</w:t>
            </w:r>
          </w:p>
        </w:tc>
      </w:tr>
    </w:tbl>
    <w:p w14:paraId="6533DD2C" w14:textId="77777777" w:rsidR="0077302C" w:rsidRDefault="0077302C" w:rsidP="0077302C">
      <w:pPr>
        <w:spacing w:before="240" w:after="0" w:line="276" w:lineRule="auto"/>
        <w:jc w:val="center"/>
        <w:rPr>
          <w:rFonts w:ascii="Verdana" w:eastAsia="Verdana" w:hAnsi="Verdana" w:cs="Arial"/>
          <w:sz w:val="18"/>
          <w:szCs w:val="18"/>
        </w:rPr>
      </w:pPr>
      <w:r w:rsidRPr="00AB06F3">
        <w:rPr>
          <w:rFonts w:ascii="Verdana" w:eastAsia="Verdana" w:hAnsi="Verdana" w:cs="Arial"/>
          <w:sz w:val="18"/>
          <w:szCs w:val="18"/>
        </w:rPr>
        <w:t xml:space="preserve">Fuente: </w:t>
      </w:r>
      <w:r>
        <w:rPr>
          <w:rFonts w:ascii="Verdana" w:eastAsia="Verdana" w:hAnsi="Verdana" w:cs="Arial"/>
          <w:sz w:val="18"/>
          <w:szCs w:val="18"/>
        </w:rPr>
        <w:t xml:space="preserve">Agencia para la Reincorporación y la Normalización. Al </w:t>
      </w:r>
      <w:r w:rsidRPr="00AB06F3">
        <w:rPr>
          <w:rFonts w:ascii="Verdana" w:eastAsia="Verdana" w:hAnsi="Verdana" w:cs="Arial"/>
          <w:sz w:val="18"/>
          <w:szCs w:val="18"/>
        </w:rPr>
        <w:t>31 de diciembre del 202</w:t>
      </w:r>
      <w:r>
        <w:rPr>
          <w:rFonts w:ascii="Verdana" w:eastAsia="Verdana" w:hAnsi="Verdana" w:cs="Arial"/>
          <w:sz w:val="18"/>
          <w:szCs w:val="18"/>
        </w:rPr>
        <w:t>5</w:t>
      </w:r>
    </w:p>
    <w:p w14:paraId="7233D903" w14:textId="11491AAE" w:rsidR="30204A1F" w:rsidRPr="00AB06F3" w:rsidRDefault="30204A1F" w:rsidP="00C25586">
      <w:pPr>
        <w:spacing w:after="0" w:line="276" w:lineRule="auto"/>
        <w:jc w:val="both"/>
        <w:rPr>
          <w:rFonts w:ascii="Verdana" w:hAnsi="Verdana" w:cs="Arial"/>
          <w:sz w:val="18"/>
          <w:szCs w:val="18"/>
        </w:rPr>
      </w:pPr>
    </w:p>
    <w:p w14:paraId="4FDEC1DD" w14:textId="491595B7" w:rsidR="00BD269F" w:rsidRPr="00AB06F3" w:rsidRDefault="00BD269F" w:rsidP="00C25586">
      <w:pPr>
        <w:spacing w:after="0" w:line="276" w:lineRule="auto"/>
        <w:jc w:val="both"/>
        <w:rPr>
          <w:rFonts w:ascii="Verdana" w:hAnsi="Verdana" w:cs="Arial"/>
          <w:sz w:val="24"/>
          <w:szCs w:val="24"/>
        </w:rPr>
      </w:pPr>
      <w:r w:rsidRPr="00AB06F3">
        <w:rPr>
          <w:rFonts w:ascii="Verdana" w:hAnsi="Verdana" w:cs="Arial"/>
          <w:sz w:val="24"/>
          <w:szCs w:val="24"/>
        </w:rPr>
        <w:t xml:space="preserve">En ejercicio del derecho a la participación ciudadana a través del control social y la veeduría la ciudadanía </w:t>
      </w:r>
      <w:r w:rsidR="422A960C" w:rsidRPr="00AB06F3">
        <w:rPr>
          <w:rFonts w:ascii="Verdana" w:hAnsi="Verdana" w:cs="Arial"/>
          <w:sz w:val="24"/>
          <w:szCs w:val="24"/>
        </w:rPr>
        <w:t xml:space="preserve">los ciudadanos </w:t>
      </w:r>
      <w:r w:rsidRPr="00AB06F3">
        <w:rPr>
          <w:rFonts w:ascii="Verdana" w:hAnsi="Verdana" w:cs="Arial"/>
          <w:sz w:val="24"/>
          <w:szCs w:val="24"/>
        </w:rPr>
        <w:t>puede</w:t>
      </w:r>
      <w:r w:rsidR="6072E124" w:rsidRPr="00AB06F3">
        <w:rPr>
          <w:rFonts w:ascii="Verdana" w:hAnsi="Verdana" w:cs="Arial"/>
          <w:sz w:val="24"/>
          <w:szCs w:val="24"/>
        </w:rPr>
        <w:t>n</w:t>
      </w:r>
      <w:r w:rsidRPr="00AB06F3">
        <w:rPr>
          <w:rFonts w:ascii="Verdana" w:hAnsi="Verdana" w:cs="Arial"/>
          <w:sz w:val="24"/>
          <w:szCs w:val="24"/>
        </w:rPr>
        <w:t xml:space="preserve"> presentar denuncias ante los </w:t>
      </w:r>
      <w:r w:rsidR="008F5A03" w:rsidRPr="00AB06F3">
        <w:rPr>
          <w:rFonts w:ascii="Verdana" w:hAnsi="Verdana" w:cs="Arial"/>
          <w:sz w:val="24"/>
          <w:szCs w:val="24"/>
        </w:rPr>
        <w:t>organismos de control</w:t>
      </w:r>
      <w:r w:rsidRPr="00AB06F3">
        <w:rPr>
          <w:rFonts w:ascii="Verdana" w:hAnsi="Verdana" w:cs="Arial"/>
          <w:sz w:val="24"/>
          <w:szCs w:val="24"/>
        </w:rPr>
        <w:t xml:space="preserve"> competentes </w:t>
      </w:r>
      <w:r w:rsidR="008F5A03" w:rsidRPr="00AB06F3">
        <w:rPr>
          <w:rFonts w:ascii="Verdana" w:hAnsi="Verdana" w:cs="Arial"/>
          <w:sz w:val="24"/>
          <w:szCs w:val="24"/>
        </w:rPr>
        <w:t xml:space="preserve">con las evidencias y soportes correspondientes, </w:t>
      </w:r>
      <w:r w:rsidRPr="00AB06F3">
        <w:rPr>
          <w:rFonts w:ascii="Verdana" w:hAnsi="Verdana" w:cs="Arial"/>
          <w:sz w:val="24"/>
          <w:szCs w:val="24"/>
        </w:rPr>
        <w:t>según el caso, así:</w:t>
      </w:r>
    </w:p>
    <w:p w14:paraId="64A64A5B" w14:textId="7C14F5C3" w:rsidR="00BD269F" w:rsidRPr="00316BE4" w:rsidRDefault="00BD269F" w:rsidP="00316BE4">
      <w:pPr>
        <w:spacing w:after="0" w:line="276" w:lineRule="auto"/>
        <w:jc w:val="center"/>
        <w:rPr>
          <w:rFonts w:ascii="Verdana" w:hAnsi="Verdana" w:cs="Arial"/>
          <w:sz w:val="18"/>
          <w:szCs w:val="18"/>
        </w:rPr>
      </w:pPr>
    </w:p>
    <w:p w14:paraId="635A74B9" w14:textId="7F1A636D" w:rsidR="00316BE4" w:rsidRPr="00316BE4" w:rsidRDefault="00316BE4" w:rsidP="00316BE4">
      <w:pPr>
        <w:pStyle w:val="Descripcin"/>
        <w:keepNext/>
        <w:jc w:val="center"/>
        <w:rPr>
          <w:rFonts w:ascii="Verdana" w:hAnsi="Verdana" w:cs="Arial"/>
          <w:i w:val="0"/>
          <w:iCs w:val="0"/>
          <w:color w:val="auto"/>
        </w:rPr>
      </w:pPr>
      <w:bookmarkStart w:id="84" w:name="_Toc225283184"/>
      <w:r w:rsidRPr="00316BE4">
        <w:rPr>
          <w:rFonts w:ascii="Verdana" w:hAnsi="Verdana" w:cs="Arial"/>
          <w:i w:val="0"/>
          <w:iCs w:val="0"/>
          <w:color w:val="auto"/>
        </w:rPr>
        <w:t xml:space="preserve">Tabla </w:t>
      </w:r>
      <w:r w:rsidRPr="00316BE4">
        <w:rPr>
          <w:rFonts w:ascii="Verdana" w:hAnsi="Verdana" w:cs="Arial"/>
          <w:i w:val="0"/>
          <w:iCs w:val="0"/>
          <w:color w:val="auto"/>
        </w:rPr>
        <w:fldChar w:fldCharType="begin"/>
      </w:r>
      <w:r w:rsidRPr="00316BE4">
        <w:rPr>
          <w:rFonts w:ascii="Verdana" w:hAnsi="Verdana" w:cs="Arial"/>
          <w:i w:val="0"/>
          <w:iCs w:val="0"/>
          <w:color w:val="auto"/>
        </w:rPr>
        <w:instrText xml:space="preserve"> SEQ Tabla \* ARABIC </w:instrText>
      </w:r>
      <w:r w:rsidRPr="00316BE4">
        <w:rPr>
          <w:rFonts w:ascii="Verdana" w:hAnsi="Verdana" w:cs="Arial"/>
          <w:i w:val="0"/>
          <w:iCs w:val="0"/>
          <w:color w:val="auto"/>
        </w:rPr>
        <w:fldChar w:fldCharType="separate"/>
      </w:r>
      <w:r w:rsidR="0078027F">
        <w:rPr>
          <w:rFonts w:ascii="Verdana" w:hAnsi="Verdana" w:cs="Arial"/>
          <w:i w:val="0"/>
          <w:iCs w:val="0"/>
          <w:noProof/>
          <w:color w:val="auto"/>
        </w:rPr>
        <w:t>72</w:t>
      </w:r>
      <w:r w:rsidRPr="00316BE4">
        <w:rPr>
          <w:rFonts w:ascii="Verdana" w:hAnsi="Verdana" w:cs="Arial"/>
          <w:i w:val="0"/>
          <w:iCs w:val="0"/>
          <w:color w:val="auto"/>
        </w:rPr>
        <w:fldChar w:fldCharType="end"/>
      </w:r>
      <w:r w:rsidRPr="00316BE4">
        <w:rPr>
          <w:rFonts w:ascii="Verdana" w:hAnsi="Verdana" w:cs="Arial"/>
          <w:i w:val="0"/>
          <w:iCs w:val="0"/>
          <w:color w:val="auto"/>
        </w:rPr>
        <w:t>. Denuncias ante los organismos de control competentes</w:t>
      </w:r>
      <w:bookmarkEnd w:id="84"/>
    </w:p>
    <w:tbl>
      <w:tblPr>
        <w:tblW w:w="0" w:type="auto"/>
        <w:tblInd w:w="-1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Layout w:type="fixed"/>
        <w:tblCellMar>
          <w:left w:w="70" w:type="dxa"/>
          <w:right w:w="70" w:type="dxa"/>
        </w:tblCellMar>
        <w:tblLook w:val="04A0" w:firstRow="1" w:lastRow="0" w:firstColumn="1" w:lastColumn="0" w:noHBand="0" w:noVBand="1"/>
        <w:tblCaption w:val="Denuncias ante los organismos de control competentes"/>
        <w:tblDescription w:val="Tabla que contiene las denuncias ante los organismos de control competentes"/>
      </w:tblPr>
      <w:tblGrid>
        <w:gridCol w:w="1848"/>
        <w:gridCol w:w="6980"/>
      </w:tblGrid>
      <w:tr w:rsidR="00EA3AA0" w:rsidRPr="00AB06F3" w14:paraId="70B00B52" w14:textId="77777777" w:rsidTr="00AE2862">
        <w:trPr>
          <w:trHeight w:val="864"/>
        </w:trPr>
        <w:tc>
          <w:tcPr>
            <w:tcW w:w="1848" w:type="dxa"/>
            <w:vAlign w:val="center"/>
            <w:hideMark/>
          </w:tcPr>
          <w:p w14:paraId="1CF054EC" w14:textId="77777777" w:rsidR="008F5A03" w:rsidRPr="00AB06F3" w:rsidRDefault="7AD4C263" w:rsidP="00C25586">
            <w:pPr>
              <w:spacing w:after="0" w:line="276" w:lineRule="auto"/>
              <w:jc w:val="center"/>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Denuncias por manejos irregulares de los bienes</w:t>
            </w:r>
          </w:p>
        </w:tc>
        <w:tc>
          <w:tcPr>
            <w:tcW w:w="6980" w:type="dxa"/>
            <w:vAlign w:val="center"/>
            <w:hideMark/>
          </w:tcPr>
          <w:p w14:paraId="15174974" w14:textId="77777777" w:rsidR="008F5A03" w:rsidRDefault="7AD4C263"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La Contraloría General de la República privilegia la participación ciudadana en el control fiscal como una estrategia decisiva para el buen uso de los recursos públicos. Para más información, visite la siguiente página:</w:t>
            </w:r>
          </w:p>
          <w:p w14:paraId="6957752C" w14:textId="03C4B824" w:rsidR="00316BE4" w:rsidRDefault="00316BE4" w:rsidP="006E660E">
            <w:pPr>
              <w:spacing w:after="0" w:line="276" w:lineRule="auto"/>
              <w:jc w:val="both"/>
              <w:rPr>
                <w:rFonts w:ascii="Verdana" w:eastAsia="Verdana" w:hAnsi="Verdana" w:cs="Arial"/>
                <w:color w:val="000000" w:themeColor="text1"/>
                <w:sz w:val="18"/>
                <w:szCs w:val="18"/>
                <w:lang w:val="en-US" w:eastAsia="es-CO"/>
              </w:rPr>
            </w:pPr>
            <w:hyperlink r:id="rId41" w:history="1">
              <w:r w:rsidRPr="000076B8">
                <w:rPr>
                  <w:rStyle w:val="Hipervnculo"/>
                  <w:rFonts w:ascii="Verdana" w:eastAsia="Verdana" w:hAnsi="Verdana" w:cs="Arial"/>
                  <w:sz w:val="18"/>
                  <w:szCs w:val="18"/>
                  <w:lang w:val="en-US" w:eastAsia="es-CO"/>
                </w:rPr>
                <w:t>https://www.contraloria.gov.co/es/web/guest/atencion-al-ciudadano/denuncias-y-otras-solicitudes-pqrd</w:t>
              </w:r>
            </w:hyperlink>
          </w:p>
          <w:p w14:paraId="4AF6949C" w14:textId="31BFBE28" w:rsidR="00316BE4" w:rsidRPr="00AB06F3" w:rsidRDefault="00316BE4"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 xml:space="preserve">Para denunciar hechos o conductas por un posible manejo irregular de los bienes o fondos públicos ante este ente de Control Fiscal, debe contactarse al PBX 518 7000 Ext. 21014 – 21015 en Bogotá o escribir al correo </w:t>
            </w:r>
            <w:hyperlink r:id="rId42" w:history="1">
              <w:r w:rsidR="00FC3749" w:rsidRPr="000076B8">
                <w:rPr>
                  <w:rStyle w:val="Hipervnculo"/>
                  <w:rFonts w:ascii="Verdana" w:eastAsia="Verdana" w:hAnsi="Verdana" w:cs="Arial"/>
                  <w:kern w:val="0"/>
                  <w:sz w:val="18"/>
                  <w:szCs w:val="18"/>
                  <w:lang w:eastAsia="es-CO"/>
                  <w14:ligatures w14:val="none"/>
                </w:rPr>
                <w:t>cgr@contraloria.gov.co</w:t>
              </w:r>
            </w:hyperlink>
            <w:r w:rsidR="00FC3749">
              <w:rPr>
                <w:rFonts w:ascii="Verdana" w:eastAsia="Verdana" w:hAnsi="Verdana" w:cs="Arial"/>
                <w:color w:val="000000"/>
                <w:kern w:val="0"/>
                <w:sz w:val="18"/>
                <w:szCs w:val="18"/>
                <w:lang w:eastAsia="es-CO"/>
                <w14:ligatures w14:val="none"/>
              </w:rPr>
              <w:t xml:space="preserve"> </w:t>
            </w:r>
          </w:p>
        </w:tc>
      </w:tr>
      <w:tr w:rsidR="00EA3AA0" w:rsidRPr="00AB06F3" w14:paraId="6EEDA4DB" w14:textId="77777777" w:rsidTr="00AE2862">
        <w:trPr>
          <w:trHeight w:val="1152"/>
        </w:trPr>
        <w:tc>
          <w:tcPr>
            <w:tcW w:w="1848" w:type="dxa"/>
            <w:vAlign w:val="center"/>
            <w:hideMark/>
          </w:tcPr>
          <w:p w14:paraId="10493FEA" w14:textId="77777777" w:rsidR="008F5A03" w:rsidRPr="00AB06F3" w:rsidRDefault="7AD4C263" w:rsidP="00C25586">
            <w:pPr>
              <w:spacing w:after="0" w:line="276" w:lineRule="auto"/>
              <w:jc w:val="center"/>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 xml:space="preserve"> Denuncias por actos irregulares de servidores públicos</w:t>
            </w:r>
          </w:p>
        </w:tc>
        <w:tc>
          <w:tcPr>
            <w:tcW w:w="6980" w:type="dxa"/>
            <w:vAlign w:val="center"/>
            <w:hideMark/>
          </w:tcPr>
          <w:p w14:paraId="4502D53B" w14:textId="77777777" w:rsidR="008F5A03" w:rsidRDefault="7AD4C263"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La Procuraduría General de la Nación es la encargada de proteger el ordenamiento jurídico, vigilar la garantía de los derechos, el cumplimiento de los deberes y el desempeño integro de los servidores públicos que pueden terminar en sanciones disciplinarias.</w:t>
            </w:r>
          </w:p>
          <w:p w14:paraId="73F35C33" w14:textId="77777777" w:rsidR="00316BE4" w:rsidRDefault="00316BE4"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Si conoce de algún acto irregular de un servidor público, denúncielo en el siguiente enlace:</w:t>
            </w:r>
          </w:p>
          <w:p w14:paraId="3FFE4721" w14:textId="77777777" w:rsidR="00316BE4" w:rsidRDefault="00316BE4" w:rsidP="006E660E">
            <w:pPr>
              <w:spacing w:after="0" w:line="276" w:lineRule="auto"/>
              <w:jc w:val="both"/>
              <w:rPr>
                <w:rFonts w:ascii="Verdana" w:eastAsia="Verdana" w:hAnsi="Verdana" w:cs="Arial"/>
                <w:color w:val="000000" w:themeColor="text1"/>
                <w:sz w:val="18"/>
                <w:szCs w:val="18"/>
                <w:lang w:eastAsia="es-CO"/>
              </w:rPr>
            </w:pPr>
            <w:hyperlink r:id="rId43" w:history="1">
              <w:r w:rsidRPr="000076B8">
                <w:rPr>
                  <w:rStyle w:val="Hipervnculo"/>
                  <w:rFonts w:ascii="Verdana" w:eastAsia="Verdana" w:hAnsi="Verdana" w:cs="Arial"/>
                  <w:sz w:val="18"/>
                  <w:szCs w:val="18"/>
                  <w:lang w:eastAsia="es-CO"/>
                </w:rPr>
                <w:t>https://sedeelectronica.procuraduria.gov.co/PQRDSF/denuncia-acuerdo-de-paz/?typeform=denuncia-acuerdo-de-paz</w:t>
              </w:r>
            </w:hyperlink>
            <w:r>
              <w:rPr>
                <w:rFonts w:ascii="Verdana" w:eastAsia="Verdana" w:hAnsi="Verdana" w:cs="Arial"/>
                <w:color w:val="000000" w:themeColor="text1"/>
                <w:sz w:val="18"/>
                <w:szCs w:val="18"/>
                <w:lang w:eastAsia="es-CO"/>
              </w:rPr>
              <w:t xml:space="preserve"> </w:t>
            </w:r>
          </w:p>
          <w:p w14:paraId="65259C64" w14:textId="21D517E3" w:rsidR="00316BE4" w:rsidRPr="00AB06F3" w:rsidRDefault="00316BE4" w:rsidP="006E660E">
            <w:pPr>
              <w:spacing w:after="0" w:line="276" w:lineRule="auto"/>
              <w:jc w:val="both"/>
              <w:rPr>
                <w:rFonts w:ascii="Verdana" w:eastAsia="Verdana" w:hAnsi="Verdana" w:cs="Arial"/>
                <w:color w:val="000000"/>
                <w:kern w:val="0"/>
                <w:sz w:val="18"/>
                <w:szCs w:val="18"/>
                <w:lang w:eastAsia="es-CO"/>
                <w14:ligatures w14:val="none"/>
              </w:rPr>
            </w:pPr>
            <w:r>
              <w:rPr>
                <w:rFonts w:ascii="Verdana" w:eastAsia="Verdana" w:hAnsi="Verdana" w:cs="Arial"/>
                <w:color w:val="000000"/>
                <w:kern w:val="0"/>
                <w:sz w:val="18"/>
                <w:szCs w:val="18"/>
                <w:lang w:eastAsia="es-CO"/>
                <w14:ligatures w14:val="none"/>
              </w:rPr>
              <w:t>P</w:t>
            </w:r>
            <w:r w:rsidRPr="00AB06F3">
              <w:rPr>
                <w:rFonts w:ascii="Verdana" w:eastAsia="Verdana" w:hAnsi="Verdana" w:cs="Arial"/>
                <w:color w:val="000000"/>
                <w:kern w:val="0"/>
                <w:sz w:val="18"/>
                <w:szCs w:val="18"/>
                <w:lang w:eastAsia="es-CO"/>
                <w14:ligatures w14:val="none"/>
              </w:rPr>
              <w:t xml:space="preserve">uede escribir al siguiente correo electrónico: </w:t>
            </w:r>
            <w:hyperlink r:id="rId44" w:history="1">
              <w:r w:rsidR="00A71DC6" w:rsidRPr="000076B8">
                <w:rPr>
                  <w:rStyle w:val="Hipervnculo"/>
                  <w:rFonts w:ascii="Verdana" w:eastAsia="Verdana" w:hAnsi="Verdana" w:cs="Arial"/>
                  <w:kern w:val="0"/>
                  <w:sz w:val="18"/>
                  <w:szCs w:val="18"/>
                  <w:lang w:eastAsia="es-CO"/>
                  <w14:ligatures w14:val="none"/>
                </w:rPr>
                <w:t>quejas@procuraduria.gov.co</w:t>
              </w:r>
            </w:hyperlink>
            <w:r w:rsidR="00A71DC6">
              <w:rPr>
                <w:rFonts w:ascii="Verdana" w:eastAsia="Verdana" w:hAnsi="Verdana" w:cs="Arial"/>
                <w:color w:val="000000"/>
                <w:kern w:val="0"/>
                <w:sz w:val="18"/>
                <w:szCs w:val="18"/>
                <w:lang w:eastAsia="es-CO"/>
                <w14:ligatures w14:val="none"/>
              </w:rPr>
              <w:t xml:space="preserve"> </w:t>
            </w:r>
            <w:r w:rsidRPr="00AB06F3">
              <w:rPr>
                <w:rFonts w:ascii="Verdana" w:eastAsia="Verdana" w:hAnsi="Verdana" w:cs="Arial"/>
                <w:color w:val="000000"/>
                <w:kern w:val="0"/>
                <w:sz w:val="18"/>
                <w:szCs w:val="18"/>
                <w:lang w:eastAsia="es-CO"/>
                <w14:ligatures w14:val="none"/>
              </w:rPr>
              <w:t xml:space="preserve"> o llamar a la línea gratuita nacional: 01 8000 940 808</w:t>
            </w:r>
          </w:p>
        </w:tc>
      </w:tr>
      <w:tr w:rsidR="00EA3AA0" w:rsidRPr="00AB06F3" w14:paraId="390F6512" w14:textId="77777777" w:rsidTr="00AE2862">
        <w:trPr>
          <w:trHeight w:val="864"/>
        </w:trPr>
        <w:tc>
          <w:tcPr>
            <w:tcW w:w="1848" w:type="dxa"/>
            <w:vAlign w:val="center"/>
            <w:hideMark/>
          </w:tcPr>
          <w:p w14:paraId="55874648" w14:textId="77777777" w:rsidR="008F5A03" w:rsidRPr="00AB06F3" w:rsidRDefault="7AD4C263" w:rsidP="00C25586">
            <w:pPr>
              <w:spacing w:after="0" w:line="276" w:lineRule="auto"/>
              <w:jc w:val="center"/>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Denuncias por actos de corrupción</w:t>
            </w:r>
          </w:p>
        </w:tc>
        <w:tc>
          <w:tcPr>
            <w:tcW w:w="6980" w:type="dxa"/>
            <w:vAlign w:val="center"/>
            <w:hideMark/>
          </w:tcPr>
          <w:p w14:paraId="3DA6C99B" w14:textId="77777777" w:rsidR="008F5A03" w:rsidRDefault="744323A4" w:rsidP="006E660E">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La Fiscalía General de la Nación es el ente investigador de actos de corrupción que pueden resultar en una sentencia realizada por el juez relativo a conductas penales</w:t>
            </w:r>
            <w:r w:rsidR="00397371">
              <w:rPr>
                <w:rFonts w:ascii="Verdana" w:eastAsia="Verdana" w:hAnsi="Verdana" w:cs="Arial"/>
                <w:color w:val="000000"/>
                <w:kern w:val="0"/>
                <w:sz w:val="18"/>
                <w:szCs w:val="18"/>
                <w:lang w:eastAsia="es-CO"/>
                <w14:ligatures w14:val="none"/>
              </w:rPr>
              <w:t>.</w:t>
            </w:r>
          </w:p>
          <w:p w14:paraId="0660E3A0" w14:textId="77777777" w:rsidR="00CC5914" w:rsidRDefault="00CC5914" w:rsidP="00397371">
            <w:pPr>
              <w:spacing w:after="0" w:line="276" w:lineRule="auto"/>
              <w:jc w:val="both"/>
              <w:rPr>
                <w:rFonts w:ascii="Calibri" w:eastAsia="Times New Roman" w:hAnsi="Calibri" w:cs="Times New Roman"/>
                <w:color w:val="000000"/>
                <w:kern w:val="0"/>
                <w:lang w:eastAsia="es-CO"/>
                <w14:ligatures w14:val="none"/>
              </w:rPr>
            </w:pPr>
            <w:r w:rsidRPr="008F5A03">
              <w:rPr>
                <w:rFonts w:ascii="Calibri" w:eastAsia="Times New Roman" w:hAnsi="Calibri" w:cs="Times New Roman"/>
                <w:color w:val="000000"/>
                <w:kern w:val="0"/>
                <w:lang w:eastAsia="es-CO"/>
                <w14:ligatures w14:val="none"/>
              </w:rPr>
              <w:t>Si conoce de algún acto irregular denúncielo al Centro de contacto de la Fiscalía General de la Nación llamando a los números 5702000 opción 7 en Bogotá, 018000919748 o 122 para el resto del país.</w:t>
            </w:r>
          </w:p>
          <w:p w14:paraId="4291060B" w14:textId="05EA3E33" w:rsidR="00397371" w:rsidRDefault="00397371" w:rsidP="00397371">
            <w:pPr>
              <w:spacing w:after="0" w:line="276" w:lineRule="auto"/>
              <w:jc w:val="both"/>
              <w:rPr>
                <w:rFonts w:ascii="Verdana" w:eastAsia="Verdana" w:hAnsi="Verdana" w:cs="Arial"/>
                <w:color w:val="000000"/>
                <w:kern w:val="0"/>
                <w:sz w:val="18"/>
                <w:szCs w:val="18"/>
                <w:lang w:eastAsia="es-CO"/>
                <w14:ligatures w14:val="none"/>
              </w:rPr>
            </w:pPr>
            <w:r w:rsidRPr="00AB06F3">
              <w:rPr>
                <w:rFonts w:ascii="Verdana" w:eastAsia="Verdana" w:hAnsi="Verdana" w:cs="Arial"/>
                <w:color w:val="000000"/>
                <w:kern w:val="0"/>
                <w:sz w:val="18"/>
                <w:szCs w:val="18"/>
                <w:lang w:eastAsia="es-CO"/>
                <w14:ligatures w14:val="none"/>
              </w:rPr>
              <w:t>También puede hacerlo a través de la denuncia virtual en la página web de la Fiscalía General de la Nación:</w:t>
            </w:r>
          </w:p>
          <w:p w14:paraId="41A02DF2" w14:textId="50A19974" w:rsidR="00397371" w:rsidRPr="00AB06F3" w:rsidRDefault="00397371" w:rsidP="00397371">
            <w:pPr>
              <w:spacing w:after="0" w:line="276" w:lineRule="auto"/>
              <w:jc w:val="both"/>
              <w:rPr>
                <w:rFonts w:ascii="Verdana" w:eastAsia="Verdana" w:hAnsi="Verdana" w:cs="Arial"/>
                <w:color w:val="000000"/>
                <w:kern w:val="0"/>
                <w:sz w:val="18"/>
                <w:szCs w:val="18"/>
                <w:lang w:eastAsia="es-CO"/>
                <w14:ligatures w14:val="none"/>
              </w:rPr>
            </w:pPr>
            <w:hyperlink r:id="rId45" w:history="1">
              <w:r w:rsidRPr="000076B8">
                <w:rPr>
                  <w:rStyle w:val="Hipervnculo"/>
                  <w:rFonts w:ascii="Verdana" w:eastAsia="Verdana" w:hAnsi="Verdana" w:cs="Arial"/>
                  <w:kern w:val="0"/>
                  <w:sz w:val="18"/>
                  <w:szCs w:val="18"/>
                  <w:lang w:eastAsia="es-CO"/>
                  <w14:ligatures w14:val="none"/>
                </w:rPr>
                <w:t>https://www.fiscalia.gov.co/colombia/servicios-de-informacion-al-ciudadano/donde-y-como-denunciar/</w:t>
              </w:r>
            </w:hyperlink>
            <w:r>
              <w:rPr>
                <w:rFonts w:ascii="Verdana" w:eastAsia="Verdana" w:hAnsi="Verdana" w:cs="Arial"/>
                <w:color w:val="000000"/>
                <w:kern w:val="0"/>
                <w:sz w:val="18"/>
                <w:szCs w:val="18"/>
                <w:lang w:eastAsia="es-CO"/>
                <w14:ligatures w14:val="none"/>
              </w:rPr>
              <w:t xml:space="preserve"> </w:t>
            </w:r>
            <w:r w:rsidRPr="00AB06F3">
              <w:rPr>
                <w:rFonts w:ascii="Verdana" w:eastAsia="Verdana" w:hAnsi="Verdana" w:cs="Arial"/>
                <w:color w:val="000000"/>
                <w:kern w:val="0"/>
                <w:sz w:val="18"/>
                <w:szCs w:val="18"/>
                <w:lang w:eastAsia="es-CO"/>
                <w14:ligatures w14:val="none"/>
              </w:rPr>
              <w:t xml:space="preserve">y de la Policía Nacional: </w:t>
            </w:r>
            <w:hyperlink r:id="rId46" w:history="1">
              <w:r w:rsidRPr="000076B8">
                <w:rPr>
                  <w:rStyle w:val="Hipervnculo"/>
                  <w:rFonts w:ascii="Verdana" w:eastAsia="Verdana" w:hAnsi="Verdana" w:cs="Arial"/>
                  <w:kern w:val="0"/>
                  <w:sz w:val="18"/>
                  <w:szCs w:val="18"/>
                  <w:lang w:eastAsia="es-CO"/>
                  <w14:ligatures w14:val="none"/>
                </w:rPr>
                <w:t>https://www.policia.gov.co</w:t>
              </w:r>
            </w:hyperlink>
          </w:p>
        </w:tc>
      </w:tr>
    </w:tbl>
    <w:p w14:paraId="419C0110" w14:textId="6A23CED5" w:rsidR="006F6F31" w:rsidRDefault="006F6F31" w:rsidP="0077302C">
      <w:pPr>
        <w:spacing w:before="240" w:after="0" w:line="276" w:lineRule="auto"/>
        <w:jc w:val="center"/>
        <w:rPr>
          <w:rFonts w:ascii="Verdana" w:hAnsi="Verdana"/>
          <w:sz w:val="18"/>
          <w:szCs w:val="18"/>
        </w:rPr>
      </w:pPr>
      <w:r w:rsidRPr="00330B02">
        <w:rPr>
          <w:rFonts w:ascii="Verdana" w:hAnsi="Verdana"/>
          <w:sz w:val="18"/>
          <w:szCs w:val="18"/>
        </w:rPr>
        <w:t xml:space="preserve">Fuente: </w:t>
      </w:r>
      <w:r w:rsidR="0077302C">
        <w:rPr>
          <w:rFonts w:ascii="Verdana" w:eastAsia="Verdana" w:hAnsi="Verdana" w:cs="Arial"/>
          <w:sz w:val="18"/>
          <w:szCs w:val="18"/>
        </w:rPr>
        <w:t>Agencia para la Reincorporación y la Normalización.</w:t>
      </w:r>
      <w:r w:rsidR="0077302C">
        <w:rPr>
          <w:rFonts w:ascii="Verdana" w:hAnsi="Verdana"/>
          <w:sz w:val="18"/>
          <w:szCs w:val="18"/>
        </w:rPr>
        <w:t xml:space="preserve"> </w:t>
      </w:r>
      <w:r w:rsidR="00074405">
        <w:rPr>
          <w:rFonts w:ascii="Verdana" w:hAnsi="Verdana"/>
          <w:sz w:val="18"/>
          <w:szCs w:val="18"/>
        </w:rPr>
        <w:t>1</w:t>
      </w:r>
      <w:r w:rsidRPr="00330B02">
        <w:rPr>
          <w:rFonts w:ascii="Verdana" w:hAnsi="Verdana"/>
          <w:sz w:val="18"/>
          <w:szCs w:val="18"/>
        </w:rPr>
        <w:t xml:space="preserve"> al 31 de diciembre del 202</w:t>
      </w:r>
      <w:r w:rsidR="00074405">
        <w:rPr>
          <w:rFonts w:ascii="Verdana" w:hAnsi="Verdana"/>
          <w:sz w:val="18"/>
          <w:szCs w:val="18"/>
        </w:rPr>
        <w:t>5</w:t>
      </w:r>
    </w:p>
    <w:p w14:paraId="7489B582" w14:textId="77777777" w:rsidR="0033752A" w:rsidRPr="00330B02" w:rsidRDefault="0033752A" w:rsidP="006F6F31">
      <w:pPr>
        <w:jc w:val="center"/>
        <w:rPr>
          <w:rFonts w:ascii="Verdana" w:hAnsi="Verdana"/>
          <w:sz w:val="18"/>
          <w:szCs w:val="18"/>
        </w:rPr>
      </w:pPr>
    </w:p>
    <w:p w14:paraId="184FF648" w14:textId="01CADE29" w:rsidR="000B1DA2" w:rsidRDefault="2C3B99B9" w:rsidP="00C25586">
      <w:pPr>
        <w:pStyle w:val="Ttulo2"/>
        <w:spacing w:after="0" w:line="276" w:lineRule="auto"/>
        <w:jc w:val="both"/>
        <w:rPr>
          <w:rFonts w:ascii="Verdana" w:eastAsia="Verdana" w:hAnsi="Verdana" w:cs="Arial"/>
          <w:color w:val="806000" w:themeColor="accent4" w:themeShade="80"/>
        </w:rPr>
      </w:pPr>
      <w:bookmarkStart w:id="85" w:name="_Toc154672468"/>
      <w:bookmarkStart w:id="86" w:name="_Toc225283101"/>
      <w:r w:rsidRPr="00AB06F3">
        <w:rPr>
          <w:rFonts w:ascii="Verdana" w:eastAsia="Verdana" w:hAnsi="Verdana" w:cs="Arial"/>
          <w:color w:val="806000" w:themeColor="accent4" w:themeShade="80"/>
        </w:rPr>
        <w:lastRenderedPageBreak/>
        <w:t>2.</w:t>
      </w:r>
      <w:r w:rsidR="003115B6">
        <w:rPr>
          <w:rFonts w:ascii="Verdana" w:eastAsia="Verdana" w:hAnsi="Verdana" w:cs="Arial"/>
          <w:color w:val="806000" w:themeColor="accent4" w:themeShade="80"/>
        </w:rPr>
        <w:t>3</w:t>
      </w:r>
      <w:r w:rsidRPr="00AB06F3">
        <w:rPr>
          <w:rFonts w:ascii="Verdana" w:eastAsia="Verdana" w:hAnsi="Verdana" w:cs="Arial"/>
          <w:color w:val="806000" w:themeColor="accent4" w:themeShade="80"/>
        </w:rPr>
        <w:t xml:space="preserve"> </w:t>
      </w:r>
      <w:r w:rsidR="7A00DE80" w:rsidRPr="00AB06F3">
        <w:rPr>
          <w:rFonts w:ascii="Verdana" w:eastAsia="Verdana" w:hAnsi="Verdana" w:cs="Arial"/>
          <w:color w:val="806000" w:themeColor="accent4" w:themeShade="80"/>
        </w:rPr>
        <w:t>Diálogos con las comunidades, ciudadanías y grupos de valor</w:t>
      </w:r>
      <w:bookmarkEnd w:id="86"/>
      <w:r w:rsidR="7A00DE80" w:rsidRPr="00AB06F3">
        <w:rPr>
          <w:rFonts w:ascii="Verdana" w:eastAsia="Verdana" w:hAnsi="Verdana" w:cs="Arial"/>
          <w:color w:val="806000" w:themeColor="accent4" w:themeShade="80"/>
        </w:rPr>
        <w:t xml:space="preserve"> </w:t>
      </w:r>
      <w:bookmarkEnd w:id="85"/>
    </w:p>
    <w:p w14:paraId="52D9F2E2" w14:textId="77777777" w:rsidR="006E660E" w:rsidRPr="006E660E" w:rsidRDefault="006E660E" w:rsidP="006E660E"/>
    <w:p w14:paraId="7BDBFE9E" w14:textId="17429227" w:rsidR="008F5A03" w:rsidRPr="00AB06F3" w:rsidRDefault="7A00DE80" w:rsidP="00C25586">
      <w:pPr>
        <w:spacing w:after="0" w:line="276" w:lineRule="auto"/>
        <w:jc w:val="both"/>
        <w:rPr>
          <w:rFonts w:ascii="Verdana" w:hAnsi="Verdana" w:cs="Arial"/>
          <w:sz w:val="24"/>
          <w:szCs w:val="24"/>
          <w:highlight w:val="lightGray"/>
        </w:rPr>
      </w:pPr>
      <w:r w:rsidRPr="00AB06F3">
        <w:rPr>
          <w:rFonts w:ascii="Verdana" w:hAnsi="Verdana" w:cs="Arial"/>
          <w:sz w:val="24"/>
          <w:szCs w:val="24"/>
        </w:rPr>
        <w:t xml:space="preserve">Invitamos a las personas, organizaciones, grupos y sectores interesados a participar en la audiencia pública y demás espacios de diálogo que </w:t>
      </w:r>
      <w:r w:rsidR="00787B57">
        <w:rPr>
          <w:rFonts w:ascii="Verdana" w:hAnsi="Verdana" w:cs="Arial"/>
          <w:sz w:val="24"/>
          <w:szCs w:val="24"/>
        </w:rPr>
        <w:t xml:space="preserve">La Agencia para la Reincorporación y Normalización, </w:t>
      </w:r>
      <w:r w:rsidRPr="00AB06F3">
        <w:rPr>
          <w:rFonts w:ascii="Verdana" w:hAnsi="Verdana" w:cs="Arial"/>
          <w:sz w:val="24"/>
          <w:szCs w:val="24"/>
        </w:rPr>
        <w:t xml:space="preserve">tiene programado para rendir cuentas sobre los avances de la implementación del Acuerdo de Paz y que puede consultar en el </w:t>
      </w:r>
      <w:r w:rsidRPr="00AB06F3">
        <w:rPr>
          <w:rFonts w:ascii="Verdana" w:hAnsi="Verdana" w:cs="Arial"/>
          <w:b/>
          <w:bCs/>
          <w:sz w:val="24"/>
          <w:szCs w:val="24"/>
        </w:rPr>
        <w:t>Menú participa</w:t>
      </w:r>
      <w:r w:rsidRPr="00AB06F3">
        <w:rPr>
          <w:rFonts w:ascii="Verdana" w:hAnsi="Verdana" w:cs="Arial"/>
          <w:sz w:val="24"/>
          <w:szCs w:val="24"/>
        </w:rPr>
        <w:t xml:space="preserve"> en la página web de la entidad en el siguiente enlace</w:t>
      </w:r>
      <w:r w:rsidR="542409F2" w:rsidRPr="00AB06F3">
        <w:rPr>
          <w:rFonts w:ascii="Verdana" w:hAnsi="Verdana" w:cs="Arial"/>
          <w:sz w:val="24"/>
          <w:szCs w:val="24"/>
        </w:rPr>
        <w:t>.</w:t>
      </w:r>
    </w:p>
    <w:p w14:paraId="105C0083" w14:textId="65EF4297" w:rsidR="70F3B164" w:rsidRPr="00AB06F3" w:rsidRDefault="70F3B164" w:rsidP="00C25586">
      <w:pPr>
        <w:spacing w:after="0" w:line="276" w:lineRule="auto"/>
        <w:jc w:val="both"/>
        <w:rPr>
          <w:rFonts w:ascii="Verdana" w:hAnsi="Verdana" w:cs="Arial"/>
          <w:sz w:val="24"/>
          <w:szCs w:val="24"/>
        </w:rPr>
      </w:pPr>
    </w:p>
    <w:p w14:paraId="24CFC2AF" w14:textId="327FF7FE" w:rsidR="542409F2" w:rsidRPr="00AB06F3" w:rsidRDefault="542409F2" w:rsidP="00C25586">
      <w:pPr>
        <w:spacing w:after="0" w:line="276" w:lineRule="auto"/>
        <w:jc w:val="both"/>
        <w:rPr>
          <w:rFonts w:ascii="Verdana" w:hAnsi="Verdana" w:cs="Arial"/>
          <w:sz w:val="24"/>
          <w:szCs w:val="24"/>
        </w:rPr>
      </w:pPr>
      <w:hyperlink r:id="rId47">
        <w:r w:rsidRPr="00AB06F3">
          <w:rPr>
            <w:rStyle w:val="Hipervnculo"/>
            <w:rFonts w:ascii="Verdana" w:hAnsi="Verdana" w:cs="Arial"/>
            <w:sz w:val="24"/>
            <w:szCs w:val="24"/>
          </w:rPr>
          <w:t>https://www.reincorporacion.gov.co/es/Paginas/calendario.aspx</w:t>
        </w:r>
      </w:hyperlink>
    </w:p>
    <w:p w14:paraId="15D9C4E7" w14:textId="77777777" w:rsidR="00B23891" w:rsidRDefault="00B23891" w:rsidP="00B23891">
      <w:pPr>
        <w:spacing w:after="0" w:line="240" w:lineRule="auto"/>
        <w:jc w:val="both"/>
        <w:rPr>
          <w:rFonts w:ascii="Verdana" w:hAnsi="Verdana"/>
          <w:sz w:val="24"/>
          <w:szCs w:val="24"/>
          <w:highlight w:val="lightGray"/>
        </w:rPr>
      </w:pPr>
    </w:p>
    <w:tbl>
      <w:tblPr>
        <w:tblW w:w="0" w:type="auto"/>
        <w:tblLayout w:type="fixed"/>
        <w:tblLook w:val="06A0" w:firstRow="1" w:lastRow="0" w:firstColumn="1" w:lastColumn="0" w:noHBand="1" w:noVBand="1"/>
      </w:tblPr>
      <w:tblGrid>
        <w:gridCol w:w="1285"/>
        <w:gridCol w:w="7550"/>
      </w:tblGrid>
      <w:tr w:rsidR="00B23891" w14:paraId="40780CDF" w14:textId="77777777" w:rsidTr="005F457D">
        <w:trPr>
          <w:trHeight w:val="300"/>
        </w:trPr>
        <w:tc>
          <w:tcPr>
            <w:tcW w:w="1285" w:type="dxa"/>
            <w:vAlign w:val="center"/>
          </w:tcPr>
          <w:p w14:paraId="7D6F1F37" w14:textId="77777777" w:rsidR="00B23891" w:rsidRDefault="00B23891" w:rsidP="005F457D"/>
        </w:tc>
        <w:tc>
          <w:tcPr>
            <w:tcW w:w="7550" w:type="dxa"/>
            <w:vAlign w:val="center"/>
          </w:tcPr>
          <w:p w14:paraId="20E0ABE5" w14:textId="45C4B777" w:rsidR="00AA36AB" w:rsidRPr="00800721" w:rsidRDefault="00AA36AB" w:rsidP="00AA36AB">
            <w:pPr>
              <w:pStyle w:val="Descripcin"/>
              <w:keepNext/>
              <w:jc w:val="center"/>
              <w:rPr>
                <w:rFonts w:ascii="Verdana" w:hAnsi="Verdana"/>
                <w:i w:val="0"/>
                <w:iCs w:val="0"/>
                <w:color w:val="auto"/>
              </w:rPr>
            </w:pPr>
            <w:bookmarkStart w:id="87" w:name="_Toc225265051"/>
            <w:r w:rsidRPr="00800721">
              <w:rPr>
                <w:rFonts w:ascii="Verdana" w:hAnsi="Verdana"/>
                <w:i w:val="0"/>
                <w:iCs w:val="0"/>
                <w:color w:val="auto"/>
              </w:rPr>
              <w:t xml:space="preserve">Ilustración </w:t>
            </w:r>
            <w:r w:rsidRPr="00800721">
              <w:rPr>
                <w:rFonts w:ascii="Verdana" w:hAnsi="Verdana"/>
                <w:i w:val="0"/>
                <w:iCs w:val="0"/>
                <w:color w:val="auto"/>
              </w:rPr>
              <w:fldChar w:fldCharType="begin"/>
            </w:r>
            <w:r w:rsidRPr="00800721">
              <w:rPr>
                <w:rFonts w:ascii="Verdana" w:hAnsi="Verdana"/>
                <w:i w:val="0"/>
                <w:iCs w:val="0"/>
                <w:color w:val="auto"/>
              </w:rPr>
              <w:instrText xml:space="preserve"> SEQ Ilustración \* ARABIC </w:instrText>
            </w:r>
            <w:r w:rsidRPr="00800721">
              <w:rPr>
                <w:rFonts w:ascii="Verdana" w:hAnsi="Verdana"/>
                <w:i w:val="0"/>
                <w:iCs w:val="0"/>
                <w:color w:val="auto"/>
              </w:rPr>
              <w:fldChar w:fldCharType="separate"/>
            </w:r>
            <w:r w:rsidR="0078027F">
              <w:rPr>
                <w:rFonts w:ascii="Verdana" w:hAnsi="Verdana"/>
                <w:i w:val="0"/>
                <w:iCs w:val="0"/>
                <w:noProof/>
                <w:color w:val="auto"/>
              </w:rPr>
              <w:t>3</w:t>
            </w:r>
            <w:r w:rsidRPr="00800721">
              <w:rPr>
                <w:rFonts w:ascii="Verdana" w:hAnsi="Verdana"/>
                <w:i w:val="0"/>
                <w:iCs w:val="0"/>
                <w:color w:val="auto"/>
              </w:rPr>
              <w:fldChar w:fldCharType="end"/>
            </w:r>
            <w:r w:rsidRPr="00800721">
              <w:rPr>
                <w:rFonts w:ascii="Verdana" w:hAnsi="Verdana"/>
                <w:i w:val="0"/>
                <w:iCs w:val="0"/>
                <w:color w:val="auto"/>
              </w:rPr>
              <w:t>. Calendario de eventos ARN</w:t>
            </w:r>
            <w:bookmarkEnd w:id="87"/>
          </w:p>
          <w:p w14:paraId="2B0D836F" w14:textId="4B029C3E" w:rsidR="00B23891" w:rsidRDefault="00EB677A" w:rsidP="005F457D">
            <w:pPr>
              <w:rPr>
                <w:rFonts w:ascii="Calibri" w:eastAsia="Calibri" w:hAnsi="Calibri" w:cs="Arial"/>
              </w:rPr>
            </w:pPr>
            <w:r w:rsidRPr="00EB677A">
              <w:rPr>
                <w:rFonts w:ascii="Calibri" w:eastAsia="Calibri" w:hAnsi="Calibri" w:cs="Arial"/>
                <w:noProof/>
              </w:rPr>
              <w:drawing>
                <wp:inline distT="0" distB="0" distL="0" distR="0" wp14:anchorId="3E30CE6A" wp14:editId="5D7D7BB4">
                  <wp:extent cx="4657090" cy="2640842"/>
                  <wp:effectExtent l="0" t="0" r="0" b="7620"/>
                  <wp:docPr id="1511194588" name="Imagen 1" descr="Imagen del calendario de eventos de la ARN en la página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94588" name="Imagen 1" descr="Imagen del calendario de eventos de la ARN en la página web"/>
                          <pic:cNvPicPr/>
                        </pic:nvPicPr>
                        <pic:blipFill rotWithShape="1">
                          <a:blip r:embed="rId48"/>
                          <a:srcRect b="4593"/>
                          <a:stretch/>
                        </pic:blipFill>
                        <pic:spPr bwMode="auto">
                          <a:xfrm>
                            <a:off x="0" y="0"/>
                            <a:ext cx="4657090" cy="264084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6DD1463" w14:textId="42DF7047" w:rsidR="70F3B164" w:rsidRDefault="00D20696" w:rsidP="0097744F">
      <w:pPr>
        <w:spacing w:after="0" w:line="276" w:lineRule="auto"/>
        <w:jc w:val="center"/>
      </w:pPr>
      <w:r w:rsidRPr="680D215C">
        <w:rPr>
          <w:rFonts w:ascii="Tahoma" w:eastAsia="Tahoma" w:hAnsi="Tahoma" w:cs="Tahoma"/>
          <w:color w:val="383B37"/>
          <w:sz w:val="18"/>
          <w:szCs w:val="18"/>
          <w:lang w:val="es"/>
        </w:rPr>
        <w:t xml:space="preserve">Fuente: </w:t>
      </w:r>
      <w:r w:rsidR="0097744F">
        <w:rPr>
          <w:rFonts w:ascii="Tahoma" w:eastAsia="Tahoma" w:hAnsi="Tahoma" w:cs="Tahoma"/>
          <w:color w:val="383B37"/>
          <w:sz w:val="18"/>
          <w:szCs w:val="18"/>
          <w:lang w:val="es"/>
        </w:rPr>
        <w:t>Portal web ARN mes de agosto</w:t>
      </w:r>
    </w:p>
    <w:p w14:paraId="2E018E6E" w14:textId="77777777" w:rsidR="00D20696" w:rsidRPr="00AB06F3" w:rsidRDefault="00D20696" w:rsidP="00C25586">
      <w:pPr>
        <w:spacing w:after="0" w:line="276" w:lineRule="auto"/>
        <w:jc w:val="both"/>
        <w:rPr>
          <w:rFonts w:ascii="Verdana" w:hAnsi="Verdana" w:cs="Arial"/>
          <w:sz w:val="24"/>
          <w:szCs w:val="24"/>
        </w:rPr>
      </w:pPr>
    </w:p>
    <w:p w14:paraId="727505A9" w14:textId="55237055" w:rsidR="00ED5251" w:rsidRPr="00AB06F3" w:rsidRDefault="000975C3" w:rsidP="00C25586">
      <w:pPr>
        <w:spacing w:after="0" w:line="276" w:lineRule="auto"/>
        <w:jc w:val="both"/>
        <w:rPr>
          <w:rFonts w:ascii="Verdana" w:hAnsi="Verdana" w:cs="Arial"/>
          <w:b/>
          <w:sz w:val="24"/>
          <w:szCs w:val="24"/>
        </w:rPr>
      </w:pPr>
      <w:r w:rsidRPr="00AB06F3">
        <w:rPr>
          <w:rFonts w:ascii="Verdana" w:hAnsi="Verdana" w:cs="Arial"/>
          <w:b/>
          <w:sz w:val="24"/>
          <w:szCs w:val="24"/>
        </w:rPr>
        <w:t>Datos de contacto institucional</w:t>
      </w:r>
    </w:p>
    <w:p w14:paraId="41CB8445" w14:textId="77777777" w:rsidR="000975C3" w:rsidRPr="00AB06F3" w:rsidRDefault="000975C3" w:rsidP="00C25586">
      <w:pPr>
        <w:spacing w:after="0" w:line="276" w:lineRule="auto"/>
        <w:jc w:val="both"/>
        <w:rPr>
          <w:rFonts w:ascii="Verdana" w:hAnsi="Verdana" w:cs="Arial"/>
          <w:sz w:val="24"/>
          <w:szCs w:val="24"/>
        </w:rPr>
      </w:pPr>
    </w:p>
    <w:p w14:paraId="5E9770F5" w14:textId="09AFA626" w:rsidR="680D215C" w:rsidRPr="00AB06F3" w:rsidRDefault="008F5A03" w:rsidP="006E660E">
      <w:pPr>
        <w:spacing w:after="0" w:line="276" w:lineRule="auto"/>
        <w:jc w:val="both"/>
        <w:rPr>
          <w:rFonts w:ascii="Verdana" w:hAnsi="Verdana" w:cs="Arial"/>
          <w:sz w:val="24"/>
          <w:szCs w:val="24"/>
        </w:rPr>
      </w:pPr>
      <w:r w:rsidRPr="00AB06F3">
        <w:rPr>
          <w:rFonts w:ascii="Verdana" w:hAnsi="Verdana" w:cs="Arial"/>
          <w:sz w:val="24"/>
          <w:szCs w:val="24"/>
        </w:rPr>
        <w:t>En caso de tener comentarios o dudas sobre el presente informe de rendición de cuentas del Acuerdo de Paz</w:t>
      </w:r>
      <w:r w:rsidR="5DF35E3A" w:rsidRPr="00AB06F3">
        <w:rPr>
          <w:rFonts w:ascii="Verdana" w:hAnsi="Verdana" w:cs="Arial"/>
          <w:sz w:val="24"/>
          <w:szCs w:val="24"/>
        </w:rPr>
        <w:t xml:space="preserve"> de la </w:t>
      </w:r>
      <w:r w:rsidR="00FF5173">
        <w:rPr>
          <w:rFonts w:ascii="Verdana" w:hAnsi="Verdana" w:cs="Arial"/>
          <w:sz w:val="24"/>
          <w:szCs w:val="24"/>
        </w:rPr>
        <w:t>Agencia para la Reincorporación y la Normalización</w:t>
      </w:r>
      <w:r w:rsidR="5DF35E3A" w:rsidRPr="00AB06F3">
        <w:rPr>
          <w:rFonts w:ascii="Verdana" w:hAnsi="Verdana" w:cs="Arial"/>
          <w:sz w:val="24"/>
          <w:szCs w:val="24"/>
        </w:rPr>
        <w:t xml:space="preserve">, puede comunicarse con: </w:t>
      </w:r>
    </w:p>
    <w:p w14:paraId="562BB15A" w14:textId="77777777" w:rsidR="00EE6FEF" w:rsidRPr="00AB06F3" w:rsidRDefault="00EE6FEF" w:rsidP="00C25586">
      <w:pPr>
        <w:spacing w:after="0" w:line="276" w:lineRule="auto"/>
        <w:rPr>
          <w:rFonts w:ascii="Verdana" w:hAnsi="Verdana" w:cs="Arial"/>
          <w:sz w:val="24"/>
          <w:szCs w:val="24"/>
          <w:highlight w:val="darkGray"/>
        </w:rPr>
      </w:pPr>
    </w:p>
    <w:p w14:paraId="74DE5D89" w14:textId="77260968" w:rsidR="009F1B80" w:rsidRPr="009F1B80" w:rsidRDefault="009F1B80" w:rsidP="009F1B80">
      <w:pPr>
        <w:pStyle w:val="Descripcin"/>
        <w:keepNext/>
        <w:jc w:val="center"/>
        <w:rPr>
          <w:rFonts w:ascii="Verdana" w:hAnsi="Verdana" w:cs="Arial"/>
          <w:i w:val="0"/>
          <w:iCs w:val="0"/>
          <w:color w:val="000000" w:themeColor="text1"/>
        </w:rPr>
      </w:pPr>
      <w:bookmarkStart w:id="88" w:name="_Toc225283185"/>
      <w:r w:rsidRPr="009F1B80">
        <w:rPr>
          <w:rFonts w:ascii="Verdana" w:hAnsi="Verdana" w:cs="Arial"/>
          <w:i w:val="0"/>
          <w:iCs w:val="0"/>
          <w:color w:val="000000" w:themeColor="text1"/>
        </w:rPr>
        <w:t xml:space="preserve">Tabla </w:t>
      </w:r>
      <w:r w:rsidRPr="009F1B80">
        <w:rPr>
          <w:rFonts w:ascii="Verdana" w:hAnsi="Verdana" w:cs="Arial"/>
          <w:i w:val="0"/>
          <w:iCs w:val="0"/>
          <w:color w:val="000000" w:themeColor="text1"/>
        </w:rPr>
        <w:fldChar w:fldCharType="begin"/>
      </w:r>
      <w:r w:rsidRPr="009F1B80">
        <w:rPr>
          <w:rFonts w:ascii="Verdana" w:hAnsi="Verdana" w:cs="Arial"/>
          <w:i w:val="0"/>
          <w:iCs w:val="0"/>
          <w:color w:val="000000" w:themeColor="text1"/>
        </w:rPr>
        <w:instrText xml:space="preserve"> SEQ Tabla \* ARABIC </w:instrText>
      </w:r>
      <w:r w:rsidRPr="009F1B80">
        <w:rPr>
          <w:rFonts w:ascii="Verdana" w:hAnsi="Verdana" w:cs="Arial"/>
          <w:i w:val="0"/>
          <w:iCs w:val="0"/>
          <w:color w:val="000000" w:themeColor="text1"/>
        </w:rPr>
        <w:fldChar w:fldCharType="separate"/>
      </w:r>
      <w:r w:rsidR="0078027F">
        <w:rPr>
          <w:rFonts w:ascii="Verdana" w:hAnsi="Verdana" w:cs="Arial"/>
          <w:i w:val="0"/>
          <w:iCs w:val="0"/>
          <w:noProof/>
          <w:color w:val="000000" w:themeColor="text1"/>
        </w:rPr>
        <w:t>73</w:t>
      </w:r>
      <w:r w:rsidRPr="009F1B80">
        <w:rPr>
          <w:rFonts w:ascii="Verdana" w:hAnsi="Verdana" w:cs="Arial"/>
          <w:i w:val="0"/>
          <w:iCs w:val="0"/>
          <w:color w:val="000000" w:themeColor="text1"/>
        </w:rPr>
        <w:fldChar w:fldCharType="end"/>
      </w:r>
      <w:r w:rsidRPr="009F1B80">
        <w:rPr>
          <w:rFonts w:ascii="Verdana" w:hAnsi="Verdana" w:cs="Arial"/>
          <w:i w:val="0"/>
          <w:iCs w:val="0"/>
          <w:color w:val="000000" w:themeColor="text1"/>
        </w:rPr>
        <w:t>. Datos de enlaces de la Entidad</w:t>
      </w:r>
      <w:bookmarkEnd w:id="88"/>
    </w:p>
    <w:tbl>
      <w:tblPr>
        <w:tblStyle w:val="Tablaconcuadrcula1clara-nfasis4"/>
        <w:tblW w:w="8926" w:type="dxa"/>
        <w:tblLook w:val="04A0" w:firstRow="1" w:lastRow="0" w:firstColumn="1" w:lastColumn="0" w:noHBand="0" w:noVBand="1"/>
        <w:tblCaption w:val="Datos de enlaces de la Entidad"/>
        <w:tblDescription w:val="Datos de enlaces de la Entidad"/>
      </w:tblPr>
      <w:tblGrid>
        <w:gridCol w:w="8926"/>
      </w:tblGrid>
      <w:tr w:rsidR="00E56E0B" w:rsidRPr="00AB06F3" w14:paraId="1C81977D" w14:textId="77777777" w:rsidTr="00E56E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427A48D" w14:textId="77777777" w:rsidR="00E56E0B" w:rsidRDefault="00E56E0B" w:rsidP="001F5604">
            <w:pPr>
              <w:spacing w:line="276" w:lineRule="auto"/>
              <w:rPr>
                <w:rFonts w:ascii="Verdana" w:hAnsi="Verdana" w:cs="Arial"/>
                <w:bCs w:val="0"/>
                <w:color w:val="000000" w:themeColor="text1"/>
                <w:sz w:val="18"/>
                <w:szCs w:val="18"/>
              </w:rPr>
            </w:pPr>
            <w:r w:rsidRPr="00AB06F3">
              <w:rPr>
                <w:rFonts w:ascii="Verdana" w:hAnsi="Verdana" w:cs="Arial"/>
                <w:b w:val="0"/>
                <w:color w:val="000000" w:themeColor="text1"/>
                <w:sz w:val="18"/>
                <w:szCs w:val="18"/>
              </w:rPr>
              <w:t>Oficina Planeación</w:t>
            </w:r>
          </w:p>
          <w:p w14:paraId="4FE07390" w14:textId="77777777" w:rsidR="00E56E0B" w:rsidRDefault="00E56E0B" w:rsidP="001F5604">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Nombre:</w:t>
            </w:r>
            <w:r w:rsidRPr="00AB06F3">
              <w:rPr>
                <w:rFonts w:ascii="Verdana" w:hAnsi="Verdana" w:cs="Arial"/>
                <w:sz w:val="18"/>
                <w:szCs w:val="18"/>
              </w:rPr>
              <w:t xml:space="preserve"> Mariluz Ramirez Ramirez</w:t>
            </w:r>
          </w:p>
          <w:p w14:paraId="70BE39F2" w14:textId="77777777" w:rsidR="00E56E0B" w:rsidRDefault="00E56E0B" w:rsidP="001F5604">
            <w:pPr>
              <w:spacing w:line="276" w:lineRule="auto"/>
              <w:rPr>
                <w:rFonts w:ascii="Verdana" w:hAnsi="Verdana" w:cs="Arial"/>
                <w:color w:val="000000" w:themeColor="text1"/>
                <w:sz w:val="18"/>
                <w:szCs w:val="18"/>
              </w:rPr>
            </w:pPr>
            <w:r w:rsidRPr="00AB06F3">
              <w:rPr>
                <w:rFonts w:ascii="Verdana" w:hAnsi="Verdana" w:cs="Arial"/>
                <w:b w:val="0"/>
                <w:bCs w:val="0"/>
                <w:color w:val="000000" w:themeColor="text1"/>
                <w:sz w:val="18"/>
                <w:szCs w:val="18"/>
              </w:rPr>
              <w:t>Correo:</w:t>
            </w:r>
            <w:r>
              <w:t xml:space="preserve"> </w:t>
            </w:r>
            <w:hyperlink r:id="rId49" w:history="1">
              <w:r w:rsidRPr="00EB63D6">
                <w:rPr>
                  <w:rStyle w:val="Hipervnculo"/>
                  <w:rFonts w:ascii="Verdana" w:hAnsi="Verdana" w:cs="Arial"/>
                  <w:sz w:val="18"/>
                  <w:szCs w:val="18"/>
                </w:rPr>
                <w:t>mariluzramirez@reincorporacion.gov.co</w:t>
              </w:r>
            </w:hyperlink>
            <w:r w:rsidRPr="00AB06F3">
              <w:rPr>
                <w:rFonts w:ascii="Verdana" w:hAnsi="Verdana" w:cs="Arial"/>
                <w:b w:val="0"/>
                <w:bCs w:val="0"/>
                <w:color w:val="000000" w:themeColor="text1"/>
                <w:sz w:val="18"/>
                <w:szCs w:val="18"/>
              </w:rPr>
              <w:t xml:space="preserve"> </w:t>
            </w:r>
          </w:p>
          <w:p w14:paraId="4CC1E290" w14:textId="77777777" w:rsidR="00E56E0B" w:rsidRPr="00E56E0B" w:rsidRDefault="00E56E0B" w:rsidP="001F5604">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lastRenderedPageBreak/>
              <w:t>Teléfono:</w:t>
            </w:r>
            <w:r w:rsidRPr="00AB06F3">
              <w:rPr>
                <w:rFonts w:ascii="Verdana" w:hAnsi="Verdana" w:cs="Arial"/>
                <w:sz w:val="18"/>
                <w:szCs w:val="18"/>
              </w:rPr>
              <w:t xml:space="preserve"> </w:t>
            </w:r>
            <w:r w:rsidRPr="00E56E0B">
              <w:rPr>
                <w:rFonts w:ascii="Verdana" w:hAnsi="Verdana" w:cs="Arial"/>
                <w:b w:val="0"/>
                <w:bCs w:val="0"/>
                <w:sz w:val="18"/>
                <w:szCs w:val="18"/>
              </w:rPr>
              <w:t>4430020 ext. 10200</w:t>
            </w:r>
          </w:p>
          <w:p w14:paraId="0B852004" w14:textId="451D8CA6" w:rsidR="00E56E0B" w:rsidRPr="00AB06F3" w:rsidRDefault="00E56E0B" w:rsidP="001F5604">
            <w:pPr>
              <w:spacing w:line="276" w:lineRule="auto"/>
              <w:rPr>
                <w:rFonts w:ascii="Verdana" w:hAnsi="Verdana" w:cs="Arial"/>
                <w:b w:val="0"/>
                <w:bCs w:val="0"/>
                <w:color w:val="000000" w:themeColor="text1"/>
                <w:sz w:val="18"/>
                <w:szCs w:val="18"/>
              </w:rPr>
            </w:pPr>
            <w:r w:rsidRPr="00E56E0B">
              <w:rPr>
                <w:rFonts w:ascii="Verdana" w:hAnsi="Verdana" w:cs="Arial"/>
                <w:b w:val="0"/>
                <w:bCs w:val="0"/>
                <w:color w:val="000000" w:themeColor="text1"/>
                <w:sz w:val="18"/>
                <w:szCs w:val="18"/>
              </w:rPr>
              <w:t xml:space="preserve">Horario de Atención </w:t>
            </w:r>
            <w:r w:rsidRPr="00E56E0B">
              <w:rPr>
                <w:rFonts w:ascii="Verdana" w:hAnsi="Verdana" w:cs="Arial"/>
                <w:b w:val="0"/>
                <w:bCs w:val="0"/>
                <w:sz w:val="18"/>
                <w:szCs w:val="18"/>
              </w:rPr>
              <w:t>8:00 a.m a 5:00 p.m</w:t>
            </w:r>
          </w:p>
        </w:tc>
      </w:tr>
      <w:tr w:rsidR="00E56E0B" w:rsidRPr="00AB06F3" w14:paraId="43C6B3D9" w14:textId="77777777" w:rsidTr="00E56E0B">
        <w:tc>
          <w:tcPr>
            <w:cnfStyle w:val="001000000000" w:firstRow="0" w:lastRow="0" w:firstColumn="1" w:lastColumn="0" w:oddVBand="0" w:evenVBand="0" w:oddHBand="0" w:evenHBand="0" w:firstRowFirstColumn="0" w:firstRowLastColumn="0" w:lastRowFirstColumn="0" w:lastRowLastColumn="0"/>
            <w:tcW w:w="8926" w:type="dxa"/>
          </w:tcPr>
          <w:p w14:paraId="3738A9B1" w14:textId="77777777" w:rsidR="00E56E0B" w:rsidRDefault="00E56E0B" w:rsidP="00C25586">
            <w:pPr>
              <w:spacing w:line="276" w:lineRule="auto"/>
              <w:rPr>
                <w:rFonts w:ascii="Verdana" w:hAnsi="Verdana" w:cs="Arial"/>
                <w:bCs w:val="0"/>
                <w:sz w:val="18"/>
                <w:szCs w:val="18"/>
              </w:rPr>
            </w:pPr>
            <w:r w:rsidRPr="00AB06F3">
              <w:rPr>
                <w:rFonts w:ascii="Verdana" w:hAnsi="Verdana" w:cs="Arial"/>
                <w:b w:val="0"/>
                <w:sz w:val="18"/>
                <w:szCs w:val="18"/>
              </w:rPr>
              <w:lastRenderedPageBreak/>
              <w:t>Enlace Paz</w:t>
            </w:r>
          </w:p>
          <w:p w14:paraId="24A49E4A" w14:textId="669A5A61" w:rsidR="00E56E0B" w:rsidRDefault="00E56E0B" w:rsidP="00C25586">
            <w:pPr>
              <w:spacing w:line="276" w:lineRule="auto"/>
              <w:rPr>
                <w:rFonts w:ascii="Verdana" w:hAnsi="Verdana" w:cs="Arial"/>
                <w:color w:val="000000" w:themeColor="text1"/>
                <w:sz w:val="18"/>
                <w:szCs w:val="18"/>
              </w:rPr>
            </w:pPr>
            <w:r w:rsidRPr="00AB06F3">
              <w:rPr>
                <w:rFonts w:ascii="Verdana" w:hAnsi="Verdana" w:cs="Arial"/>
                <w:b w:val="0"/>
                <w:bCs w:val="0"/>
                <w:color w:val="000000" w:themeColor="text1"/>
                <w:sz w:val="18"/>
                <w:szCs w:val="18"/>
              </w:rPr>
              <w:t>Nombre:</w:t>
            </w:r>
            <w:r>
              <w:rPr>
                <w:rFonts w:ascii="Verdana" w:hAnsi="Verdana" w:cs="Arial"/>
                <w:b w:val="0"/>
                <w:bCs w:val="0"/>
                <w:color w:val="000000" w:themeColor="text1"/>
                <w:sz w:val="18"/>
                <w:szCs w:val="18"/>
              </w:rPr>
              <w:t xml:space="preserve"> </w:t>
            </w:r>
            <w:r w:rsidRPr="00AB06F3">
              <w:rPr>
                <w:rFonts w:ascii="Verdana" w:hAnsi="Verdana" w:cs="Arial"/>
                <w:sz w:val="18"/>
                <w:szCs w:val="18"/>
              </w:rPr>
              <w:t>Tania Esperanza Rodriguez Triana</w:t>
            </w:r>
          </w:p>
          <w:p w14:paraId="44912070" w14:textId="72D65757" w:rsidR="00E56E0B" w:rsidRDefault="00E56E0B" w:rsidP="00C25586">
            <w:pPr>
              <w:spacing w:line="276" w:lineRule="auto"/>
              <w:rPr>
                <w:rFonts w:ascii="Verdana" w:hAnsi="Verdana" w:cs="Arial"/>
                <w:color w:val="000000" w:themeColor="text1"/>
                <w:sz w:val="18"/>
                <w:szCs w:val="18"/>
              </w:rPr>
            </w:pPr>
            <w:r w:rsidRPr="00AB06F3">
              <w:rPr>
                <w:rFonts w:ascii="Verdana" w:hAnsi="Verdana" w:cs="Arial"/>
                <w:b w:val="0"/>
                <w:bCs w:val="0"/>
                <w:color w:val="000000" w:themeColor="text1"/>
                <w:sz w:val="18"/>
                <w:szCs w:val="18"/>
              </w:rPr>
              <w:t>Correo:</w:t>
            </w:r>
            <w:r>
              <w:t xml:space="preserve"> </w:t>
            </w:r>
            <w:hyperlink r:id="rId50" w:history="1">
              <w:r w:rsidRPr="00EB63D6">
                <w:rPr>
                  <w:rStyle w:val="Hipervnculo"/>
                  <w:rFonts w:ascii="Verdana" w:hAnsi="Verdana"/>
                  <w:sz w:val="18"/>
                  <w:szCs w:val="18"/>
                </w:rPr>
                <w:t>taniarodriguez@reincorporacion.gov.co</w:t>
              </w:r>
            </w:hyperlink>
          </w:p>
          <w:p w14:paraId="67690220" w14:textId="4854D464" w:rsidR="00E56E0B" w:rsidRPr="00E56E0B" w:rsidRDefault="00E56E0B" w:rsidP="00C25586">
            <w:pPr>
              <w:spacing w:line="276" w:lineRule="auto"/>
              <w:rPr>
                <w:rFonts w:ascii="Verdana" w:hAnsi="Verdana" w:cs="Arial"/>
                <w:b w:val="0"/>
                <w:bCs w:val="0"/>
                <w:color w:val="000000" w:themeColor="text1"/>
                <w:sz w:val="18"/>
                <w:szCs w:val="18"/>
              </w:rPr>
            </w:pPr>
            <w:r w:rsidRPr="00AB06F3">
              <w:rPr>
                <w:rFonts w:ascii="Verdana" w:hAnsi="Verdana" w:cs="Arial"/>
                <w:b w:val="0"/>
                <w:bCs w:val="0"/>
                <w:color w:val="000000" w:themeColor="text1"/>
                <w:sz w:val="18"/>
                <w:szCs w:val="18"/>
              </w:rPr>
              <w:t>Teléfono:</w:t>
            </w:r>
            <w:r>
              <w:rPr>
                <w:rFonts w:ascii="Verdana" w:hAnsi="Verdana" w:cs="Arial"/>
                <w:b w:val="0"/>
                <w:bCs w:val="0"/>
                <w:color w:val="000000" w:themeColor="text1"/>
                <w:sz w:val="18"/>
                <w:szCs w:val="18"/>
              </w:rPr>
              <w:t xml:space="preserve"> </w:t>
            </w:r>
            <w:r w:rsidRPr="00E56E0B">
              <w:rPr>
                <w:rFonts w:ascii="Verdana" w:hAnsi="Verdana"/>
                <w:b w:val="0"/>
                <w:bCs w:val="0"/>
                <w:sz w:val="18"/>
                <w:szCs w:val="18"/>
              </w:rPr>
              <w:t>4430020 ext. 10400</w:t>
            </w:r>
          </w:p>
          <w:p w14:paraId="329D5B32" w14:textId="3D2B8429" w:rsidR="00E56E0B" w:rsidRPr="00AB06F3" w:rsidRDefault="00E56E0B" w:rsidP="00C25586">
            <w:pPr>
              <w:spacing w:line="276" w:lineRule="auto"/>
              <w:rPr>
                <w:rFonts w:ascii="Verdana" w:hAnsi="Verdana" w:cs="Arial"/>
                <w:b w:val="0"/>
                <w:bCs w:val="0"/>
                <w:sz w:val="18"/>
                <w:szCs w:val="18"/>
              </w:rPr>
            </w:pPr>
            <w:r w:rsidRPr="00E56E0B">
              <w:rPr>
                <w:rFonts w:ascii="Verdana" w:hAnsi="Verdana" w:cs="Arial"/>
                <w:b w:val="0"/>
                <w:bCs w:val="0"/>
                <w:color w:val="000000" w:themeColor="text1"/>
                <w:sz w:val="18"/>
                <w:szCs w:val="18"/>
              </w:rPr>
              <w:t xml:space="preserve">Horario de Atención </w:t>
            </w:r>
            <w:r w:rsidRPr="00E56E0B">
              <w:rPr>
                <w:rFonts w:ascii="Verdana" w:hAnsi="Verdana" w:cs="Arial"/>
                <w:b w:val="0"/>
                <w:bCs w:val="0"/>
                <w:sz w:val="18"/>
                <w:szCs w:val="18"/>
              </w:rPr>
              <w:t>8:00 a.m a 5:00 p.m</w:t>
            </w:r>
          </w:p>
        </w:tc>
      </w:tr>
      <w:tr w:rsidR="00E56E0B" w:rsidRPr="00AB06F3" w14:paraId="6ACC6F8B" w14:textId="77777777" w:rsidTr="00E56E0B">
        <w:tc>
          <w:tcPr>
            <w:cnfStyle w:val="001000000000" w:firstRow="0" w:lastRow="0" w:firstColumn="1" w:lastColumn="0" w:oddVBand="0" w:evenVBand="0" w:oddHBand="0" w:evenHBand="0" w:firstRowFirstColumn="0" w:firstRowLastColumn="0" w:lastRowFirstColumn="0" w:lastRowLastColumn="0"/>
            <w:tcW w:w="8926" w:type="dxa"/>
          </w:tcPr>
          <w:p w14:paraId="50880BAD" w14:textId="77777777" w:rsidR="00E56E0B" w:rsidRDefault="00E56E0B" w:rsidP="00C25586">
            <w:pPr>
              <w:spacing w:line="276" w:lineRule="auto"/>
              <w:rPr>
                <w:rFonts w:ascii="Verdana" w:hAnsi="Verdana" w:cs="Arial"/>
                <w:bCs w:val="0"/>
                <w:sz w:val="18"/>
                <w:szCs w:val="18"/>
              </w:rPr>
            </w:pPr>
            <w:r w:rsidRPr="00AB06F3">
              <w:rPr>
                <w:rFonts w:ascii="Verdana" w:hAnsi="Verdana" w:cs="Arial"/>
                <w:b w:val="0"/>
                <w:sz w:val="18"/>
                <w:szCs w:val="18"/>
              </w:rPr>
              <w:t>Jefe de control interno</w:t>
            </w:r>
          </w:p>
          <w:p w14:paraId="205561C5" w14:textId="77777777" w:rsidR="00E56E0B" w:rsidRDefault="00E56E0B" w:rsidP="00C25586">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Nombre:</w:t>
            </w:r>
            <w:r w:rsidRPr="00AB06F3">
              <w:rPr>
                <w:rFonts w:ascii="Verdana" w:hAnsi="Verdana" w:cs="Arial"/>
                <w:sz w:val="18"/>
                <w:szCs w:val="18"/>
              </w:rPr>
              <w:t xml:space="preserve"> Carmen Elena Bernal Andrade</w:t>
            </w:r>
          </w:p>
          <w:p w14:paraId="6129974E" w14:textId="77777777" w:rsidR="00E56E0B" w:rsidRDefault="00E56E0B" w:rsidP="00C25586">
            <w:pPr>
              <w:spacing w:line="276" w:lineRule="auto"/>
              <w:rPr>
                <w:b w:val="0"/>
                <w:bCs w:val="0"/>
              </w:rPr>
            </w:pPr>
            <w:r w:rsidRPr="00AB06F3">
              <w:rPr>
                <w:rFonts w:ascii="Verdana" w:hAnsi="Verdana" w:cs="Arial"/>
                <w:b w:val="0"/>
                <w:bCs w:val="0"/>
                <w:color w:val="000000" w:themeColor="text1"/>
                <w:sz w:val="18"/>
                <w:szCs w:val="18"/>
              </w:rPr>
              <w:t>Correo:</w:t>
            </w:r>
            <w:r>
              <w:t xml:space="preserve"> </w:t>
            </w:r>
            <w:hyperlink r:id="rId51" w:history="1">
              <w:r w:rsidRPr="00EB63D6">
                <w:rPr>
                  <w:rStyle w:val="Hipervnculo"/>
                  <w:rFonts w:ascii="Verdana" w:hAnsi="Verdana" w:cs="Arial"/>
                  <w:sz w:val="18"/>
                  <w:szCs w:val="18"/>
                </w:rPr>
                <w:t>carmenbernal@reincorporacion.gov.co</w:t>
              </w:r>
            </w:hyperlink>
          </w:p>
          <w:p w14:paraId="17B95991" w14:textId="77777777" w:rsidR="00E56E0B" w:rsidRPr="00E56E0B" w:rsidRDefault="00E56E0B" w:rsidP="00C25586">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Teléfono:</w:t>
            </w:r>
            <w:r w:rsidRPr="00AB06F3">
              <w:rPr>
                <w:rFonts w:ascii="Verdana" w:hAnsi="Verdana" w:cs="Arial"/>
                <w:sz w:val="18"/>
                <w:szCs w:val="18"/>
              </w:rPr>
              <w:t xml:space="preserve"> </w:t>
            </w:r>
            <w:r w:rsidRPr="00E56E0B">
              <w:rPr>
                <w:rFonts w:ascii="Verdana" w:hAnsi="Verdana" w:cs="Arial"/>
                <w:b w:val="0"/>
                <w:bCs w:val="0"/>
                <w:sz w:val="18"/>
                <w:szCs w:val="18"/>
              </w:rPr>
              <w:t>4430020 ext. 10251</w:t>
            </w:r>
          </w:p>
          <w:p w14:paraId="38EE63E0" w14:textId="5242118D" w:rsidR="00E56E0B" w:rsidRPr="00AB06F3" w:rsidRDefault="00E56E0B" w:rsidP="00C25586">
            <w:pPr>
              <w:spacing w:line="276" w:lineRule="auto"/>
              <w:rPr>
                <w:rFonts w:ascii="Verdana" w:hAnsi="Verdana" w:cs="Arial"/>
                <w:b w:val="0"/>
                <w:bCs w:val="0"/>
                <w:color w:val="000000" w:themeColor="text1"/>
                <w:sz w:val="18"/>
                <w:szCs w:val="18"/>
              </w:rPr>
            </w:pPr>
            <w:r w:rsidRPr="00E56E0B">
              <w:rPr>
                <w:rFonts w:ascii="Verdana" w:hAnsi="Verdana" w:cs="Arial"/>
                <w:b w:val="0"/>
                <w:bCs w:val="0"/>
                <w:color w:val="000000" w:themeColor="text1"/>
                <w:sz w:val="18"/>
                <w:szCs w:val="18"/>
              </w:rPr>
              <w:t xml:space="preserve">Horario de Atención </w:t>
            </w:r>
            <w:r w:rsidRPr="00E56E0B">
              <w:rPr>
                <w:rFonts w:ascii="Verdana" w:hAnsi="Verdana" w:cs="Arial"/>
                <w:b w:val="0"/>
                <w:bCs w:val="0"/>
                <w:sz w:val="18"/>
                <w:szCs w:val="18"/>
              </w:rPr>
              <w:t>8:00 a.m a 5:00 p.m</w:t>
            </w:r>
          </w:p>
        </w:tc>
      </w:tr>
      <w:tr w:rsidR="00E56E0B" w:rsidRPr="00AB06F3" w14:paraId="220C1F7D" w14:textId="77777777" w:rsidTr="00E56E0B">
        <w:trPr>
          <w:trHeight w:val="114"/>
        </w:trPr>
        <w:tc>
          <w:tcPr>
            <w:cnfStyle w:val="001000000000" w:firstRow="0" w:lastRow="0" w:firstColumn="1" w:lastColumn="0" w:oddVBand="0" w:evenVBand="0" w:oddHBand="0" w:evenHBand="0" w:firstRowFirstColumn="0" w:firstRowLastColumn="0" w:lastRowFirstColumn="0" w:lastRowLastColumn="0"/>
            <w:tcW w:w="8926" w:type="dxa"/>
          </w:tcPr>
          <w:p w14:paraId="23590684" w14:textId="77777777" w:rsidR="00E56E0B" w:rsidRDefault="00E56E0B" w:rsidP="00C25586">
            <w:pPr>
              <w:spacing w:line="276" w:lineRule="auto"/>
              <w:rPr>
                <w:rFonts w:ascii="Verdana" w:hAnsi="Verdana" w:cs="Arial"/>
                <w:bCs w:val="0"/>
                <w:sz w:val="18"/>
                <w:szCs w:val="18"/>
              </w:rPr>
            </w:pPr>
            <w:r w:rsidRPr="00AB06F3">
              <w:rPr>
                <w:rFonts w:ascii="Verdana" w:hAnsi="Verdana" w:cs="Arial"/>
                <w:b w:val="0"/>
                <w:sz w:val="18"/>
                <w:szCs w:val="18"/>
              </w:rPr>
              <w:t>Servicio al ciudadano</w:t>
            </w:r>
          </w:p>
          <w:p w14:paraId="3A3A14D4" w14:textId="77777777" w:rsidR="00E56E0B" w:rsidRDefault="00E56E0B" w:rsidP="00C25586">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Nombre:</w:t>
            </w:r>
            <w:r>
              <w:rPr>
                <w:rFonts w:ascii="Verdana" w:hAnsi="Verdana" w:cs="Arial"/>
                <w:b w:val="0"/>
                <w:bCs w:val="0"/>
                <w:color w:val="000000" w:themeColor="text1"/>
                <w:sz w:val="18"/>
                <w:szCs w:val="18"/>
              </w:rPr>
              <w:t xml:space="preserve"> </w:t>
            </w:r>
            <w:r w:rsidRPr="00AB06F3">
              <w:rPr>
                <w:rFonts w:ascii="Verdana" w:hAnsi="Verdana" w:cs="Arial"/>
                <w:sz w:val="18"/>
                <w:szCs w:val="18"/>
              </w:rPr>
              <w:t>Lina Constanza Zambrano</w:t>
            </w:r>
          </w:p>
          <w:p w14:paraId="0CDE095D" w14:textId="77777777" w:rsidR="00E56E0B" w:rsidRDefault="00E56E0B" w:rsidP="00C25586">
            <w:pPr>
              <w:spacing w:line="276" w:lineRule="auto"/>
              <w:rPr>
                <w:b w:val="0"/>
                <w:bCs w:val="0"/>
              </w:rPr>
            </w:pPr>
            <w:r w:rsidRPr="00AB06F3">
              <w:rPr>
                <w:rFonts w:ascii="Verdana" w:hAnsi="Verdana" w:cs="Arial"/>
                <w:b w:val="0"/>
                <w:bCs w:val="0"/>
                <w:color w:val="000000" w:themeColor="text1"/>
                <w:sz w:val="18"/>
                <w:szCs w:val="18"/>
              </w:rPr>
              <w:t>Correo:</w:t>
            </w:r>
            <w:r>
              <w:rPr>
                <w:rFonts w:ascii="Verdana" w:hAnsi="Verdana" w:cs="Arial"/>
                <w:b w:val="0"/>
                <w:bCs w:val="0"/>
                <w:color w:val="000000" w:themeColor="text1"/>
                <w:sz w:val="18"/>
                <w:szCs w:val="18"/>
              </w:rPr>
              <w:t xml:space="preserve"> </w:t>
            </w:r>
            <w:hyperlink r:id="rId52" w:history="1">
              <w:r w:rsidRPr="00EB63D6">
                <w:rPr>
                  <w:rStyle w:val="Hipervnculo"/>
                  <w:rFonts w:ascii="Verdana" w:hAnsi="Verdana" w:cs="Arial"/>
                  <w:sz w:val="18"/>
                  <w:szCs w:val="18"/>
                </w:rPr>
                <w:t>linazambrano@reincorporacion.gov.co</w:t>
              </w:r>
            </w:hyperlink>
          </w:p>
          <w:p w14:paraId="49A40ADB" w14:textId="77777777" w:rsidR="00E56E0B" w:rsidRPr="00E56E0B" w:rsidRDefault="00E56E0B" w:rsidP="00C25586">
            <w:pPr>
              <w:spacing w:line="276" w:lineRule="auto"/>
              <w:rPr>
                <w:rFonts w:ascii="Verdana" w:hAnsi="Verdana" w:cs="Arial"/>
                <w:b w:val="0"/>
                <w:bCs w:val="0"/>
                <w:sz w:val="18"/>
                <w:szCs w:val="18"/>
              </w:rPr>
            </w:pPr>
            <w:r w:rsidRPr="00AB06F3">
              <w:rPr>
                <w:rFonts w:ascii="Verdana" w:hAnsi="Verdana" w:cs="Arial"/>
                <w:b w:val="0"/>
                <w:bCs w:val="0"/>
                <w:color w:val="000000" w:themeColor="text1"/>
                <w:sz w:val="18"/>
                <w:szCs w:val="18"/>
              </w:rPr>
              <w:t>Teléfono:</w:t>
            </w:r>
            <w:r w:rsidRPr="00AB06F3">
              <w:rPr>
                <w:rFonts w:ascii="Verdana" w:hAnsi="Verdana" w:cs="Arial"/>
                <w:sz w:val="18"/>
                <w:szCs w:val="18"/>
              </w:rPr>
              <w:t xml:space="preserve"> </w:t>
            </w:r>
            <w:r w:rsidRPr="00E56E0B">
              <w:rPr>
                <w:rFonts w:ascii="Verdana" w:hAnsi="Verdana" w:cs="Arial"/>
                <w:b w:val="0"/>
                <w:bCs w:val="0"/>
                <w:sz w:val="18"/>
                <w:szCs w:val="18"/>
              </w:rPr>
              <w:t>4430020 ext. 10442</w:t>
            </w:r>
          </w:p>
          <w:p w14:paraId="3FE01318" w14:textId="60BBD280" w:rsidR="00E56E0B" w:rsidRPr="00AB06F3" w:rsidRDefault="00E56E0B" w:rsidP="00C25586">
            <w:pPr>
              <w:spacing w:line="276" w:lineRule="auto"/>
              <w:rPr>
                <w:rFonts w:ascii="Verdana" w:hAnsi="Verdana" w:cs="Arial"/>
                <w:b w:val="0"/>
                <w:bCs w:val="0"/>
                <w:sz w:val="18"/>
                <w:szCs w:val="18"/>
              </w:rPr>
            </w:pPr>
            <w:r w:rsidRPr="00E56E0B">
              <w:rPr>
                <w:rFonts w:ascii="Verdana" w:hAnsi="Verdana" w:cs="Arial"/>
                <w:b w:val="0"/>
                <w:bCs w:val="0"/>
                <w:color w:val="000000" w:themeColor="text1"/>
                <w:sz w:val="18"/>
                <w:szCs w:val="18"/>
              </w:rPr>
              <w:t xml:space="preserve">Horario de Atención </w:t>
            </w:r>
            <w:r w:rsidRPr="00E56E0B">
              <w:rPr>
                <w:rFonts w:ascii="Verdana" w:hAnsi="Verdana" w:cs="Arial"/>
                <w:b w:val="0"/>
                <w:bCs w:val="0"/>
                <w:sz w:val="18"/>
                <w:szCs w:val="18"/>
              </w:rPr>
              <w:t>8:00 a.m a 5:00 p.m.</w:t>
            </w:r>
          </w:p>
        </w:tc>
      </w:tr>
    </w:tbl>
    <w:p w14:paraId="45DB30DF" w14:textId="36FF1B2D" w:rsidR="008F5A03" w:rsidRDefault="008F5A03" w:rsidP="00C25586">
      <w:pPr>
        <w:spacing w:after="0" w:line="276" w:lineRule="auto"/>
        <w:jc w:val="center"/>
        <w:rPr>
          <w:rFonts w:ascii="Verdana" w:hAnsi="Verdana" w:cs="Arial"/>
          <w:sz w:val="18"/>
          <w:szCs w:val="18"/>
        </w:rPr>
      </w:pPr>
      <w:r w:rsidRPr="00AB06F3">
        <w:rPr>
          <w:rFonts w:ascii="Verdana" w:hAnsi="Verdana" w:cs="Arial"/>
          <w:sz w:val="18"/>
          <w:szCs w:val="18"/>
        </w:rPr>
        <w:t xml:space="preserve">Fuente: </w:t>
      </w:r>
      <w:r w:rsidR="00FF5173">
        <w:rPr>
          <w:rFonts w:ascii="Verdana" w:hAnsi="Verdana" w:cs="Arial"/>
          <w:sz w:val="18"/>
          <w:szCs w:val="18"/>
        </w:rPr>
        <w:t>Agencia para la Reincorporación y la Normalización (ARN)</w:t>
      </w:r>
      <w:r w:rsidRPr="00AB06F3">
        <w:rPr>
          <w:rFonts w:ascii="Verdana" w:hAnsi="Verdana" w:cs="Arial"/>
          <w:sz w:val="18"/>
          <w:szCs w:val="18"/>
        </w:rPr>
        <w:t xml:space="preserve"> al 31 de diciembre del 202</w:t>
      </w:r>
      <w:r w:rsidR="00FE589C">
        <w:rPr>
          <w:rFonts w:ascii="Verdana" w:hAnsi="Verdana" w:cs="Arial"/>
          <w:sz w:val="18"/>
          <w:szCs w:val="18"/>
        </w:rPr>
        <w:t>5</w:t>
      </w:r>
    </w:p>
    <w:p w14:paraId="0180BFF8" w14:textId="77777777" w:rsidR="00F63D56" w:rsidRDefault="00F63D56" w:rsidP="00C25586">
      <w:pPr>
        <w:spacing w:after="0" w:line="276" w:lineRule="auto"/>
        <w:jc w:val="center"/>
        <w:rPr>
          <w:rFonts w:ascii="Verdana" w:hAnsi="Verdana" w:cs="Arial"/>
          <w:sz w:val="18"/>
          <w:szCs w:val="18"/>
        </w:rPr>
      </w:pPr>
    </w:p>
    <w:p w14:paraId="1C3014DB" w14:textId="77777777" w:rsidR="00F63D56" w:rsidRDefault="00F63D56" w:rsidP="00C25586">
      <w:pPr>
        <w:spacing w:after="0" w:line="276" w:lineRule="auto"/>
        <w:jc w:val="center"/>
        <w:rPr>
          <w:rFonts w:ascii="Verdana" w:hAnsi="Verdana" w:cs="Arial"/>
          <w:sz w:val="18"/>
          <w:szCs w:val="18"/>
        </w:rPr>
      </w:pPr>
    </w:p>
    <w:p w14:paraId="23D906A6" w14:textId="54535AA8" w:rsidR="00F63D56" w:rsidRPr="0028723A" w:rsidRDefault="00F63D56" w:rsidP="00F63D56">
      <w:pPr>
        <w:spacing w:after="0" w:line="276" w:lineRule="auto"/>
        <w:rPr>
          <w:rFonts w:ascii="Verdana" w:hAnsi="Verdana" w:cs="Arial"/>
          <w:sz w:val="14"/>
          <w:szCs w:val="14"/>
        </w:rPr>
      </w:pPr>
      <w:r w:rsidRPr="0028723A">
        <w:rPr>
          <w:rFonts w:ascii="Verdana" w:hAnsi="Verdana" w:cs="Arial"/>
          <w:sz w:val="14"/>
          <w:szCs w:val="14"/>
        </w:rPr>
        <w:t xml:space="preserve">Nota: Plantilla del Departamento Administrativo de la Función Pública </w:t>
      </w:r>
    </w:p>
    <w:p w14:paraId="038C7639" w14:textId="77777777" w:rsidR="008F5A03" w:rsidRPr="00BB76D6" w:rsidRDefault="008F5A03" w:rsidP="00C25586">
      <w:pPr>
        <w:spacing w:after="0" w:line="276" w:lineRule="auto"/>
        <w:jc w:val="both"/>
        <w:rPr>
          <w:rFonts w:ascii="Verdana" w:hAnsi="Verdana" w:cs="Arial"/>
          <w:sz w:val="24"/>
          <w:szCs w:val="24"/>
          <w:lang w:val="es-ES"/>
        </w:rPr>
      </w:pPr>
    </w:p>
    <w:sectPr w:rsidR="008F5A03" w:rsidRPr="00BB76D6" w:rsidSect="003D682A">
      <w:headerReference w:type="default" r:id="rId53"/>
      <w:footerReference w:type="default" r:id="rId54"/>
      <w:headerReference w:type="first" r:id="rId55"/>
      <w:footerReference w:type="first" r:id="rId56"/>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CD202" w14:textId="77777777" w:rsidR="00B9371D" w:rsidRDefault="00B9371D" w:rsidP="003F43B3">
      <w:pPr>
        <w:spacing w:after="0" w:line="240" w:lineRule="auto"/>
      </w:pPr>
      <w:r>
        <w:separator/>
      </w:r>
    </w:p>
  </w:endnote>
  <w:endnote w:type="continuationSeparator" w:id="0">
    <w:p w14:paraId="6701EFAC" w14:textId="77777777" w:rsidR="00B9371D" w:rsidRDefault="00B9371D" w:rsidP="003F43B3">
      <w:pPr>
        <w:spacing w:after="0" w:line="240" w:lineRule="auto"/>
      </w:pPr>
      <w:r>
        <w:continuationSeparator/>
      </w:r>
    </w:p>
  </w:endnote>
  <w:endnote w:type="continuationNotice" w:id="1">
    <w:p w14:paraId="557F6A4D" w14:textId="77777777" w:rsidR="00B9371D" w:rsidRDefault="00B937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237294"/>
      <w:docPartObj>
        <w:docPartGallery w:val="Page Numbers (Bottom of Page)"/>
        <w:docPartUnique/>
      </w:docPartObj>
    </w:sdtPr>
    <w:sdtContent>
      <w:p w14:paraId="5F52E8DF" w14:textId="240CCB98" w:rsidR="006B7242" w:rsidRDefault="006B7242">
        <w:pPr>
          <w:pStyle w:val="Piedepgina"/>
          <w:jc w:val="right"/>
        </w:pPr>
        <w:r>
          <w:fldChar w:fldCharType="begin"/>
        </w:r>
        <w:r>
          <w:instrText>PAGE   \* MERGEFORMAT</w:instrText>
        </w:r>
        <w:r>
          <w:fldChar w:fldCharType="separate"/>
        </w:r>
        <w:r w:rsidR="000975C3" w:rsidRPr="000975C3">
          <w:rPr>
            <w:noProof/>
            <w:lang w:val="es-ES"/>
          </w:rPr>
          <w:t>20</w:t>
        </w:r>
        <w:r>
          <w:fldChar w:fldCharType="end"/>
        </w:r>
      </w:p>
    </w:sdtContent>
  </w:sdt>
  <w:p w14:paraId="768BB7E4" w14:textId="77777777" w:rsidR="006B7242" w:rsidRDefault="006B72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45"/>
      <w:gridCol w:w="2945"/>
      <w:gridCol w:w="2945"/>
    </w:tblGrid>
    <w:tr w:rsidR="006B7242" w14:paraId="705789C2" w14:textId="77777777" w:rsidTr="00D32F63">
      <w:trPr>
        <w:trHeight w:val="300"/>
      </w:trPr>
      <w:tc>
        <w:tcPr>
          <w:tcW w:w="2945" w:type="dxa"/>
        </w:tcPr>
        <w:p w14:paraId="4104BDAF" w14:textId="78B91793" w:rsidR="006B7242" w:rsidRDefault="006B7242" w:rsidP="00D32F63">
          <w:pPr>
            <w:pStyle w:val="Encabezado"/>
            <w:ind w:left="-115"/>
          </w:pPr>
        </w:p>
      </w:tc>
      <w:tc>
        <w:tcPr>
          <w:tcW w:w="2945" w:type="dxa"/>
        </w:tcPr>
        <w:p w14:paraId="3FFE6E48" w14:textId="0C35C3A2" w:rsidR="006B7242" w:rsidRDefault="006B7242" w:rsidP="00D32F63">
          <w:pPr>
            <w:pStyle w:val="Encabezado"/>
            <w:jc w:val="center"/>
          </w:pPr>
        </w:p>
      </w:tc>
      <w:tc>
        <w:tcPr>
          <w:tcW w:w="2945" w:type="dxa"/>
        </w:tcPr>
        <w:p w14:paraId="09FC9B63" w14:textId="682766AA" w:rsidR="006B7242" w:rsidRDefault="006B7242" w:rsidP="00D32F63">
          <w:pPr>
            <w:pStyle w:val="Encabezado"/>
            <w:ind w:right="-115"/>
            <w:jc w:val="right"/>
          </w:pPr>
        </w:p>
      </w:tc>
    </w:tr>
  </w:tbl>
  <w:p w14:paraId="1319CD67" w14:textId="3652DF85" w:rsidR="006B7242" w:rsidRDefault="006B7242" w:rsidP="00D32F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BB66A" w14:textId="77777777" w:rsidR="00B9371D" w:rsidRDefault="00B9371D" w:rsidP="003F43B3">
      <w:pPr>
        <w:spacing w:after="0" w:line="240" w:lineRule="auto"/>
      </w:pPr>
      <w:r>
        <w:separator/>
      </w:r>
    </w:p>
  </w:footnote>
  <w:footnote w:type="continuationSeparator" w:id="0">
    <w:p w14:paraId="6D6F03E7" w14:textId="77777777" w:rsidR="00B9371D" w:rsidRDefault="00B9371D" w:rsidP="003F43B3">
      <w:pPr>
        <w:spacing w:after="0" w:line="240" w:lineRule="auto"/>
      </w:pPr>
      <w:r>
        <w:continuationSeparator/>
      </w:r>
    </w:p>
  </w:footnote>
  <w:footnote w:type="continuationNotice" w:id="1">
    <w:p w14:paraId="2A074576" w14:textId="77777777" w:rsidR="00B9371D" w:rsidRDefault="00B9371D">
      <w:pPr>
        <w:spacing w:after="0" w:line="240" w:lineRule="auto"/>
      </w:pPr>
    </w:p>
  </w:footnote>
  <w:footnote w:id="2">
    <w:p w14:paraId="7929A2A0" w14:textId="77777777" w:rsidR="003E0C63" w:rsidRPr="001B208D" w:rsidRDefault="003E0C63" w:rsidP="003E0C63">
      <w:pPr>
        <w:pStyle w:val="Textonotapie"/>
        <w:rPr>
          <w:lang w:val="es-ES"/>
        </w:rPr>
      </w:pPr>
      <w:r>
        <w:rPr>
          <w:rStyle w:val="Refdenotaalpie"/>
        </w:rPr>
        <w:footnoteRef/>
      </w:r>
      <w:r>
        <w:t xml:space="preserve"> </w:t>
      </w:r>
      <w:r>
        <w:rPr>
          <w:lang w:val="es-ES"/>
        </w:rPr>
        <w:t>En caso de ser necesario, puede elaborar una tabla en la cual se incluya con mayor detalle la clasificación poblacional de los beneficiarios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3021"/>
    </w:tblGrid>
    <w:tr w:rsidR="006B7242" w:rsidRPr="008F68B5" w14:paraId="73F50876" w14:textId="77777777" w:rsidTr="0799BFE6">
      <w:tc>
        <w:tcPr>
          <w:tcW w:w="5807" w:type="dxa"/>
          <w:vAlign w:val="center"/>
        </w:tcPr>
        <w:p w14:paraId="781D55C0" w14:textId="5DF0B2C7" w:rsidR="006B7242" w:rsidRPr="005B55EB" w:rsidRDefault="006B7242" w:rsidP="001A1733">
          <w:pPr>
            <w:pStyle w:val="Encabezado"/>
            <w:tabs>
              <w:tab w:val="clear" w:pos="8838"/>
              <w:tab w:val="right" w:pos="5590"/>
            </w:tabs>
            <w:ind w:left="-110"/>
            <w:jc w:val="both"/>
            <w:rPr>
              <w:rFonts w:ascii="Verdana" w:hAnsi="Verdana"/>
              <w:sz w:val="16"/>
              <w:szCs w:val="16"/>
            </w:rPr>
          </w:pPr>
          <w:r w:rsidRPr="005B55EB">
            <w:rPr>
              <w:rFonts w:ascii="Verdana" w:hAnsi="Verdana"/>
              <w:sz w:val="16"/>
              <w:szCs w:val="16"/>
            </w:rPr>
            <w:t>Informe de Rendición de Cuentas de Paz 202</w:t>
          </w:r>
          <w:r w:rsidR="00C96B96" w:rsidRPr="005B55EB">
            <w:rPr>
              <w:rFonts w:ascii="Verdana" w:hAnsi="Verdana"/>
              <w:sz w:val="16"/>
              <w:szCs w:val="16"/>
            </w:rPr>
            <w:t>5</w:t>
          </w:r>
        </w:p>
        <w:p w14:paraId="671F7C27" w14:textId="06ADA9B6" w:rsidR="006B7242" w:rsidRPr="008F68B5" w:rsidRDefault="006B7242" w:rsidP="001A1733">
          <w:pPr>
            <w:pStyle w:val="Encabezado"/>
            <w:ind w:left="-110"/>
            <w:jc w:val="both"/>
            <w:rPr>
              <w:rFonts w:ascii="Verdana" w:hAnsi="Verdana"/>
              <w:color w:val="808080" w:themeColor="background1" w:themeShade="80"/>
              <w:sz w:val="16"/>
              <w:szCs w:val="16"/>
            </w:rPr>
          </w:pPr>
          <w:r w:rsidRPr="005B55EB">
            <w:rPr>
              <w:rFonts w:ascii="Verdana" w:hAnsi="Verdana"/>
              <w:sz w:val="16"/>
              <w:szCs w:val="16"/>
            </w:rPr>
            <w:t xml:space="preserve">Plan Marco de Implementación </w:t>
          </w:r>
        </w:p>
      </w:tc>
      <w:tc>
        <w:tcPr>
          <w:tcW w:w="3021" w:type="dxa"/>
          <w:vAlign w:val="center"/>
        </w:tcPr>
        <w:p w14:paraId="3DEACE31" w14:textId="444F1532" w:rsidR="006B7242" w:rsidRPr="008F68B5" w:rsidRDefault="006B7242" w:rsidP="001A1733">
          <w:pPr>
            <w:pStyle w:val="Encabezado"/>
            <w:ind w:right="-211"/>
            <w:jc w:val="right"/>
            <w:rPr>
              <w:sz w:val="16"/>
              <w:szCs w:val="16"/>
            </w:rPr>
          </w:pPr>
        </w:p>
      </w:tc>
    </w:tr>
  </w:tbl>
  <w:p w14:paraId="5B587E8C" w14:textId="28ECF230" w:rsidR="006B7242" w:rsidRDefault="00F038DE" w:rsidP="004069E7">
    <w:pPr>
      <w:pStyle w:val="Encabezado"/>
    </w:pPr>
    <w:r w:rsidRPr="008F68B5">
      <w:rPr>
        <w:noProof/>
        <w:sz w:val="16"/>
        <w:szCs w:val="16"/>
        <w:lang w:eastAsia="es-CO"/>
      </w:rPr>
      <w:drawing>
        <wp:anchor distT="0" distB="0" distL="114300" distR="114300" simplePos="0" relativeHeight="251658240" behindDoc="1" locked="0" layoutInCell="1" allowOverlap="1" wp14:anchorId="4E4CA8D7" wp14:editId="34D1A6A1">
          <wp:simplePos x="0" y="0"/>
          <wp:positionH relativeFrom="margin">
            <wp:align>right</wp:align>
          </wp:positionH>
          <wp:positionV relativeFrom="paragraph">
            <wp:posOffset>-246380</wp:posOffset>
          </wp:positionV>
          <wp:extent cx="1210383" cy="330200"/>
          <wp:effectExtent l="0" t="0" r="8890" b="0"/>
          <wp:wrapNone/>
          <wp:docPr id="30" name="Imagen 36" descr="Logo del sistema de rendición de cuentas para la implementación de la paz">
            <a:extLst xmlns:a="http://schemas.openxmlformats.org/drawingml/2006/main">
              <a:ext uri="{FF2B5EF4-FFF2-40B4-BE49-F238E27FC236}">
                <a16:creationId xmlns:a16="http://schemas.microsoft.com/office/drawing/2014/main" id="{E7488508-871D-BB45-97E6-9BE9BFDB96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6" descr="Logo del sistema de rendición de cuentas para la implementación de la paz">
                    <a:extLst>
                      <a:ext uri="{FF2B5EF4-FFF2-40B4-BE49-F238E27FC236}">
                        <a16:creationId xmlns:a16="http://schemas.microsoft.com/office/drawing/2014/main" id="{E7488508-871D-BB45-97E6-9BE9BFDB96FE}"/>
                      </a:ext>
                    </a:extLst>
                  </pic:cNvPr>
                  <pic:cNvPicPr>
                    <a:picLocks noChangeAspect="1"/>
                  </pic:cNvPicPr>
                </pic:nvPicPr>
                <pic:blipFill rotWithShape="1">
                  <a:blip r:embed="rId1">
                    <a:extLst>
                      <a:ext uri="{28A0092B-C50C-407E-A947-70E740481C1C}">
                        <a14:useLocalDpi xmlns:a14="http://schemas.microsoft.com/office/drawing/2010/main" val="0"/>
                      </a:ext>
                    </a:extLst>
                  </a:blip>
                  <a:srcRect t="31972" b="31654"/>
                  <a:stretch/>
                </pic:blipFill>
                <pic:spPr>
                  <a:xfrm>
                    <a:off x="0" y="0"/>
                    <a:ext cx="1210383" cy="3302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45"/>
      <w:gridCol w:w="2945"/>
      <w:gridCol w:w="2945"/>
    </w:tblGrid>
    <w:tr w:rsidR="006B7242" w14:paraId="254E34DC" w14:textId="77777777" w:rsidTr="00D32F63">
      <w:trPr>
        <w:trHeight w:val="300"/>
      </w:trPr>
      <w:tc>
        <w:tcPr>
          <w:tcW w:w="2945" w:type="dxa"/>
        </w:tcPr>
        <w:p w14:paraId="2F8B2F8B" w14:textId="244A935D" w:rsidR="006B7242" w:rsidRDefault="006B7242" w:rsidP="00D32F63">
          <w:pPr>
            <w:pStyle w:val="Encabezado"/>
            <w:ind w:left="-115"/>
          </w:pPr>
        </w:p>
      </w:tc>
      <w:tc>
        <w:tcPr>
          <w:tcW w:w="2945" w:type="dxa"/>
        </w:tcPr>
        <w:p w14:paraId="5A76E38E" w14:textId="6CEF321F" w:rsidR="006B7242" w:rsidRDefault="006B7242" w:rsidP="00D32F63">
          <w:pPr>
            <w:pStyle w:val="Encabezado"/>
            <w:jc w:val="center"/>
          </w:pPr>
        </w:p>
      </w:tc>
      <w:tc>
        <w:tcPr>
          <w:tcW w:w="2945" w:type="dxa"/>
        </w:tcPr>
        <w:p w14:paraId="5438D678" w14:textId="0D98E4BB" w:rsidR="006B7242" w:rsidRDefault="006B7242" w:rsidP="00D32F63">
          <w:pPr>
            <w:pStyle w:val="Encabezado"/>
            <w:ind w:right="-115"/>
            <w:jc w:val="right"/>
          </w:pPr>
        </w:p>
      </w:tc>
    </w:tr>
  </w:tbl>
  <w:p w14:paraId="729F7270" w14:textId="77BBC784" w:rsidR="006B7242" w:rsidRDefault="006B7242" w:rsidP="00D32F63">
    <w:pPr>
      <w:pStyle w:val="Encabezado"/>
    </w:pPr>
  </w:p>
</w:hdr>
</file>

<file path=word/intelligence2.xml><?xml version="1.0" encoding="utf-8"?>
<int2:intelligence xmlns:int2="http://schemas.microsoft.com/office/intelligence/2020/intelligence" xmlns:oel="http://schemas.microsoft.com/office/2019/extlst">
  <int2:observations>
    <int2:textHash int2:hashCode="REVCjdYge18Fd6" int2:id="TpEcSAWp">
      <int2:state int2:value="Rejected" int2:type="AugLoop_Text_Critique"/>
    </int2:textHash>
    <int2:textHash int2:hashCode="ysVb0+LuC06RBR" int2:id="cwl8Pv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923"/>
    <w:multiLevelType w:val="hybridMultilevel"/>
    <w:tmpl w:val="E7D46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A23B3C"/>
    <w:multiLevelType w:val="multilevel"/>
    <w:tmpl w:val="57FA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4908FC"/>
    <w:multiLevelType w:val="hybridMultilevel"/>
    <w:tmpl w:val="3FBEC5FE"/>
    <w:lvl w:ilvl="0" w:tplc="FFFFFFFF">
      <w:start w:val="3"/>
      <w:numFmt w:val="decimal"/>
      <w:lvlText w:val="%1."/>
      <w:lvlJc w:val="left"/>
      <w:pPr>
        <w:ind w:left="360" w:hanging="360"/>
      </w:pPr>
      <w:rPr>
        <w:rFonts w:eastAsiaTheme="minorHAnsi" w:cstheme="minorBid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8FD0C4F"/>
    <w:multiLevelType w:val="hybridMultilevel"/>
    <w:tmpl w:val="0A34C1EA"/>
    <w:lvl w:ilvl="0" w:tplc="099037FC">
      <w:start w:val="1"/>
      <w:numFmt w:val="lowerLetter"/>
      <w:lvlText w:val="%1)"/>
      <w:lvlJc w:val="left"/>
      <w:pPr>
        <w:ind w:left="720" w:hanging="360"/>
      </w:pPr>
      <w:rPr>
        <w:color w:val="auto"/>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EA600A"/>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AD05A8"/>
    <w:multiLevelType w:val="hybridMultilevel"/>
    <w:tmpl w:val="6422E6B2"/>
    <w:lvl w:ilvl="0" w:tplc="B15A569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651533"/>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533C3E"/>
    <w:multiLevelType w:val="hybridMultilevel"/>
    <w:tmpl w:val="97EE21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6725A36"/>
    <w:multiLevelType w:val="hybridMultilevel"/>
    <w:tmpl w:val="FD241B26"/>
    <w:lvl w:ilvl="0" w:tplc="E0CC7214">
      <w:start w:val="1"/>
      <w:numFmt w:val="decimal"/>
      <w:lvlText w:val="%1."/>
      <w:lvlJc w:val="left"/>
      <w:pPr>
        <w:ind w:left="720" w:hanging="360"/>
      </w:pPr>
      <w:rPr>
        <w:rFonts w:asciiTheme="minorHAnsi" w:eastAsiaTheme="minorHAnsi" w:hAnsiTheme="minorHAnsi" w:cstheme="minorBid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5A6099"/>
    <w:multiLevelType w:val="multilevel"/>
    <w:tmpl w:val="10F265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9405DC7"/>
    <w:multiLevelType w:val="hybridMultilevel"/>
    <w:tmpl w:val="F28217AA"/>
    <w:lvl w:ilvl="0" w:tplc="AB068D02">
      <w:start w:val="1"/>
      <w:numFmt w:val="decimal"/>
      <w:lvlText w:val="%1."/>
      <w:lvlJc w:val="left"/>
      <w:pPr>
        <w:ind w:left="720" w:hanging="360"/>
      </w:pPr>
      <w:rPr>
        <w:rFonts w:asciiTheme="minorHAnsi" w:eastAsiaTheme="minorHAnsi" w:hAnsiTheme="minorHAnsi" w:cstheme="minorBid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C37BA0"/>
    <w:multiLevelType w:val="hybridMultilevel"/>
    <w:tmpl w:val="EF16AEE4"/>
    <w:lvl w:ilvl="0" w:tplc="772AF270">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0662D5"/>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F749BE"/>
    <w:multiLevelType w:val="multilevel"/>
    <w:tmpl w:val="6958C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496F6E"/>
    <w:multiLevelType w:val="hybridMultilevel"/>
    <w:tmpl w:val="A16A115E"/>
    <w:lvl w:ilvl="0" w:tplc="A94A0B62">
      <w:start w:val="1"/>
      <w:numFmt w:val="lowerLetter"/>
      <w:lvlText w:val="%1)"/>
      <w:lvlJc w:val="left"/>
      <w:pPr>
        <w:ind w:left="720" w:hanging="360"/>
      </w:pPr>
      <w:rPr>
        <w:color w:val="auto"/>
      </w:rPr>
    </w:lvl>
    <w:lvl w:ilvl="1" w:tplc="D5C47FC0">
      <w:start w:val="1"/>
      <w:numFmt w:val="lowerLetter"/>
      <w:lvlText w:val="%2."/>
      <w:lvlJc w:val="left"/>
      <w:pPr>
        <w:ind w:left="1440" w:hanging="360"/>
      </w:pPr>
    </w:lvl>
    <w:lvl w:ilvl="2" w:tplc="7F123300">
      <w:start w:val="1"/>
      <w:numFmt w:val="lowerRoman"/>
      <w:lvlText w:val="%3."/>
      <w:lvlJc w:val="right"/>
      <w:pPr>
        <w:ind w:left="2160" w:hanging="180"/>
      </w:pPr>
    </w:lvl>
    <w:lvl w:ilvl="3" w:tplc="D96A3D20">
      <w:start w:val="1"/>
      <w:numFmt w:val="decimal"/>
      <w:lvlText w:val="%4."/>
      <w:lvlJc w:val="left"/>
      <w:pPr>
        <w:ind w:left="2880" w:hanging="360"/>
      </w:pPr>
    </w:lvl>
    <w:lvl w:ilvl="4" w:tplc="563A64C2">
      <w:start w:val="1"/>
      <w:numFmt w:val="lowerLetter"/>
      <w:lvlText w:val="%5."/>
      <w:lvlJc w:val="left"/>
      <w:pPr>
        <w:ind w:left="3600" w:hanging="360"/>
      </w:pPr>
    </w:lvl>
    <w:lvl w:ilvl="5" w:tplc="036A59B2">
      <w:start w:val="1"/>
      <w:numFmt w:val="lowerRoman"/>
      <w:lvlText w:val="%6."/>
      <w:lvlJc w:val="right"/>
      <w:pPr>
        <w:ind w:left="4320" w:hanging="180"/>
      </w:pPr>
    </w:lvl>
    <w:lvl w:ilvl="6" w:tplc="68D87EDC">
      <w:start w:val="1"/>
      <w:numFmt w:val="decimal"/>
      <w:lvlText w:val="%7."/>
      <w:lvlJc w:val="left"/>
      <w:pPr>
        <w:ind w:left="5040" w:hanging="360"/>
      </w:pPr>
    </w:lvl>
    <w:lvl w:ilvl="7" w:tplc="524A31BE">
      <w:start w:val="1"/>
      <w:numFmt w:val="lowerLetter"/>
      <w:lvlText w:val="%8."/>
      <w:lvlJc w:val="left"/>
      <w:pPr>
        <w:ind w:left="5760" w:hanging="360"/>
      </w:pPr>
    </w:lvl>
    <w:lvl w:ilvl="8" w:tplc="CADCF456">
      <w:start w:val="1"/>
      <w:numFmt w:val="lowerRoman"/>
      <w:lvlText w:val="%9."/>
      <w:lvlJc w:val="right"/>
      <w:pPr>
        <w:ind w:left="6480" w:hanging="180"/>
      </w:pPr>
    </w:lvl>
  </w:abstractNum>
  <w:abstractNum w:abstractNumId="15" w15:restartNumberingAfterBreak="0">
    <w:nsid w:val="218C37EF"/>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7674B0B"/>
    <w:multiLevelType w:val="multilevel"/>
    <w:tmpl w:val="4CAA8C8A"/>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28C3767C"/>
    <w:multiLevelType w:val="hybridMultilevel"/>
    <w:tmpl w:val="86DC2E06"/>
    <w:lvl w:ilvl="0" w:tplc="240A0001">
      <w:start w:val="1"/>
      <w:numFmt w:val="bullet"/>
      <w:lvlText w:val=""/>
      <w:lvlJc w:val="left"/>
      <w:pPr>
        <w:ind w:left="787" w:hanging="360"/>
      </w:pPr>
      <w:rPr>
        <w:rFonts w:ascii="Symbol" w:hAnsi="Symbol" w:hint="default"/>
      </w:rPr>
    </w:lvl>
    <w:lvl w:ilvl="1" w:tplc="A73E6042">
      <w:start w:val="1"/>
      <w:numFmt w:val="bullet"/>
      <w:lvlText w:val="-"/>
      <w:lvlJc w:val="left"/>
      <w:pPr>
        <w:ind w:left="1507" w:hanging="360"/>
      </w:pPr>
      <w:rPr>
        <w:rFonts w:ascii="Aptos" w:hAnsi="Aptos"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18" w15:restartNumberingAfterBreak="0">
    <w:nsid w:val="2AB63867"/>
    <w:multiLevelType w:val="multilevel"/>
    <w:tmpl w:val="236AF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4468D0"/>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C7E1483"/>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1195AB9"/>
    <w:multiLevelType w:val="hybridMultilevel"/>
    <w:tmpl w:val="39AA7BE2"/>
    <w:lvl w:ilvl="0" w:tplc="070EE030">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2CE4300"/>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CB23107"/>
    <w:multiLevelType w:val="hybridMultilevel"/>
    <w:tmpl w:val="35206BD2"/>
    <w:lvl w:ilvl="0" w:tplc="7BC8395A">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7169BD"/>
    <w:multiLevelType w:val="hybridMultilevel"/>
    <w:tmpl w:val="30907ED4"/>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7845E83"/>
    <w:multiLevelType w:val="multilevel"/>
    <w:tmpl w:val="12046F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4AFB42A2"/>
    <w:multiLevelType w:val="multilevel"/>
    <w:tmpl w:val="8AEC0E04"/>
    <w:lvl w:ilvl="0">
      <w:start w:val="1"/>
      <w:numFmt w:val="decimal"/>
      <w:lvlText w:val="%1."/>
      <w:lvlJc w:val="left"/>
      <w:pPr>
        <w:ind w:left="520" w:hanging="520"/>
      </w:pPr>
      <w:rPr>
        <w:rFonts w:hint="default"/>
        <w:sz w:val="26"/>
      </w:rPr>
    </w:lvl>
    <w:lvl w:ilvl="1">
      <w:start w:val="1"/>
      <w:numFmt w:val="decimal"/>
      <w:lvlText w:val="%1.%2."/>
      <w:lvlJc w:val="left"/>
      <w:pPr>
        <w:ind w:left="720" w:hanging="720"/>
      </w:pPr>
      <w:rPr>
        <w:sz w:val="36"/>
        <w:szCs w:val="36"/>
      </w:rPr>
    </w:lvl>
    <w:lvl w:ilvl="2">
      <w:start w:val="1"/>
      <w:numFmt w:val="lowerLetter"/>
      <w:lvlText w:val="%3."/>
      <w:lvlJc w:val="left"/>
      <w:pPr>
        <w:ind w:left="1080" w:hanging="1080"/>
      </w:pPr>
      <w:rPr>
        <w:rFonts w:ascii="Verdana" w:eastAsiaTheme="majorEastAsia" w:hAnsi="Verdana" w:cstheme="majorBidi"/>
        <w:sz w:val="24"/>
        <w:szCs w:val="24"/>
      </w:rPr>
    </w:lvl>
    <w:lvl w:ilvl="3">
      <w:start w:val="1"/>
      <w:numFmt w:val="decimal"/>
      <w:lvlText w:val="%1.%2.%3.%4."/>
      <w:lvlJc w:val="left"/>
      <w:pPr>
        <w:ind w:left="1440" w:hanging="1440"/>
      </w:pPr>
      <w:rPr>
        <w:rFonts w:hint="default"/>
        <w:sz w:val="26"/>
      </w:rPr>
    </w:lvl>
    <w:lvl w:ilvl="4">
      <w:start w:val="1"/>
      <w:numFmt w:val="decimal"/>
      <w:lvlText w:val="%1.%2.%3.%4.%5."/>
      <w:lvlJc w:val="left"/>
      <w:pPr>
        <w:ind w:left="1440" w:hanging="1440"/>
      </w:pPr>
      <w:rPr>
        <w:rFonts w:hint="default"/>
        <w:sz w:val="26"/>
      </w:rPr>
    </w:lvl>
    <w:lvl w:ilvl="5">
      <w:start w:val="1"/>
      <w:numFmt w:val="decimal"/>
      <w:lvlText w:val="%1.%2.%3.%4.%5.%6."/>
      <w:lvlJc w:val="left"/>
      <w:pPr>
        <w:ind w:left="1800" w:hanging="1800"/>
      </w:pPr>
      <w:rPr>
        <w:rFonts w:hint="default"/>
        <w:sz w:val="26"/>
      </w:rPr>
    </w:lvl>
    <w:lvl w:ilvl="6">
      <w:start w:val="1"/>
      <w:numFmt w:val="decimal"/>
      <w:lvlText w:val="%1.%2.%3.%4.%5.%6.%7."/>
      <w:lvlJc w:val="left"/>
      <w:pPr>
        <w:ind w:left="2160" w:hanging="2160"/>
      </w:pPr>
      <w:rPr>
        <w:rFonts w:hint="default"/>
        <w:sz w:val="26"/>
      </w:rPr>
    </w:lvl>
    <w:lvl w:ilvl="7">
      <w:start w:val="1"/>
      <w:numFmt w:val="decimal"/>
      <w:lvlText w:val="%1.%2.%3.%4.%5.%6.%7.%8."/>
      <w:lvlJc w:val="left"/>
      <w:pPr>
        <w:ind w:left="2520" w:hanging="2520"/>
      </w:pPr>
      <w:rPr>
        <w:rFonts w:hint="default"/>
        <w:sz w:val="26"/>
      </w:rPr>
    </w:lvl>
    <w:lvl w:ilvl="8">
      <w:start w:val="1"/>
      <w:numFmt w:val="decimal"/>
      <w:lvlText w:val="%1.%2.%3.%4.%5.%6.%7.%8.%9."/>
      <w:lvlJc w:val="left"/>
      <w:pPr>
        <w:ind w:left="2880" w:hanging="2880"/>
      </w:pPr>
      <w:rPr>
        <w:rFonts w:hint="default"/>
        <w:sz w:val="26"/>
      </w:rPr>
    </w:lvl>
  </w:abstractNum>
  <w:abstractNum w:abstractNumId="27" w15:restartNumberingAfterBreak="0">
    <w:nsid w:val="54DFBB2C"/>
    <w:multiLevelType w:val="hybridMultilevel"/>
    <w:tmpl w:val="30325AF0"/>
    <w:lvl w:ilvl="0" w:tplc="42D8D064">
      <w:start w:val="1"/>
      <w:numFmt w:val="lowerLetter"/>
      <w:lvlText w:val="%1)"/>
      <w:lvlJc w:val="left"/>
      <w:pPr>
        <w:ind w:left="720" w:hanging="360"/>
      </w:pPr>
      <w:rPr>
        <w:color w:val="auto"/>
      </w:rPr>
    </w:lvl>
    <w:lvl w:ilvl="1" w:tplc="8E945904">
      <w:start w:val="1"/>
      <w:numFmt w:val="lowerLetter"/>
      <w:lvlText w:val="%2."/>
      <w:lvlJc w:val="left"/>
      <w:pPr>
        <w:ind w:left="1440" w:hanging="360"/>
      </w:pPr>
    </w:lvl>
    <w:lvl w:ilvl="2" w:tplc="5A04E274">
      <w:start w:val="1"/>
      <w:numFmt w:val="lowerRoman"/>
      <w:lvlText w:val="%3."/>
      <w:lvlJc w:val="right"/>
      <w:pPr>
        <w:ind w:left="2160" w:hanging="180"/>
      </w:pPr>
    </w:lvl>
    <w:lvl w:ilvl="3" w:tplc="3E06C4AE">
      <w:start w:val="1"/>
      <w:numFmt w:val="decimal"/>
      <w:lvlText w:val="%4."/>
      <w:lvlJc w:val="left"/>
      <w:pPr>
        <w:ind w:left="2880" w:hanging="360"/>
      </w:pPr>
    </w:lvl>
    <w:lvl w:ilvl="4" w:tplc="ED08F850">
      <w:start w:val="1"/>
      <w:numFmt w:val="lowerLetter"/>
      <w:lvlText w:val="%5."/>
      <w:lvlJc w:val="left"/>
      <w:pPr>
        <w:ind w:left="3600" w:hanging="360"/>
      </w:pPr>
    </w:lvl>
    <w:lvl w:ilvl="5" w:tplc="D89449F0">
      <w:start w:val="1"/>
      <w:numFmt w:val="lowerRoman"/>
      <w:lvlText w:val="%6."/>
      <w:lvlJc w:val="right"/>
      <w:pPr>
        <w:ind w:left="4320" w:hanging="180"/>
      </w:pPr>
    </w:lvl>
    <w:lvl w:ilvl="6" w:tplc="0A3049CE">
      <w:start w:val="1"/>
      <w:numFmt w:val="decimal"/>
      <w:lvlText w:val="%7."/>
      <w:lvlJc w:val="left"/>
      <w:pPr>
        <w:ind w:left="5040" w:hanging="360"/>
      </w:pPr>
    </w:lvl>
    <w:lvl w:ilvl="7" w:tplc="F95A8BD4">
      <w:start w:val="1"/>
      <w:numFmt w:val="lowerLetter"/>
      <w:lvlText w:val="%8."/>
      <w:lvlJc w:val="left"/>
      <w:pPr>
        <w:ind w:left="5760" w:hanging="360"/>
      </w:pPr>
    </w:lvl>
    <w:lvl w:ilvl="8" w:tplc="B616FFA0">
      <w:start w:val="1"/>
      <w:numFmt w:val="lowerRoman"/>
      <w:lvlText w:val="%9."/>
      <w:lvlJc w:val="right"/>
      <w:pPr>
        <w:ind w:left="6480" w:hanging="180"/>
      </w:pPr>
    </w:lvl>
  </w:abstractNum>
  <w:abstractNum w:abstractNumId="28" w15:restartNumberingAfterBreak="0">
    <w:nsid w:val="5A150F1F"/>
    <w:multiLevelType w:val="multilevel"/>
    <w:tmpl w:val="929A8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FB3B0B"/>
    <w:multiLevelType w:val="hybridMultilevel"/>
    <w:tmpl w:val="C4F69FF0"/>
    <w:lvl w:ilvl="0" w:tplc="48F41110">
      <w:start w:val="1"/>
      <w:numFmt w:val="lowerLetter"/>
      <w:lvlText w:val="%1)"/>
      <w:lvlJc w:val="left"/>
      <w:pPr>
        <w:ind w:left="720" w:hanging="360"/>
      </w:pPr>
      <w:rPr>
        <w:color w:val="auto"/>
      </w:rPr>
    </w:lvl>
    <w:lvl w:ilvl="1" w:tplc="60061EEE">
      <w:start w:val="1"/>
      <w:numFmt w:val="lowerLetter"/>
      <w:lvlText w:val="%2."/>
      <w:lvlJc w:val="left"/>
      <w:pPr>
        <w:ind w:left="1440" w:hanging="360"/>
      </w:pPr>
    </w:lvl>
    <w:lvl w:ilvl="2" w:tplc="0A7810C2">
      <w:start w:val="1"/>
      <w:numFmt w:val="lowerRoman"/>
      <w:lvlText w:val="%3."/>
      <w:lvlJc w:val="right"/>
      <w:pPr>
        <w:ind w:left="2160" w:hanging="180"/>
      </w:pPr>
    </w:lvl>
    <w:lvl w:ilvl="3" w:tplc="664846AE">
      <w:start w:val="1"/>
      <w:numFmt w:val="decimal"/>
      <w:lvlText w:val="%4."/>
      <w:lvlJc w:val="left"/>
      <w:pPr>
        <w:ind w:left="2880" w:hanging="360"/>
      </w:pPr>
    </w:lvl>
    <w:lvl w:ilvl="4" w:tplc="DB4CA872">
      <w:start w:val="1"/>
      <w:numFmt w:val="lowerLetter"/>
      <w:lvlText w:val="%5."/>
      <w:lvlJc w:val="left"/>
      <w:pPr>
        <w:ind w:left="3600" w:hanging="360"/>
      </w:pPr>
    </w:lvl>
    <w:lvl w:ilvl="5" w:tplc="C136AD9C">
      <w:start w:val="1"/>
      <w:numFmt w:val="lowerRoman"/>
      <w:lvlText w:val="%6."/>
      <w:lvlJc w:val="right"/>
      <w:pPr>
        <w:ind w:left="4320" w:hanging="180"/>
      </w:pPr>
    </w:lvl>
    <w:lvl w:ilvl="6" w:tplc="EEF26EFC">
      <w:start w:val="1"/>
      <w:numFmt w:val="decimal"/>
      <w:lvlText w:val="%7."/>
      <w:lvlJc w:val="left"/>
      <w:pPr>
        <w:ind w:left="5040" w:hanging="360"/>
      </w:pPr>
    </w:lvl>
    <w:lvl w:ilvl="7" w:tplc="3CBC5E9C">
      <w:start w:val="1"/>
      <w:numFmt w:val="lowerLetter"/>
      <w:lvlText w:val="%8."/>
      <w:lvlJc w:val="left"/>
      <w:pPr>
        <w:ind w:left="5760" w:hanging="360"/>
      </w:pPr>
    </w:lvl>
    <w:lvl w:ilvl="8" w:tplc="ED4ADB4C">
      <w:start w:val="1"/>
      <w:numFmt w:val="lowerRoman"/>
      <w:lvlText w:val="%9."/>
      <w:lvlJc w:val="right"/>
      <w:pPr>
        <w:ind w:left="6480" w:hanging="180"/>
      </w:pPr>
    </w:lvl>
  </w:abstractNum>
  <w:abstractNum w:abstractNumId="30" w15:restartNumberingAfterBreak="0">
    <w:nsid w:val="5FE519E8"/>
    <w:multiLevelType w:val="hybridMultilevel"/>
    <w:tmpl w:val="0A34C1EA"/>
    <w:lvl w:ilvl="0" w:tplc="FFFFFFFF">
      <w:start w:val="1"/>
      <w:numFmt w:val="lowerLetter"/>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273C1A"/>
    <w:multiLevelType w:val="multilevel"/>
    <w:tmpl w:val="DB4EF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6E77D2"/>
    <w:multiLevelType w:val="hybridMultilevel"/>
    <w:tmpl w:val="2EF0F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4216A9"/>
    <w:multiLevelType w:val="hybridMultilevel"/>
    <w:tmpl w:val="C4EE7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917A7F"/>
    <w:multiLevelType w:val="multilevel"/>
    <w:tmpl w:val="9030FD7C"/>
    <w:lvl w:ilvl="0">
      <w:start w:val="1"/>
      <w:numFmt w:val="decimal"/>
      <w:lvlText w:val="%1."/>
      <w:lvlJc w:val="left"/>
      <w:pPr>
        <w:ind w:left="720" w:hanging="360"/>
      </w:pPr>
      <w:rPr>
        <w:rFonts w:eastAsiaTheme="minorHAnsi" w:cstheme="minorBidi" w:hint="default"/>
      </w:rPr>
    </w:lvl>
    <w:lvl w:ilvl="1">
      <w:start w:val="2"/>
      <w:numFmt w:val="decimal"/>
      <w:isLgl/>
      <w:lvlText w:val="%1.%2."/>
      <w:lvlJc w:val="left"/>
      <w:pPr>
        <w:ind w:left="1215" w:hanging="855"/>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5" w15:restartNumberingAfterBreak="0">
    <w:nsid w:val="71C159A0"/>
    <w:multiLevelType w:val="hybridMultilevel"/>
    <w:tmpl w:val="B302073E"/>
    <w:lvl w:ilvl="0" w:tplc="46C2D3B6">
      <w:start w:val="1"/>
      <w:numFmt w:val="lowerLetter"/>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760B50B4"/>
    <w:multiLevelType w:val="hybridMultilevel"/>
    <w:tmpl w:val="1D862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4351308">
    <w:abstractNumId w:val="14"/>
  </w:num>
  <w:num w:numId="2" w16cid:durableId="1749811301">
    <w:abstractNumId w:val="26"/>
  </w:num>
  <w:num w:numId="3" w16cid:durableId="1058819366">
    <w:abstractNumId w:val="29"/>
  </w:num>
  <w:num w:numId="4" w16cid:durableId="1525362088">
    <w:abstractNumId w:val="27"/>
  </w:num>
  <w:num w:numId="5" w16cid:durableId="520781372">
    <w:abstractNumId w:val="17"/>
  </w:num>
  <w:num w:numId="6" w16cid:durableId="1114522491">
    <w:abstractNumId w:val="36"/>
  </w:num>
  <w:num w:numId="7" w16cid:durableId="1602685788">
    <w:abstractNumId w:val="3"/>
  </w:num>
  <w:num w:numId="8" w16cid:durableId="1493836886">
    <w:abstractNumId w:val="23"/>
  </w:num>
  <w:num w:numId="9" w16cid:durableId="98258842">
    <w:abstractNumId w:val="35"/>
  </w:num>
  <w:num w:numId="10" w16cid:durableId="1048988500">
    <w:abstractNumId w:val="11"/>
  </w:num>
  <w:num w:numId="11" w16cid:durableId="1462259743">
    <w:abstractNumId w:val="5"/>
  </w:num>
  <w:num w:numId="12" w16cid:durableId="691536855">
    <w:abstractNumId w:val="21"/>
  </w:num>
  <w:num w:numId="13" w16cid:durableId="383874939">
    <w:abstractNumId w:val="16"/>
  </w:num>
  <w:num w:numId="14" w16cid:durableId="861406292">
    <w:abstractNumId w:val="32"/>
  </w:num>
  <w:num w:numId="15" w16cid:durableId="461967275">
    <w:abstractNumId w:val="30"/>
  </w:num>
  <w:num w:numId="16" w16cid:durableId="1220745613">
    <w:abstractNumId w:val="19"/>
  </w:num>
  <w:num w:numId="17" w16cid:durableId="272514384">
    <w:abstractNumId w:val="22"/>
  </w:num>
  <w:num w:numId="18" w16cid:durableId="305355282">
    <w:abstractNumId w:val="15"/>
  </w:num>
  <w:num w:numId="19" w16cid:durableId="901715176">
    <w:abstractNumId w:val="4"/>
  </w:num>
  <w:num w:numId="20" w16cid:durableId="167642294">
    <w:abstractNumId w:val="6"/>
  </w:num>
  <w:num w:numId="21" w16cid:durableId="176316173">
    <w:abstractNumId w:val="34"/>
  </w:num>
  <w:num w:numId="22" w16cid:durableId="728772887">
    <w:abstractNumId w:val="8"/>
  </w:num>
  <w:num w:numId="23" w16cid:durableId="1947272103">
    <w:abstractNumId w:val="10"/>
  </w:num>
  <w:num w:numId="24" w16cid:durableId="1675691019">
    <w:abstractNumId w:val="18"/>
  </w:num>
  <w:num w:numId="25" w16cid:durableId="871453414">
    <w:abstractNumId w:val="28"/>
  </w:num>
  <w:num w:numId="26" w16cid:durableId="522599272">
    <w:abstractNumId w:val="20"/>
  </w:num>
  <w:num w:numId="27" w16cid:durableId="1680428344">
    <w:abstractNumId w:val="12"/>
  </w:num>
  <w:num w:numId="28" w16cid:durableId="215894974">
    <w:abstractNumId w:val="1"/>
  </w:num>
  <w:num w:numId="29" w16cid:durableId="97607599">
    <w:abstractNumId w:val="0"/>
  </w:num>
  <w:num w:numId="30" w16cid:durableId="22097238">
    <w:abstractNumId w:val="31"/>
  </w:num>
  <w:num w:numId="31" w16cid:durableId="1787306871">
    <w:abstractNumId w:val="2"/>
  </w:num>
  <w:num w:numId="32" w16cid:durableId="711078380">
    <w:abstractNumId w:val="33"/>
  </w:num>
  <w:num w:numId="33" w16cid:durableId="1370032105">
    <w:abstractNumId w:val="24"/>
  </w:num>
  <w:num w:numId="34" w16cid:durableId="1956519870">
    <w:abstractNumId w:val="25"/>
  </w:num>
  <w:num w:numId="35" w16cid:durableId="1868980368">
    <w:abstractNumId w:val="9"/>
  </w:num>
  <w:num w:numId="36" w16cid:durableId="53310221">
    <w:abstractNumId w:val="7"/>
  </w:num>
  <w:num w:numId="37" w16cid:durableId="10794218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3B3"/>
    <w:rsid w:val="000002E7"/>
    <w:rsid w:val="00000C91"/>
    <w:rsid w:val="00001B2A"/>
    <w:rsid w:val="00001CD0"/>
    <w:rsid w:val="00001D84"/>
    <w:rsid w:val="000023E7"/>
    <w:rsid w:val="00002AB4"/>
    <w:rsid w:val="00002F68"/>
    <w:rsid w:val="00002FD3"/>
    <w:rsid w:val="00003C90"/>
    <w:rsid w:val="000047EC"/>
    <w:rsid w:val="00005CEA"/>
    <w:rsid w:val="000062F8"/>
    <w:rsid w:val="000070EE"/>
    <w:rsid w:val="00007414"/>
    <w:rsid w:val="0000785E"/>
    <w:rsid w:val="0000787E"/>
    <w:rsid w:val="00007931"/>
    <w:rsid w:val="00010793"/>
    <w:rsid w:val="000110BB"/>
    <w:rsid w:val="0001116D"/>
    <w:rsid w:val="0001117F"/>
    <w:rsid w:val="000111B5"/>
    <w:rsid w:val="0001193F"/>
    <w:rsid w:val="00011F41"/>
    <w:rsid w:val="0001271D"/>
    <w:rsid w:val="00012F51"/>
    <w:rsid w:val="00012FF3"/>
    <w:rsid w:val="0001356F"/>
    <w:rsid w:val="0001641F"/>
    <w:rsid w:val="00016C25"/>
    <w:rsid w:val="0001766A"/>
    <w:rsid w:val="000206C8"/>
    <w:rsid w:val="00021453"/>
    <w:rsid w:val="0002145D"/>
    <w:rsid w:val="00022398"/>
    <w:rsid w:val="0002239C"/>
    <w:rsid w:val="000224DB"/>
    <w:rsid w:val="00022EB2"/>
    <w:rsid w:val="000232D2"/>
    <w:rsid w:val="00023679"/>
    <w:rsid w:val="00024D9F"/>
    <w:rsid w:val="00024FF7"/>
    <w:rsid w:val="000263AB"/>
    <w:rsid w:val="00026718"/>
    <w:rsid w:val="00026CF1"/>
    <w:rsid w:val="00026F3C"/>
    <w:rsid w:val="00027B88"/>
    <w:rsid w:val="00030082"/>
    <w:rsid w:val="00030A87"/>
    <w:rsid w:val="00031678"/>
    <w:rsid w:val="00031DF5"/>
    <w:rsid w:val="0003270B"/>
    <w:rsid w:val="00032745"/>
    <w:rsid w:val="0003276B"/>
    <w:rsid w:val="00033068"/>
    <w:rsid w:val="00034591"/>
    <w:rsid w:val="00034622"/>
    <w:rsid w:val="000347F1"/>
    <w:rsid w:val="00034A45"/>
    <w:rsid w:val="00034C26"/>
    <w:rsid w:val="00034CAC"/>
    <w:rsid w:val="000351C1"/>
    <w:rsid w:val="00035226"/>
    <w:rsid w:val="00036ABD"/>
    <w:rsid w:val="00037213"/>
    <w:rsid w:val="0003757C"/>
    <w:rsid w:val="00037A8D"/>
    <w:rsid w:val="00037BD4"/>
    <w:rsid w:val="0004043C"/>
    <w:rsid w:val="0004078D"/>
    <w:rsid w:val="0004095A"/>
    <w:rsid w:val="00041F42"/>
    <w:rsid w:val="0004237F"/>
    <w:rsid w:val="000424C5"/>
    <w:rsid w:val="00042AF2"/>
    <w:rsid w:val="00042F59"/>
    <w:rsid w:val="000441D6"/>
    <w:rsid w:val="00044471"/>
    <w:rsid w:val="00044E34"/>
    <w:rsid w:val="00044FD0"/>
    <w:rsid w:val="000451B6"/>
    <w:rsid w:val="00045BF5"/>
    <w:rsid w:val="00045FE1"/>
    <w:rsid w:val="00047004"/>
    <w:rsid w:val="000472A9"/>
    <w:rsid w:val="00047B9D"/>
    <w:rsid w:val="000505F0"/>
    <w:rsid w:val="000508EC"/>
    <w:rsid w:val="00050E26"/>
    <w:rsid w:val="000510A8"/>
    <w:rsid w:val="000522C3"/>
    <w:rsid w:val="00052BBC"/>
    <w:rsid w:val="00052E25"/>
    <w:rsid w:val="00053294"/>
    <w:rsid w:val="00053463"/>
    <w:rsid w:val="000537BA"/>
    <w:rsid w:val="00054206"/>
    <w:rsid w:val="0005497C"/>
    <w:rsid w:val="00054BDB"/>
    <w:rsid w:val="00054CA6"/>
    <w:rsid w:val="00054FF3"/>
    <w:rsid w:val="00055521"/>
    <w:rsid w:val="0005587A"/>
    <w:rsid w:val="00055D6E"/>
    <w:rsid w:val="00056611"/>
    <w:rsid w:val="00056682"/>
    <w:rsid w:val="000571CE"/>
    <w:rsid w:val="0005756E"/>
    <w:rsid w:val="000600F5"/>
    <w:rsid w:val="0006031D"/>
    <w:rsid w:val="00060B9F"/>
    <w:rsid w:val="00061768"/>
    <w:rsid w:val="0006329B"/>
    <w:rsid w:val="00063766"/>
    <w:rsid w:val="0006488E"/>
    <w:rsid w:val="000648DD"/>
    <w:rsid w:val="00064F5F"/>
    <w:rsid w:val="00065C2A"/>
    <w:rsid w:val="00065CD8"/>
    <w:rsid w:val="00065E0D"/>
    <w:rsid w:val="00065FE5"/>
    <w:rsid w:val="00067005"/>
    <w:rsid w:val="00067B02"/>
    <w:rsid w:val="00067D62"/>
    <w:rsid w:val="0006E02F"/>
    <w:rsid w:val="000707B7"/>
    <w:rsid w:val="00070B03"/>
    <w:rsid w:val="00070D69"/>
    <w:rsid w:val="00071290"/>
    <w:rsid w:val="00071E88"/>
    <w:rsid w:val="00071FC9"/>
    <w:rsid w:val="00072507"/>
    <w:rsid w:val="000726F1"/>
    <w:rsid w:val="00072798"/>
    <w:rsid w:val="00072E4B"/>
    <w:rsid w:val="00072FE7"/>
    <w:rsid w:val="0007301C"/>
    <w:rsid w:val="00073882"/>
    <w:rsid w:val="00073C49"/>
    <w:rsid w:val="0007429B"/>
    <w:rsid w:val="00074405"/>
    <w:rsid w:val="00074D7A"/>
    <w:rsid w:val="000753A4"/>
    <w:rsid w:val="0007568F"/>
    <w:rsid w:val="000762B5"/>
    <w:rsid w:val="000762E4"/>
    <w:rsid w:val="00076EEB"/>
    <w:rsid w:val="00080E88"/>
    <w:rsid w:val="00081067"/>
    <w:rsid w:val="0008165F"/>
    <w:rsid w:val="0008173B"/>
    <w:rsid w:val="00081915"/>
    <w:rsid w:val="00081BD5"/>
    <w:rsid w:val="00082687"/>
    <w:rsid w:val="00083C50"/>
    <w:rsid w:val="00084B7F"/>
    <w:rsid w:val="00084DEF"/>
    <w:rsid w:val="00085CEE"/>
    <w:rsid w:val="00086224"/>
    <w:rsid w:val="00086D20"/>
    <w:rsid w:val="00086E89"/>
    <w:rsid w:val="000878D6"/>
    <w:rsid w:val="00087BE1"/>
    <w:rsid w:val="000902FA"/>
    <w:rsid w:val="00091C4F"/>
    <w:rsid w:val="0009263C"/>
    <w:rsid w:val="00092667"/>
    <w:rsid w:val="00093C4B"/>
    <w:rsid w:val="00094175"/>
    <w:rsid w:val="000941C4"/>
    <w:rsid w:val="00094F5D"/>
    <w:rsid w:val="00095A52"/>
    <w:rsid w:val="00095AB0"/>
    <w:rsid w:val="00096149"/>
    <w:rsid w:val="000961B9"/>
    <w:rsid w:val="0009622B"/>
    <w:rsid w:val="0009689C"/>
    <w:rsid w:val="000969EA"/>
    <w:rsid w:val="00096A13"/>
    <w:rsid w:val="000975C3"/>
    <w:rsid w:val="00097710"/>
    <w:rsid w:val="00097E3D"/>
    <w:rsid w:val="000A01A0"/>
    <w:rsid w:val="000A0CB4"/>
    <w:rsid w:val="000A0F41"/>
    <w:rsid w:val="000A1ECA"/>
    <w:rsid w:val="000A221C"/>
    <w:rsid w:val="000A2EFE"/>
    <w:rsid w:val="000A2FAF"/>
    <w:rsid w:val="000A30BD"/>
    <w:rsid w:val="000A34BC"/>
    <w:rsid w:val="000A4225"/>
    <w:rsid w:val="000A548D"/>
    <w:rsid w:val="000A593E"/>
    <w:rsid w:val="000A5D58"/>
    <w:rsid w:val="000A611D"/>
    <w:rsid w:val="000A6BB6"/>
    <w:rsid w:val="000A6CF9"/>
    <w:rsid w:val="000A6F77"/>
    <w:rsid w:val="000A7CCA"/>
    <w:rsid w:val="000A7D64"/>
    <w:rsid w:val="000B0133"/>
    <w:rsid w:val="000B0576"/>
    <w:rsid w:val="000B0BFA"/>
    <w:rsid w:val="000B1756"/>
    <w:rsid w:val="000B185D"/>
    <w:rsid w:val="000B1951"/>
    <w:rsid w:val="000B1D04"/>
    <w:rsid w:val="000B1DA2"/>
    <w:rsid w:val="000B214B"/>
    <w:rsid w:val="000B2EA2"/>
    <w:rsid w:val="000B40B0"/>
    <w:rsid w:val="000B4537"/>
    <w:rsid w:val="000B5203"/>
    <w:rsid w:val="000B5C92"/>
    <w:rsid w:val="000B5F13"/>
    <w:rsid w:val="000B666D"/>
    <w:rsid w:val="000B66D5"/>
    <w:rsid w:val="000B7596"/>
    <w:rsid w:val="000B7760"/>
    <w:rsid w:val="000B7B37"/>
    <w:rsid w:val="000C0621"/>
    <w:rsid w:val="000C0CB9"/>
    <w:rsid w:val="000C0FB3"/>
    <w:rsid w:val="000C2811"/>
    <w:rsid w:val="000C2B08"/>
    <w:rsid w:val="000C3A2B"/>
    <w:rsid w:val="000C40C5"/>
    <w:rsid w:val="000C42BF"/>
    <w:rsid w:val="000C4368"/>
    <w:rsid w:val="000C46F6"/>
    <w:rsid w:val="000C4D46"/>
    <w:rsid w:val="000C4F22"/>
    <w:rsid w:val="000C57C3"/>
    <w:rsid w:val="000C63D0"/>
    <w:rsid w:val="000C6956"/>
    <w:rsid w:val="000C6CFD"/>
    <w:rsid w:val="000C7204"/>
    <w:rsid w:val="000C76D8"/>
    <w:rsid w:val="000C79B5"/>
    <w:rsid w:val="000C7F46"/>
    <w:rsid w:val="000D077C"/>
    <w:rsid w:val="000D0FE2"/>
    <w:rsid w:val="000D10FC"/>
    <w:rsid w:val="000D1B4F"/>
    <w:rsid w:val="000D1C2B"/>
    <w:rsid w:val="000D23D4"/>
    <w:rsid w:val="000D2AD0"/>
    <w:rsid w:val="000D3998"/>
    <w:rsid w:val="000D3BC3"/>
    <w:rsid w:val="000D45D9"/>
    <w:rsid w:val="000D4FC0"/>
    <w:rsid w:val="000D522C"/>
    <w:rsid w:val="000D588C"/>
    <w:rsid w:val="000D5ADB"/>
    <w:rsid w:val="000D5ED0"/>
    <w:rsid w:val="000D6296"/>
    <w:rsid w:val="000D6E2A"/>
    <w:rsid w:val="000D6E3A"/>
    <w:rsid w:val="000D6F86"/>
    <w:rsid w:val="000D794C"/>
    <w:rsid w:val="000DCD08"/>
    <w:rsid w:val="000E0B3B"/>
    <w:rsid w:val="000E165F"/>
    <w:rsid w:val="000E1670"/>
    <w:rsid w:val="000E17A5"/>
    <w:rsid w:val="000E1FCE"/>
    <w:rsid w:val="000E20D7"/>
    <w:rsid w:val="000E2958"/>
    <w:rsid w:val="000E2C64"/>
    <w:rsid w:val="000E2CB1"/>
    <w:rsid w:val="000E3736"/>
    <w:rsid w:val="000E4E1E"/>
    <w:rsid w:val="000E4F08"/>
    <w:rsid w:val="000E5F85"/>
    <w:rsid w:val="000E6605"/>
    <w:rsid w:val="000E6885"/>
    <w:rsid w:val="000E6D0F"/>
    <w:rsid w:val="000E6FD9"/>
    <w:rsid w:val="000E725F"/>
    <w:rsid w:val="000E7532"/>
    <w:rsid w:val="000E7AC6"/>
    <w:rsid w:val="000F02E3"/>
    <w:rsid w:val="000F0A08"/>
    <w:rsid w:val="000F0E92"/>
    <w:rsid w:val="000F185D"/>
    <w:rsid w:val="000F1D9C"/>
    <w:rsid w:val="000F1DAF"/>
    <w:rsid w:val="000F2468"/>
    <w:rsid w:val="000F250D"/>
    <w:rsid w:val="000F2F63"/>
    <w:rsid w:val="000F3A5E"/>
    <w:rsid w:val="000F4B9A"/>
    <w:rsid w:val="000F51F7"/>
    <w:rsid w:val="000F52E2"/>
    <w:rsid w:val="000F542D"/>
    <w:rsid w:val="000F55BF"/>
    <w:rsid w:val="000F5764"/>
    <w:rsid w:val="000F5A6C"/>
    <w:rsid w:val="000F5C0E"/>
    <w:rsid w:val="00100607"/>
    <w:rsid w:val="00100CF1"/>
    <w:rsid w:val="00100DCC"/>
    <w:rsid w:val="00100DF0"/>
    <w:rsid w:val="00101547"/>
    <w:rsid w:val="00102080"/>
    <w:rsid w:val="00102BED"/>
    <w:rsid w:val="00102BF4"/>
    <w:rsid w:val="00103152"/>
    <w:rsid w:val="00103518"/>
    <w:rsid w:val="0010356C"/>
    <w:rsid w:val="001049EE"/>
    <w:rsid w:val="00104A0F"/>
    <w:rsid w:val="00104F29"/>
    <w:rsid w:val="0010513A"/>
    <w:rsid w:val="001052DA"/>
    <w:rsid w:val="001056FC"/>
    <w:rsid w:val="0010586E"/>
    <w:rsid w:val="0010598A"/>
    <w:rsid w:val="00105F70"/>
    <w:rsid w:val="00106790"/>
    <w:rsid w:val="00107E29"/>
    <w:rsid w:val="0011037C"/>
    <w:rsid w:val="00110DC8"/>
    <w:rsid w:val="00111536"/>
    <w:rsid w:val="001115BB"/>
    <w:rsid w:val="001135BE"/>
    <w:rsid w:val="00113A55"/>
    <w:rsid w:val="00113B35"/>
    <w:rsid w:val="00114EEA"/>
    <w:rsid w:val="001158BB"/>
    <w:rsid w:val="0011609F"/>
    <w:rsid w:val="00116A56"/>
    <w:rsid w:val="00116F6D"/>
    <w:rsid w:val="00117C18"/>
    <w:rsid w:val="00120387"/>
    <w:rsid w:val="00120825"/>
    <w:rsid w:val="00120C68"/>
    <w:rsid w:val="00120D6E"/>
    <w:rsid w:val="00120E09"/>
    <w:rsid w:val="0012136C"/>
    <w:rsid w:val="00121392"/>
    <w:rsid w:val="00121E9C"/>
    <w:rsid w:val="001220C9"/>
    <w:rsid w:val="00122988"/>
    <w:rsid w:val="00123E6D"/>
    <w:rsid w:val="00124046"/>
    <w:rsid w:val="00124849"/>
    <w:rsid w:val="00124DC9"/>
    <w:rsid w:val="00125557"/>
    <w:rsid w:val="00125CDD"/>
    <w:rsid w:val="001263A5"/>
    <w:rsid w:val="001263BC"/>
    <w:rsid w:val="001263C5"/>
    <w:rsid w:val="001268FF"/>
    <w:rsid w:val="00126F9E"/>
    <w:rsid w:val="001270E6"/>
    <w:rsid w:val="001278D1"/>
    <w:rsid w:val="00127B9D"/>
    <w:rsid w:val="00127C1A"/>
    <w:rsid w:val="00130864"/>
    <w:rsid w:val="001309D1"/>
    <w:rsid w:val="00130DE9"/>
    <w:rsid w:val="001316BC"/>
    <w:rsid w:val="00132813"/>
    <w:rsid w:val="001331A1"/>
    <w:rsid w:val="00133512"/>
    <w:rsid w:val="00133B97"/>
    <w:rsid w:val="00134700"/>
    <w:rsid w:val="00134AF2"/>
    <w:rsid w:val="00135210"/>
    <w:rsid w:val="001352E2"/>
    <w:rsid w:val="00135872"/>
    <w:rsid w:val="001358C0"/>
    <w:rsid w:val="00135E89"/>
    <w:rsid w:val="00135FA5"/>
    <w:rsid w:val="001365C8"/>
    <w:rsid w:val="001371C3"/>
    <w:rsid w:val="00137B33"/>
    <w:rsid w:val="00140A8A"/>
    <w:rsid w:val="00141009"/>
    <w:rsid w:val="001415E1"/>
    <w:rsid w:val="00141829"/>
    <w:rsid w:val="001419C4"/>
    <w:rsid w:val="00141C1B"/>
    <w:rsid w:val="001422BA"/>
    <w:rsid w:val="0014253B"/>
    <w:rsid w:val="00142594"/>
    <w:rsid w:val="00142713"/>
    <w:rsid w:val="001428EF"/>
    <w:rsid w:val="001430D5"/>
    <w:rsid w:val="0014373A"/>
    <w:rsid w:val="001438D5"/>
    <w:rsid w:val="00143A95"/>
    <w:rsid w:val="00144C27"/>
    <w:rsid w:val="001454F2"/>
    <w:rsid w:val="00146695"/>
    <w:rsid w:val="00146C00"/>
    <w:rsid w:val="00146DCF"/>
    <w:rsid w:val="0014774A"/>
    <w:rsid w:val="001478A4"/>
    <w:rsid w:val="001479F0"/>
    <w:rsid w:val="00147ABC"/>
    <w:rsid w:val="00147ACC"/>
    <w:rsid w:val="00147F6E"/>
    <w:rsid w:val="00151B0C"/>
    <w:rsid w:val="00152100"/>
    <w:rsid w:val="0015214B"/>
    <w:rsid w:val="00152442"/>
    <w:rsid w:val="00152A79"/>
    <w:rsid w:val="0015460C"/>
    <w:rsid w:val="00154C15"/>
    <w:rsid w:val="00155064"/>
    <w:rsid w:val="00155B1E"/>
    <w:rsid w:val="00156194"/>
    <w:rsid w:val="001561F8"/>
    <w:rsid w:val="001563AC"/>
    <w:rsid w:val="00157225"/>
    <w:rsid w:val="001574B0"/>
    <w:rsid w:val="00157B16"/>
    <w:rsid w:val="0016014C"/>
    <w:rsid w:val="00160CE9"/>
    <w:rsid w:val="00160E16"/>
    <w:rsid w:val="00160F18"/>
    <w:rsid w:val="0016122B"/>
    <w:rsid w:val="0016167A"/>
    <w:rsid w:val="00161B90"/>
    <w:rsid w:val="0016222D"/>
    <w:rsid w:val="001622C5"/>
    <w:rsid w:val="001624BF"/>
    <w:rsid w:val="001627BA"/>
    <w:rsid w:val="00162AAD"/>
    <w:rsid w:val="0016369B"/>
    <w:rsid w:val="00164572"/>
    <w:rsid w:val="00164710"/>
    <w:rsid w:val="00164BB6"/>
    <w:rsid w:val="00164ED5"/>
    <w:rsid w:val="0016507E"/>
    <w:rsid w:val="0016515F"/>
    <w:rsid w:val="001657B9"/>
    <w:rsid w:val="00165D58"/>
    <w:rsid w:val="00166183"/>
    <w:rsid w:val="001666AD"/>
    <w:rsid w:val="001709A5"/>
    <w:rsid w:val="00170F17"/>
    <w:rsid w:val="0017129E"/>
    <w:rsid w:val="001716D3"/>
    <w:rsid w:val="0017183B"/>
    <w:rsid w:val="00171A92"/>
    <w:rsid w:val="001730E6"/>
    <w:rsid w:val="00173912"/>
    <w:rsid w:val="001747FE"/>
    <w:rsid w:val="00174D38"/>
    <w:rsid w:val="00174F44"/>
    <w:rsid w:val="001754BA"/>
    <w:rsid w:val="00176220"/>
    <w:rsid w:val="001762DC"/>
    <w:rsid w:val="00177D87"/>
    <w:rsid w:val="00180968"/>
    <w:rsid w:val="00181365"/>
    <w:rsid w:val="001819B4"/>
    <w:rsid w:val="00181D73"/>
    <w:rsid w:val="00181D7B"/>
    <w:rsid w:val="00182108"/>
    <w:rsid w:val="00183461"/>
    <w:rsid w:val="001841C5"/>
    <w:rsid w:val="0018432C"/>
    <w:rsid w:val="001847E9"/>
    <w:rsid w:val="00184A5E"/>
    <w:rsid w:val="00184D58"/>
    <w:rsid w:val="00184F20"/>
    <w:rsid w:val="001855D6"/>
    <w:rsid w:val="00185E00"/>
    <w:rsid w:val="00185F6A"/>
    <w:rsid w:val="001874A3"/>
    <w:rsid w:val="00187721"/>
    <w:rsid w:val="00187E34"/>
    <w:rsid w:val="00190148"/>
    <w:rsid w:val="00191A2F"/>
    <w:rsid w:val="001932B1"/>
    <w:rsid w:val="00193AA7"/>
    <w:rsid w:val="001944A2"/>
    <w:rsid w:val="0019514C"/>
    <w:rsid w:val="00195E4F"/>
    <w:rsid w:val="00195F29"/>
    <w:rsid w:val="00196277"/>
    <w:rsid w:val="00196DC0"/>
    <w:rsid w:val="001973C9"/>
    <w:rsid w:val="00197793"/>
    <w:rsid w:val="001977CC"/>
    <w:rsid w:val="001A030A"/>
    <w:rsid w:val="001A1379"/>
    <w:rsid w:val="001A14F1"/>
    <w:rsid w:val="001A1726"/>
    <w:rsid w:val="001A1733"/>
    <w:rsid w:val="001A1749"/>
    <w:rsid w:val="001A1808"/>
    <w:rsid w:val="001A194A"/>
    <w:rsid w:val="001A1C9B"/>
    <w:rsid w:val="001A23D5"/>
    <w:rsid w:val="001A2FD3"/>
    <w:rsid w:val="001A3866"/>
    <w:rsid w:val="001A390D"/>
    <w:rsid w:val="001A3A68"/>
    <w:rsid w:val="001A4107"/>
    <w:rsid w:val="001A434B"/>
    <w:rsid w:val="001A4C80"/>
    <w:rsid w:val="001A4F59"/>
    <w:rsid w:val="001A55F8"/>
    <w:rsid w:val="001A57C3"/>
    <w:rsid w:val="001A5C16"/>
    <w:rsid w:val="001A6238"/>
    <w:rsid w:val="001A6545"/>
    <w:rsid w:val="001A65BD"/>
    <w:rsid w:val="001A6B9D"/>
    <w:rsid w:val="001A6D41"/>
    <w:rsid w:val="001A78E8"/>
    <w:rsid w:val="001A7C75"/>
    <w:rsid w:val="001A7DAC"/>
    <w:rsid w:val="001B0C75"/>
    <w:rsid w:val="001B0D66"/>
    <w:rsid w:val="001B112A"/>
    <w:rsid w:val="001B13DF"/>
    <w:rsid w:val="001B1CF0"/>
    <w:rsid w:val="001B208D"/>
    <w:rsid w:val="001B2BA2"/>
    <w:rsid w:val="001B3175"/>
    <w:rsid w:val="001B36CA"/>
    <w:rsid w:val="001B3BC7"/>
    <w:rsid w:val="001B3DFC"/>
    <w:rsid w:val="001B3E8E"/>
    <w:rsid w:val="001B4004"/>
    <w:rsid w:val="001B44B3"/>
    <w:rsid w:val="001B47BB"/>
    <w:rsid w:val="001B528B"/>
    <w:rsid w:val="001B59C5"/>
    <w:rsid w:val="001B5C40"/>
    <w:rsid w:val="001B6326"/>
    <w:rsid w:val="001B6EC1"/>
    <w:rsid w:val="001B6F52"/>
    <w:rsid w:val="001B725D"/>
    <w:rsid w:val="001B7C3B"/>
    <w:rsid w:val="001B7FD7"/>
    <w:rsid w:val="001C092B"/>
    <w:rsid w:val="001C09FB"/>
    <w:rsid w:val="001C1517"/>
    <w:rsid w:val="001C154D"/>
    <w:rsid w:val="001C1A2A"/>
    <w:rsid w:val="001C2D61"/>
    <w:rsid w:val="001C3514"/>
    <w:rsid w:val="001C3AF7"/>
    <w:rsid w:val="001C3E56"/>
    <w:rsid w:val="001C4178"/>
    <w:rsid w:val="001C4D1A"/>
    <w:rsid w:val="001C51FD"/>
    <w:rsid w:val="001C53A0"/>
    <w:rsid w:val="001C5F58"/>
    <w:rsid w:val="001C641F"/>
    <w:rsid w:val="001C76BB"/>
    <w:rsid w:val="001D019A"/>
    <w:rsid w:val="001D06A0"/>
    <w:rsid w:val="001D06A1"/>
    <w:rsid w:val="001D133A"/>
    <w:rsid w:val="001D1BA7"/>
    <w:rsid w:val="001D26E4"/>
    <w:rsid w:val="001D286D"/>
    <w:rsid w:val="001D2DDA"/>
    <w:rsid w:val="001D2FAB"/>
    <w:rsid w:val="001D34EF"/>
    <w:rsid w:val="001D3883"/>
    <w:rsid w:val="001D4CAD"/>
    <w:rsid w:val="001D4FFC"/>
    <w:rsid w:val="001D52C2"/>
    <w:rsid w:val="001D53E1"/>
    <w:rsid w:val="001D5A68"/>
    <w:rsid w:val="001D5F26"/>
    <w:rsid w:val="001D5F6A"/>
    <w:rsid w:val="001D6475"/>
    <w:rsid w:val="001D7B7B"/>
    <w:rsid w:val="001D7D12"/>
    <w:rsid w:val="001D7D89"/>
    <w:rsid w:val="001E032B"/>
    <w:rsid w:val="001E076A"/>
    <w:rsid w:val="001E0D35"/>
    <w:rsid w:val="001E1855"/>
    <w:rsid w:val="001E1B3F"/>
    <w:rsid w:val="001E1F0A"/>
    <w:rsid w:val="001E2177"/>
    <w:rsid w:val="001E22ED"/>
    <w:rsid w:val="001E367D"/>
    <w:rsid w:val="001E3689"/>
    <w:rsid w:val="001E3CDE"/>
    <w:rsid w:val="001E4810"/>
    <w:rsid w:val="001E4E22"/>
    <w:rsid w:val="001E50C3"/>
    <w:rsid w:val="001E54AF"/>
    <w:rsid w:val="001E5C02"/>
    <w:rsid w:val="001E5E44"/>
    <w:rsid w:val="001E624E"/>
    <w:rsid w:val="001E6549"/>
    <w:rsid w:val="001E688C"/>
    <w:rsid w:val="001E6A83"/>
    <w:rsid w:val="001E7BF1"/>
    <w:rsid w:val="001F0382"/>
    <w:rsid w:val="001F04A3"/>
    <w:rsid w:val="001F17D4"/>
    <w:rsid w:val="001F1B3E"/>
    <w:rsid w:val="001F1D76"/>
    <w:rsid w:val="001F2668"/>
    <w:rsid w:val="001F2EB3"/>
    <w:rsid w:val="001F3567"/>
    <w:rsid w:val="001F3A49"/>
    <w:rsid w:val="001F5294"/>
    <w:rsid w:val="001F5604"/>
    <w:rsid w:val="001F6E61"/>
    <w:rsid w:val="001F6E80"/>
    <w:rsid w:val="001F71FD"/>
    <w:rsid w:val="001F74EF"/>
    <w:rsid w:val="001F75A7"/>
    <w:rsid w:val="001F7903"/>
    <w:rsid w:val="001F7952"/>
    <w:rsid w:val="0020005A"/>
    <w:rsid w:val="00200BE7"/>
    <w:rsid w:val="002019FE"/>
    <w:rsid w:val="0020228F"/>
    <w:rsid w:val="0020291E"/>
    <w:rsid w:val="002030C7"/>
    <w:rsid w:val="0020379E"/>
    <w:rsid w:val="002040FF"/>
    <w:rsid w:val="002046CB"/>
    <w:rsid w:val="00204D89"/>
    <w:rsid w:val="00204DD6"/>
    <w:rsid w:val="00204E1B"/>
    <w:rsid w:val="00204E8C"/>
    <w:rsid w:val="0020520D"/>
    <w:rsid w:val="0020576B"/>
    <w:rsid w:val="00205B22"/>
    <w:rsid w:val="00205FF1"/>
    <w:rsid w:val="00207311"/>
    <w:rsid w:val="00210135"/>
    <w:rsid w:val="002101E1"/>
    <w:rsid w:val="00210D4D"/>
    <w:rsid w:val="0021170C"/>
    <w:rsid w:val="002119A5"/>
    <w:rsid w:val="00211EE1"/>
    <w:rsid w:val="00212420"/>
    <w:rsid w:val="0021296E"/>
    <w:rsid w:val="00212CF1"/>
    <w:rsid w:val="00212D99"/>
    <w:rsid w:val="00213B23"/>
    <w:rsid w:val="002142E3"/>
    <w:rsid w:val="00214C7F"/>
    <w:rsid w:val="00214D4E"/>
    <w:rsid w:val="0021511E"/>
    <w:rsid w:val="0021513C"/>
    <w:rsid w:val="002151DE"/>
    <w:rsid w:val="002152E4"/>
    <w:rsid w:val="00215419"/>
    <w:rsid w:val="0021583D"/>
    <w:rsid w:val="00215EE3"/>
    <w:rsid w:val="00216022"/>
    <w:rsid w:val="002165F5"/>
    <w:rsid w:val="00216D7B"/>
    <w:rsid w:val="00216F8F"/>
    <w:rsid w:val="0021758D"/>
    <w:rsid w:val="00217C91"/>
    <w:rsid w:val="00220A19"/>
    <w:rsid w:val="00220A3B"/>
    <w:rsid w:val="0022102A"/>
    <w:rsid w:val="00221951"/>
    <w:rsid w:val="00221A50"/>
    <w:rsid w:val="0022233F"/>
    <w:rsid w:val="00222C7E"/>
    <w:rsid w:val="002234F1"/>
    <w:rsid w:val="00223A2E"/>
    <w:rsid w:val="00223C21"/>
    <w:rsid w:val="002240B5"/>
    <w:rsid w:val="00224432"/>
    <w:rsid w:val="0022480D"/>
    <w:rsid w:val="0022496C"/>
    <w:rsid w:val="00224D2E"/>
    <w:rsid w:val="00225275"/>
    <w:rsid w:val="002252DF"/>
    <w:rsid w:val="00225655"/>
    <w:rsid w:val="00226139"/>
    <w:rsid w:val="00226187"/>
    <w:rsid w:val="0022692F"/>
    <w:rsid w:val="00226FF6"/>
    <w:rsid w:val="00227734"/>
    <w:rsid w:val="00227EC6"/>
    <w:rsid w:val="002303BC"/>
    <w:rsid w:val="00230F4C"/>
    <w:rsid w:val="002314CA"/>
    <w:rsid w:val="00231668"/>
    <w:rsid w:val="00231C0F"/>
    <w:rsid w:val="00231E7C"/>
    <w:rsid w:val="00231EFC"/>
    <w:rsid w:val="00231FF2"/>
    <w:rsid w:val="00232255"/>
    <w:rsid w:val="00232554"/>
    <w:rsid w:val="00232A88"/>
    <w:rsid w:val="0023332B"/>
    <w:rsid w:val="00233883"/>
    <w:rsid w:val="00233900"/>
    <w:rsid w:val="00233B06"/>
    <w:rsid w:val="00234122"/>
    <w:rsid w:val="002343D9"/>
    <w:rsid w:val="00234E7C"/>
    <w:rsid w:val="00235AB2"/>
    <w:rsid w:val="00236855"/>
    <w:rsid w:val="00236B37"/>
    <w:rsid w:val="00236D8A"/>
    <w:rsid w:val="00236FCF"/>
    <w:rsid w:val="00237423"/>
    <w:rsid w:val="0023779E"/>
    <w:rsid w:val="00240025"/>
    <w:rsid w:val="00240D4F"/>
    <w:rsid w:val="00241247"/>
    <w:rsid w:val="00241FE4"/>
    <w:rsid w:val="002430FA"/>
    <w:rsid w:val="00244092"/>
    <w:rsid w:val="00244990"/>
    <w:rsid w:val="00244D03"/>
    <w:rsid w:val="00245313"/>
    <w:rsid w:val="0024555C"/>
    <w:rsid w:val="002468F2"/>
    <w:rsid w:val="00247B5A"/>
    <w:rsid w:val="00251068"/>
    <w:rsid w:val="00251A25"/>
    <w:rsid w:val="00251B95"/>
    <w:rsid w:val="00252459"/>
    <w:rsid w:val="0025318C"/>
    <w:rsid w:val="0025340B"/>
    <w:rsid w:val="002538A3"/>
    <w:rsid w:val="00253B7E"/>
    <w:rsid w:val="00253E63"/>
    <w:rsid w:val="00254715"/>
    <w:rsid w:val="0025493E"/>
    <w:rsid w:val="00254EF2"/>
    <w:rsid w:val="00254EFF"/>
    <w:rsid w:val="00255271"/>
    <w:rsid w:val="0025567D"/>
    <w:rsid w:val="002557C0"/>
    <w:rsid w:val="0025594E"/>
    <w:rsid w:val="00255A1D"/>
    <w:rsid w:val="0025639B"/>
    <w:rsid w:val="00256420"/>
    <w:rsid w:val="0025783D"/>
    <w:rsid w:val="0025791F"/>
    <w:rsid w:val="00257B44"/>
    <w:rsid w:val="0026087C"/>
    <w:rsid w:val="002609FE"/>
    <w:rsid w:val="00260DA9"/>
    <w:rsid w:val="00260E9D"/>
    <w:rsid w:val="00261E1D"/>
    <w:rsid w:val="0026249C"/>
    <w:rsid w:val="00262F12"/>
    <w:rsid w:val="00263577"/>
    <w:rsid w:val="00263846"/>
    <w:rsid w:val="00264E61"/>
    <w:rsid w:val="00264EC4"/>
    <w:rsid w:val="00266602"/>
    <w:rsid w:val="002669C5"/>
    <w:rsid w:val="00266ED1"/>
    <w:rsid w:val="00266F38"/>
    <w:rsid w:val="00267BD4"/>
    <w:rsid w:val="00267CFC"/>
    <w:rsid w:val="00267EE9"/>
    <w:rsid w:val="002708AE"/>
    <w:rsid w:val="00270CC5"/>
    <w:rsid w:val="002722F3"/>
    <w:rsid w:val="00272F41"/>
    <w:rsid w:val="00273C67"/>
    <w:rsid w:val="002742C0"/>
    <w:rsid w:val="00274EF6"/>
    <w:rsid w:val="002751CB"/>
    <w:rsid w:val="002769E7"/>
    <w:rsid w:val="00277692"/>
    <w:rsid w:val="00281D70"/>
    <w:rsid w:val="00282E6C"/>
    <w:rsid w:val="00282F65"/>
    <w:rsid w:val="00283111"/>
    <w:rsid w:val="00283227"/>
    <w:rsid w:val="0028323D"/>
    <w:rsid w:val="00283932"/>
    <w:rsid w:val="00283A9A"/>
    <w:rsid w:val="00283C46"/>
    <w:rsid w:val="00284669"/>
    <w:rsid w:val="00284903"/>
    <w:rsid w:val="002854B5"/>
    <w:rsid w:val="00285704"/>
    <w:rsid w:val="0028570B"/>
    <w:rsid w:val="0028587A"/>
    <w:rsid w:val="00285AFF"/>
    <w:rsid w:val="0028625D"/>
    <w:rsid w:val="0028637E"/>
    <w:rsid w:val="0028723A"/>
    <w:rsid w:val="00287BC5"/>
    <w:rsid w:val="00287C23"/>
    <w:rsid w:val="002906AA"/>
    <w:rsid w:val="00290D0D"/>
    <w:rsid w:val="00290E28"/>
    <w:rsid w:val="00291C66"/>
    <w:rsid w:val="00291FDE"/>
    <w:rsid w:val="0029235C"/>
    <w:rsid w:val="0029248B"/>
    <w:rsid w:val="00292DD7"/>
    <w:rsid w:val="002932BF"/>
    <w:rsid w:val="002936FC"/>
    <w:rsid w:val="00293C07"/>
    <w:rsid w:val="00293F83"/>
    <w:rsid w:val="00294151"/>
    <w:rsid w:val="00294407"/>
    <w:rsid w:val="0029475E"/>
    <w:rsid w:val="00294C70"/>
    <w:rsid w:val="0029565C"/>
    <w:rsid w:val="0029565E"/>
    <w:rsid w:val="00295BB2"/>
    <w:rsid w:val="00296284"/>
    <w:rsid w:val="00297D18"/>
    <w:rsid w:val="00297E97"/>
    <w:rsid w:val="002A01BF"/>
    <w:rsid w:val="002A0488"/>
    <w:rsid w:val="002A0728"/>
    <w:rsid w:val="002A12B6"/>
    <w:rsid w:val="002A191E"/>
    <w:rsid w:val="002A1CAB"/>
    <w:rsid w:val="002A218D"/>
    <w:rsid w:val="002A24CF"/>
    <w:rsid w:val="002A2761"/>
    <w:rsid w:val="002A2D3D"/>
    <w:rsid w:val="002A387E"/>
    <w:rsid w:val="002A3C6A"/>
    <w:rsid w:val="002A4069"/>
    <w:rsid w:val="002A4161"/>
    <w:rsid w:val="002A43F1"/>
    <w:rsid w:val="002A486B"/>
    <w:rsid w:val="002A4F46"/>
    <w:rsid w:val="002A4FF7"/>
    <w:rsid w:val="002A56A4"/>
    <w:rsid w:val="002A6E95"/>
    <w:rsid w:val="002A7378"/>
    <w:rsid w:val="002A7563"/>
    <w:rsid w:val="002A75B9"/>
    <w:rsid w:val="002A76B6"/>
    <w:rsid w:val="002A78CD"/>
    <w:rsid w:val="002A7938"/>
    <w:rsid w:val="002A7FA3"/>
    <w:rsid w:val="002B011D"/>
    <w:rsid w:val="002B0175"/>
    <w:rsid w:val="002B0EE9"/>
    <w:rsid w:val="002B124E"/>
    <w:rsid w:val="002B18B7"/>
    <w:rsid w:val="002B1FA4"/>
    <w:rsid w:val="002B2086"/>
    <w:rsid w:val="002B2B8D"/>
    <w:rsid w:val="002B2F1C"/>
    <w:rsid w:val="002B30A0"/>
    <w:rsid w:val="002B3CD7"/>
    <w:rsid w:val="002B404A"/>
    <w:rsid w:val="002B41AA"/>
    <w:rsid w:val="002B58C1"/>
    <w:rsid w:val="002B5DE0"/>
    <w:rsid w:val="002B5E6F"/>
    <w:rsid w:val="002B617C"/>
    <w:rsid w:val="002B6F15"/>
    <w:rsid w:val="002B7D8C"/>
    <w:rsid w:val="002B7DE7"/>
    <w:rsid w:val="002C061F"/>
    <w:rsid w:val="002C0639"/>
    <w:rsid w:val="002C09ED"/>
    <w:rsid w:val="002C0D17"/>
    <w:rsid w:val="002C0F88"/>
    <w:rsid w:val="002C13C8"/>
    <w:rsid w:val="002C28B4"/>
    <w:rsid w:val="002C2931"/>
    <w:rsid w:val="002C2A1A"/>
    <w:rsid w:val="002C3209"/>
    <w:rsid w:val="002C384A"/>
    <w:rsid w:val="002C433D"/>
    <w:rsid w:val="002C5110"/>
    <w:rsid w:val="002C5178"/>
    <w:rsid w:val="002C5426"/>
    <w:rsid w:val="002C5AB2"/>
    <w:rsid w:val="002C6D96"/>
    <w:rsid w:val="002C71CF"/>
    <w:rsid w:val="002C7421"/>
    <w:rsid w:val="002C74D3"/>
    <w:rsid w:val="002C7BBB"/>
    <w:rsid w:val="002C7BEA"/>
    <w:rsid w:val="002CC6CA"/>
    <w:rsid w:val="002D15BC"/>
    <w:rsid w:val="002D1730"/>
    <w:rsid w:val="002D1E72"/>
    <w:rsid w:val="002D2442"/>
    <w:rsid w:val="002D396B"/>
    <w:rsid w:val="002D3FA1"/>
    <w:rsid w:val="002D3FBF"/>
    <w:rsid w:val="002D3FDA"/>
    <w:rsid w:val="002D4C67"/>
    <w:rsid w:val="002D5570"/>
    <w:rsid w:val="002D60A8"/>
    <w:rsid w:val="002D6338"/>
    <w:rsid w:val="002D6953"/>
    <w:rsid w:val="002D6C59"/>
    <w:rsid w:val="002D759A"/>
    <w:rsid w:val="002D7ACF"/>
    <w:rsid w:val="002E0749"/>
    <w:rsid w:val="002E11FB"/>
    <w:rsid w:val="002E13D3"/>
    <w:rsid w:val="002E1896"/>
    <w:rsid w:val="002E1ADA"/>
    <w:rsid w:val="002E1C5D"/>
    <w:rsid w:val="002E2D31"/>
    <w:rsid w:val="002E2F36"/>
    <w:rsid w:val="002E3011"/>
    <w:rsid w:val="002E3507"/>
    <w:rsid w:val="002E35D3"/>
    <w:rsid w:val="002E3FF1"/>
    <w:rsid w:val="002E407B"/>
    <w:rsid w:val="002E4278"/>
    <w:rsid w:val="002E4AF1"/>
    <w:rsid w:val="002E6703"/>
    <w:rsid w:val="002E677B"/>
    <w:rsid w:val="002E67F4"/>
    <w:rsid w:val="002E6BC2"/>
    <w:rsid w:val="002E78C2"/>
    <w:rsid w:val="002F0456"/>
    <w:rsid w:val="002F1465"/>
    <w:rsid w:val="002F1587"/>
    <w:rsid w:val="002F1C74"/>
    <w:rsid w:val="002F298F"/>
    <w:rsid w:val="002F3326"/>
    <w:rsid w:val="002F3452"/>
    <w:rsid w:val="002F3A06"/>
    <w:rsid w:val="002F3CD7"/>
    <w:rsid w:val="002F448F"/>
    <w:rsid w:val="002F4621"/>
    <w:rsid w:val="002F4688"/>
    <w:rsid w:val="002F56F7"/>
    <w:rsid w:val="002F5829"/>
    <w:rsid w:val="002F5BC2"/>
    <w:rsid w:val="002F64C9"/>
    <w:rsid w:val="002F65D4"/>
    <w:rsid w:val="002F6BD2"/>
    <w:rsid w:val="002F7545"/>
    <w:rsid w:val="00300539"/>
    <w:rsid w:val="0030055C"/>
    <w:rsid w:val="00300F53"/>
    <w:rsid w:val="00300FB8"/>
    <w:rsid w:val="003013C5"/>
    <w:rsid w:val="00301414"/>
    <w:rsid w:val="0030184C"/>
    <w:rsid w:val="00301A31"/>
    <w:rsid w:val="00301AAA"/>
    <w:rsid w:val="00303CAA"/>
    <w:rsid w:val="003040B1"/>
    <w:rsid w:val="0030420A"/>
    <w:rsid w:val="0030432B"/>
    <w:rsid w:val="00304AB7"/>
    <w:rsid w:val="00304C12"/>
    <w:rsid w:val="00305178"/>
    <w:rsid w:val="0030573C"/>
    <w:rsid w:val="0030581A"/>
    <w:rsid w:val="00305ED6"/>
    <w:rsid w:val="00305EDA"/>
    <w:rsid w:val="00306D9C"/>
    <w:rsid w:val="00306E83"/>
    <w:rsid w:val="00307203"/>
    <w:rsid w:val="0030798A"/>
    <w:rsid w:val="00307CA4"/>
    <w:rsid w:val="003115B6"/>
    <w:rsid w:val="00311AA2"/>
    <w:rsid w:val="003129D3"/>
    <w:rsid w:val="003139C9"/>
    <w:rsid w:val="00313BD5"/>
    <w:rsid w:val="00313CF9"/>
    <w:rsid w:val="00314736"/>
    <w:rsid w:val="00314BFE"/>
    <w:rsid w:val="00314C05"/>
    <w:rsid w:val="003152C3"/>
    <w:rsid w:val="0031557A"/>
    <w:rsid w:val="003157B7"/>
    <w:rsid w:val="00315D08"/>
    <w:rsid w:val="00316060"/>
    <w:rsid w:val="0031696C"/>
    <w:rsid w:val="00316AA6"/>
    <w:rsid w:val="00316BE4"/>
    <w:rsid w:val="003170A7"/>
    <w:rsid w:val="003200DA"/>
    <w:rsid w:val="003206C9"/>
    <w:rsid w:val="0032206F"/>
    <w:rsid w:val="003226BA"/>
    <w:rsid w:val="0032286E"/>
    <w:rsid w:val="0032478E"/>
    <w:rsid w:val="003248B7"/>
    <w:rsid w:val="003253C7"/>
    <w:rsid w:val="00325F89"/>
    <w:rsid w:val="00326084"/>
    <w:rsid w:val="0032741A"/>
    <w:rsid w:val="00330B02"/>
    <w:rsid w:val="0033103F"/>
    <w:rsid w:val="003316B6"/>
    <w:rsid w:val="0033181B"/>
    <w:rsid w:val="00331A8D"/>
    <w:rsid w:val="00331AE3"/>
    <w:rsid w:val="003321AC"/>
    <w:rsid w:val="00332B67"/>
    <w:rsid w:val="00332BBC"/>
    <w:rsid w:val="003344BA"/>
    <w:rsid w:val="0033554D"/>
    <w:rsid w:val="0033581D"/>
    <w:rsid w:val="00335B95"/>
    <w:rsid w:val="003369A5"/>
    <w:rsid w:val="00336BF5"/>
    <w:rsid w:val="003370D2"/>
    <w:rsid w:val="00337225"/>
    <w:rsid w:val="00337460"/>
    <w:rsid w:val="0033752A"/>
    <w:rsid w:val="00337996"/>
    <w:rsid w:val="00337DF9"/>
    <w:rsid w:val="00337EB5"/>
    <w:rsid w:val="0034003A"/>
    <w:rsid w:val="00340643"/>
    <w:rsid w:val="0034067D"/>
    <w:rsid w:val="0034072C"/>
    <w:rsid w:val="0034095D"/>
    <w:rsid w:val="00340F08"/>
    <w:rsid w:val="00341E09"/>
    <w:rsid w:val="00341F76"/>
    <w:rsid w:val="00342EFE"/>
    <w:rsid w:val="00343218"/>
    <w:rsid w:val="003436C0"/>
    <w:rsid w:val="003445E8"/>
    <w:rsid w:val="0034482D"/>
    <w:rsid w:val="003449C4"/>
    <w:rsid w:val="00344C89"/>
    <w:rsid w:val="003452E6"/>
    <w:rsid w:val="00345D97"/>
    <w:rsid w:val="00346EB7"/>
    <w:rsid w:val="00346F8C"/>
    <w:rsid w:val="00347883"/>
    <w:rsid w:val="00347967"/>
    <w:rsid w:val="00347AB2"/>
    <w:rsid w:val="00347C49"/>
    <w:rsid w:val="00347E6E"/>
    <w:rsid w:val="00347EF6"/>
    <w:rsid w:val="00350286"/>
    <w:rsid w:val="00350989"/>
    <w:rsid w:val="00350CB4"/>
    <w:rsid w:val="00351FF1"/>
    <w:rsid w:val="00353009"/>
    <w:rsid w:val="00353668"/>
    <w:rsid w:val="003537D4"/>
    <w:rsid w:val="00353D3B"/>
    <w:rsid w:val="00353EBC"/>
    <w:rsid w:val="003544A5"/>
    <w:rsid w:val="0035587B"/>
    <w:rsid w:val="003562A6"/>
    <w:rsid w:val="0035722A"/>
    <w:rsid w:val="0035795F"/>
    <w:rsid w:val="003579AA"/>
    <w:rsid w:val="00357ADA"/>
    <w:rsid w:val="003601FC"/>
    <w:rsid w:val="00360610"/>
    <w:rsid w:val="003607A8"/>
    <w:rsid w:val="00360D01"/>
    <w:rsid w:val="00362A30"/>
    <w:rsid w:val="00362E65"/>
    <w:rsid w:val="0036325C"/>
    <w:rsid w:val="003639C8"/>
    <w:rsid w:val="0036411F"/>
    <w:rsid w:val="0036455C"/>
    <w:rsid w:val="00364C27"/>
    <w:rsid w:val="00366C69"/>
    <w:rsid w:val="00366FCA"/>
    <w:rsid w:val="003670C4"/>
    <w:rsid w:val="003673AE"/>
    <w:rsid w:val="00367428"/>
    <w:rsid w:val="00367AC2"/>
    <w:rsid w:val="003715C0"/>
    <w:rsid w:val="003716DA"/>
    <w:rsid w:val="0037252A"/>
    <w:rsid w:val="00372714"/>
    <w:rsid w:val="00372B2E"/>
    <w:rsid w:val="00372BC2"/>
    <w:rsid w:val="00372CC2"/>
    <w:rsid w:val="00373274"/>
    <w:rsid w:val="003733F3"/>
    <w:rsid w:val="0037341E"/>
    <w:rsid w:val="0037345C"/>
    <w:rsid w:val="00373475"/>
    <w:rsid w:val="00373DBA"/>
    <w:rsid w:val="00373F72"/>
    <w:rsid w:val="0037506B"/>
    <w:rsid w:val="00377942"/>
    <w:rsid w:val="0038038C"/>
    <w:rsid w:val="003803E8"/>
    <w:rsid w:val="003806AB"/>
    <w:rsid w:val="003813B9"/>
    <w:rsid w:val="00382396"/>
    <w:rsid w:val="00382413"/>
    <w:rsid w:val="00383120"/>
    <w:rsid w:val="0038333B"/>
    <w:rsid w:val="0038376A"/>
    <w:rsid w:val="00383D14"/>
    <w:rsid w:val="003843EA"/>
    <w:rsid w:val="00384868"/>
    <w:rsid w:val="00384A28"/>
    <w:rsid w:val="00385079"/>
    <w:rsid w:val="00385E26"/>
    <w:rsid w:val="00385EFE"/>
    <w:rsid w:val="00387F4C"/>
    <w:rsid w:val="0038B8AA"/>
    <w:rsid w:val="00390815"/>
    <w:rsid w:val="00391B6A"/>
    <w:rsid w:val="00391CF9"/>
    <w:rsid w:val="00391F1F"/>
    <w:rsid w:val="00393792"/>
    <w:rsid w:val="003939A0"/>
    <w:rsid w:val="003939AB"/>
    <w:rsid w:val="003939B6"/>
    <w:rsid w:val="00393DE5"/>
    <w:rsid w:val="00393E4E"/>
    <w:rsid w:val="003947C2"/>
    <w:rsid w:val="003956A1"/>
    <w:rsid w:val="00395F23"/>
    <w:rsid w:val="00396AD2"/>
    <w:rsid w:val="00397371"/>
    <w:rsid w:val="0039750F"/>
    <w:rsid w:val="003A044A"/>
    <w:rsid w:val="003A08F8"/>
    <w:rsid w:val="003A1036"/>
    <w:rsid w:val="003A1332"/>
    <w:rsid w:val="003A3018"/>
    <w:rsid w:val="003A3464"/>
    <w:rsid w:val="003A4820"/>
    <w:rsid w:val="003A5098"/>
    <w:rsid w:val="003A5F59"/>
    <w:rsid w:val="003A6D32"/>
    <w:rsid w:val="003A6E50"/>
    <w:rsid w:val="003A73A6"/>
    <w:rsid w:val="003A7552"/>
    <w:rsid w:val="003A76AE"/>
    <w:rsid w:val="003A7AA7"/>
    <w:rsid w:val="003A7F99"/>
    <w:rsid w:val="003B197A"/>
    <w:rsid w:val="003B1DA9"/>
    <w:rsid w:val="003B2214"/>
    <w:rsid w:val="003B2734"/>
    <w:rsid w:val="003B36D1"/>
    <w:rsid w:val="003B3BA8"/>
    <w:rsid w:val="003B3EF1"/>
    <w:rsid w:val="003B4851"/>
    <w:rsid w:val="003B4B61"/>
    <w:rsid w:val="003B4E83"/>
    <w:rsid w:val="003B51BE"/>
    <w:rsid w:val="003B55E9"/>
    <w:rsid w:val="003B59F5"/>
    <w:rsid w:val="003B5EB8"/>
    <w:rsid w:val="003B5F5C"/>
    <w:rsid w:val="003B6147"/>
    <w:rsid w:val="003B6486"/>
    <w:rsid w:val="003B6A93"/>
    <w:rsid w:val="003B6C19"/>
    <w:rsid w:val="003B727B"/>
    <w:rsid w:val="003B7AA9"/>
    <w:rsid w:val="003B7C55"/>
    <w:rsid w:val="003C0294"/>
    <w:rsid w:val="003C04BF"/>
    <w:rsid w:val="003C0D82"/>
    <w:rsid w:val="003C1714"/>
    <w:rsid w:val="003C20FD"/>
    <w:rsid w:val="003C230C"/>
    <w:rsid w:val="003C2519"/>
    <w:rsid w:val="003C2638"/>
    <w:rsid w:val="003C2830"/>
    <w:rsid w:val="003C315D"/>
    <w:rsid w:val="003C3213"/>
    <w:rsid w:val="003C3595"/>
    <w:rsid w:val="003C3738"/>
    <w:rsid w:val="003C39B2"/>
    <w:rsid w:val="003C438B"/>
    <w:rsid w:val="003C4C02"/>
    <w:rsid w:val="003C4DF1"/>
    <w:rsid w:val="003C5273"/>
    <w:rsid w:val="003C613C"/>
    <w:rsid w:val="003C6D1D"/>
    <w:rsid w:val="003C6F0B"/>
    <w:rsid w:val="003C6FF6"/>
    <w:rsid w:val="003C7158"/>
    <w:rsid w:val="003D06A0"/>
    <w:rsid w:val="003D06D0"/>
    <w:rsid w:val="003D0FB2"/>
    <w:rsid w:val="003D1277"/>
    <w:rsid w:val="003D342F"/>
    <w:rsid w:val="003D3783"/>
    <w:rsid w:val="003D3864"/>
    <w:rsid w:val="003D3E36"/>
    <w:rsid w:val="003D3F09"/>
    <w:rsid w:val="003D3F91"/>
    <w:rsid w:val="003D4342"/>
    <w:rsid w:val="003D4393"/>
    <w:rsid w:val="003D4546"/>
    <w:rsid w:val="003D4B50"/>
    <w:rsid w:val="003D4FEB"/>
    <w:rsid w:val="003D682A"/>
    <w:rsid w:val="003D6F38"/>
    <w:rsid w:val="003D70F5"/>
    <w:rsid w:val="003D764E"/>
    <w:rsid w:val="003D78DF"/>
    <w:rsid w:val="003D798C"/>
    <w:rsid w:val="003E0530"/>
    <w:rsid w:val="003E0C63"/>
    <w:rsid w:val="003E14D4"/>
    <w:rsid w:val="003E1B4B"/>
    <w:rsid w:val="003E1D24"/>
    <w:rsid w:val="003E204C"/>
    <w:rsid w:val="003E2382"/>
    <w:rsid w:val="003E26CD"/>
    <w:rsid w:val="003E2AF3"/>
    <w:rsid w:val="003E3F3D"/>
    <w:rsid w:val="003E40ED"/>
    <w:rsid w:val="003E62AE"/>
    <w:rsid w:val="003E6613"/>
    <w:rsid w:val="003E673D"/>
    <w:rsid w:val="003E6940"/>
    <w:rsid w:val="003E6C64"/>
    <w:rsid w:val="003E78C9"/>
    <w:rsid w:val="003E7BF8"/>
    <w:rsid w:val="003F0309"/>
    <w:rsid w:val="003F0526"/>
    <w:rsid w:val="003F09D3"/>
    <w:rsid w:val="003F114D"/>
    <w:rsid w:val="003F136C"/>
    <w:rsid w:val="003F1631"/>
    <w:rsid w:val="003F1734"/>
    <w:rsid w:val="003F1BB5"/>
    <w:rsid w:val="003F22F7"/>
    <w:rsid w:val="003F2998"/>
    <w:rsid w:val="003F3F5E"/>
    <w:rsid w:val="003F4303"/>
    <w:rsid w:val="003F43B3"/>
    <w:rsid w:val="003F47F9"/>
    <w:rsid w:val="003F5349"/>
    <w:rsid w:val="003F5AB9"/>
    <w:rsid w:val="003F647D"/>
    <w:rsid w:val="003F663B"/>
    <w:rsid w:val="003F6949"/>
    <w:rsid w:val="003F6C1C"/>
    <w:rsid w:val="003FB9B9"/>
    <w:rsid w:val="004009B8"/>
    <w:rsid w:val="00400BD7"/>
    <w:rsid w:val="00402262"/>
    <w:rsid w:val="0040255D"/>
    <w:rsid w:val="00403263"/>
    <w:rsid w:val="00404048"/>
    <w:rsid w:val="00404B5E"/>
    <w:rsid w:val="00404E2C"/>
    <w:rsid w:val="0040543E"/>
    <w:rsid w:val="00405533"/>
    <w:rsid w:val="00405910"/>
    <w:rsid w:val="004069E7"/>
    <w:rsid w:val="00406B61"/>
    <w:rsid w:val="00406E9B"/>
    <w:rsid w:val="00407E2B"/>
    <w:rsid w:val="00410482"/>
    <w:rsid w:val="00410B93"/>
    <w:rsid w:val="0041152C"/>
    <w:rsid w:val="00412118"/>
    <w:rsid w:val="00412E7B"/>
    <w:rsid w:val="00413B4F"/>
    <w:rsid w:val="00413DBC"/>
    <w:rsid w:val="0041404C"/>
    <w:rsid w:val="004147A0"/>
    <w:rsid w:val="00414834"/>
    <w:rsid w:val="00414856"/>
    <w:rsid w:val="00415283"/>
    <w:rsid w:val="00416231"/>
    <w:rsid w:val="00417018"/>
    <w:rsid w:val="00417402"/>
    <w:rsid w:val="00417FD2"/>
    <w:rsid w:val="00420331"/>
    <w:rsid w:val="0042091C"/>
    <w:rsid w:val="004211F3"/>
    <w:rsid w:val="0042392B"/>
    <w:rsid w:val="00423D10"/>
    <w:rsid w:val="00423E68"/>
    <w:rsid w:val="0042597A"/>
    <w:rsid w:val="00425DAA"/>
    <w:rsid w:val="00426A5A"/>
    <w:rsid w:val="00427CAC"/>
    <w:rsid w:val="00430011"/>
    <w:rsid w:val="004307E8"/>
    <w:rsid w:val="0043086D"/>
    <w:rsid w:val="00431622"/>
    <w:rsid w:val="004327ED"/>
    <w:rsid w:val="00433376"/>
    <w:rsid w:val="0043385D"/>
    <w:rsid w:val="00433A32"/>
    <w:rsid w:val="0043659E"/>
    <w:rsid w:val="00436D99"/>
    <w:rsid w:val="004404A6"/>
    <w:rsid w:val="004404D2"/>
    <w:rsid w:val="0044087A"/>
    <w:rsid w:val="00440CDE"/>
    <w:rsid w:val="004413DC"/>
    <w:rsid w:val="00441D68"/>
    <w:rsid w:val="00442D60"/>
    <w:rsid w:val="00442DE5"/>
    <w:rsid w:val="00442E8E"/>
    <w:rsid w:val="00442ED5"/>
    <w:rsid w:val="00443494"/>
    <w:rsid w:val="00443628"/>
    <w:rsid w:val="00443A36"/>
    <w:rsid w:val="00443FB3"/>
    <w:rsid w:val="00443FC1"/>
    <w:rsid w:val="0044413E"/>
    <w:rsid w:val="00444ACC"/>
    <w:rsid w:val="00444DC1"/>
    <w:rsid w:val="0044559A"/>
    <w:rsid w:val="004458C0"/>
    <w:rsid w:val="0044737B"/>
    <w:rsid w:val="00447CC8"/>
    <w:rsid w:val="0045017C"/>
    <w:rsid w:val="00450331"/>
    <w:rsid w:val="00450A9E"/>
    <w:rsid w:val="00451077"/>
    <w:rsid w:val="004511DC"/>
    <w:rsid w:val="00451401"/>
    <w:rsid w:val="00451D72"/>
    <w:rsid w:val="004523E1"/>
    <w:rsid w:val="00452914"/>
    <w:rsid w:val="00453808"/>
    <w:rsid w:val="00453856"/>
    <w:rsid w:val="00453A4B"/>
    <w:rsid w:val="00453EA5"/>
    <w:rsid w:val="00454036"/>
    <w:rsid w:val="00454AFB"/>
    <w:rsid w:val="004569BD"/>
    <w:rsid w:val="00456FBD"/>
    <w:rsid w:val="004573DD"/>
    <w:rsid w:val="004579E9"/>
    <w:rsid w:val="004579F1"/>
    <w:rsid w:val="0046011F"/>
    <w:rsid w:val="00460A3B"/>
    <w:rsid w:val="00461414"/>
    <w:rsid w:val="004635C2"/>
    <w:rsid w:val="00463C0E"/>
    <w:rsid w:val="00463CD9"/>
    <w:rsid w:val="00463DD9"/>
    <w:rsid w:val="0046420E"/>
    <w:rsid w:val="004652DD"/>
    <w:rsid w:val="0046593C"/>
    <w:rsid w:val="00465F37"/>
    <w:rsid w:val="004700A0"/>
    <w:rsid w:val="0047195F"/>
    <w:rsid w:val="00471DD8"/>
    <w:rsid w:val="00471E31"/>
    <w:rsid w:val="004721EB"/>
    <w:rsid w:val="0047244D"/>
    <w:rsid w:val="004725CB"/>
    <w:rsid w:val="00472AEB"/>
    <w:rsid w:val="004735AE"/>
    <w:rsid w:val="00473EAE"/>
    <w:rsid w:val="00474431"/>
    <w:rsid w:val="00475556"/>
    <w:rsid w:val="0047677A"/>
    <w:rsid w:val="00476836"/>
    <w:rsid w:val="00476983"/>
    <w:rsid w:val="00476E1D"/>
    <w:rsid w:val="00476F50"/>
    <w:rsid w:val="004775AB"/>
    <w:rsid w:val="00480713"/>
    <w:rsid w:val="004808A9"/>
    <w:rsid w:val="00480C1A"/>
    <w:rsid w:val="00482126"/>
    <w:rsid w:val="004826FB"/>
    <w:rsid w:val="00483895"/>
    <w:rsid w:val="0048478F"/>
    <w:rsid w:val="004847E1"/>
    <w:rsid w:val="00484CEC"/>
    <w:rsid w:val="004864F2"/>
    <w:rsid w:val="00487DAE"/>
    <w:rsid w:val="00489522"/>
    <w:rsid w:val="004912E8"/>
    <w:rsid w:val="00491702"/>
    <w:rsid w:val="0049170F"/>
    <w:rsid w:val="00491E5C"/>
    <w:rsid w:val="00492343"/>
    <w:rsid w:val="00492F94"/>
    <w:rsid w:val="004934B5"/>
    <w:rsid w:val="004938B8"/>
    <w:rsid w:val="00493ADC"/>
    <w:rsid w:val="00494806"/>
    <w:rsid w:val="00495B5F"/>
    <w:rsid w:val="00495C3C"/>
    <w:rsid w:val="00495CA0"/>
    <w:rsid w:val="00495F0B"/>
    <w:rsid w:val="00496345"/>
    <w:rsid w:val="004966AC"/>
    <w:rsid w:val="00496906"/>
    <w:rsid w:val="004969AA"/>
    <w:rsid w:val="00496D21"/>
    <w:rsid w:val="00496D8E"/>
    <w:rsid w:val="004979B7"/>
    <w:rsid w:val="004A0065"/>
    <w:rsid w:val="004A0710"/>
    <w:rsid w:val="004A17F2"/>
    <w:rsid w:val="004A1C72"/>
    <w:rsid w:val="004A1D3C"/>
    <w:rsid w:val="004A1E40"/>
    <w:rsid w:val="004A2384"/>
    <w:rsid w:val="004A23D0"/>
    <w:rsid w:val="004A3664"/>
    <w:rsid w:val="004A37C6"/>
    <w:rsid w:val="004A44D4"/>
    <w:rsid w:val="004A44D8"/>
    <w:rsid w:val="004A520E"/>
    <w:rsid w:val="004A616A"/>
    <w:rsid w:val="004A61D9"/>
    <w:rsid w:val="004A6D7F"/>
    <w:rsid w:val="004A75EC"/>
    <w:rsid w:val="004A77CF"/>
    <w:rsid w:val="004A78D6"/>
    <w:rsid w:val="004B01E6"/>
    <w:rsid w:val="004B03A2"/>
    <w:rsid w:val="004B19F8"/>
    <w:rsid w:val="004B23DB"/>
    <w:rsid w:val="004B29F1"/>
    <w:rsid w:val="004B2D90"/>
    <w:rsid w:val="004B3A53"/>
    <w:rsid w:val="004B3CE6"/>
    <w:rsid w:val="004B3FF0"/>
    <w:rsid w:val="004B55E7"/>
    <w:rsid w:val="004B58DB"/>
    <w:rsid w:val="004B5C9C"/>
    <w:rsid w:val="004B639E"/>
    <w:rsid w:val="004B694A"/>
    <w:rsid w:val="004B6A04"/>
    <w:rsid w:val="004B6BCF"/>
    <w:rsid w:val="004B78C1"/>
    <w:rsid w:val="004B8628"/>
    <w:rsid w:val="004C054D"/>
    <w:rsid w:val="004C0676"/>
    <w:rsid w:val="004C07D5"/>
    <w:rsid w:val="004C1349"/>
    <w:rsid w:val="004C2DA0"/>
    <w:rsid w:val="004C3A97"/>
    <w:rsid w:val="004C3F3D"/>
    <w:rsid w:val="004C4223"/>
    <w:rsid w:val="004C43FE"/>
    <w:rsid w:val="004C474A"/>
    <w:rsid w:val="004C499D"/>
    <w:rsid w:val="004C4CBF"/>
    <w:rsid w:val="004C63A1"/>
    <w:rsid w:val="004C67E7"/>
    <w:rsid w:val="004C6BF5"/>
    <w:rsid w:val="004C7298"/>
    <w:rsid w:val="004C72E0"/>
    <w:rsid w:val="004C788E"/>
    <w:rsid w:val="004C7C67"/>
    <w:rsid w:val="004D03FF"/>
    <w:rsid w:val="004D0A69"/>
    <w:rsid w:val="004D1035"/>
    <w:rsid w:val="004D1233"/>
    <w:rsid w:val="004D12E7"/>
    <w:rsid w:val="004D1310"/>
    <w:rsid w:val="004D20DD"/>
    <w:rsid w:val="004D2640"/>
    <w:rsid w:val="004D2D51"/>
    <w:rsid w:val="004D3719"/>
    <w:rsid w:val="004D389B"/>
    <w:rsid w:val="004D3AEF"/>
    <w:rsid w:val="004D3F69"/>
    <w:rsid w:val="004D57A0"/>
    <w:rsid w:val="004D5956"/>
    <w:rsid w:val="004D5D18"/>
    <w:rsid w:val="004D5E9E"/>
    <w:rsid w:val="004D62C7"/>
    <w:rsid w:val="004D677C"/>
    <w:rsid w:val="004D740D"/>
    <w:rsid w:val="004D7497"/>
    <w:rsid w:val="004D76D7"/>
    <w:rsid w:val="004D7D7C"/>
    <w:rsid w:val="004E035F"/>
    <w:rsid w:val="004E1303"/>
    <w:rsid w:val="004E13E3"/>
    <w:rsid w:val="004E16B0"/>
    <w:rsid w:val="004E18C7"/>
    <w:rsid w:val="004E1ACD"/>
    <w:rsid w:val="004E1CDE"/>
    <w:rsid w:val="004E1D64"/>
    <w:rsid w:val="004E2046"/>
    <w:rsid w:val="004E23EF"/>
    <w:rsid w:val="004E3423"/>
    <w:rsid w:val="004E37C4"/>
    <w:rsid w:val="004E3ADB"/>
    <w:rsid w:val="004E4AE3"/>
    <w:rsid w:val="004E4BEB"/>
    <w:rsid w:val="004E5147"/>
    <w:rsid w:val="004E5C57"/>
    <w:rsid w:val="004E6227"/>
    <w:rsid w:val="004E6465"/>
    <w:rsid w:val="004E7B47"/>
    <w:rsid w:val="004E7D1E"/>
    <w:rsid w:val="004F1064"/>
    <w:rsid w:val="004F1304"/>
    <w:rsid w:val="004F18F0"/>
    <w:rsid w:val="004F3D5D"/>
    <w:rsid w:val="004F3ED2"/>
    <w:rsid w:val="004F4B49"/>
    <w:rsid w:val="004F4CB9"/>
    <w:rsid w:val="004F53E7"/>
    <w:rsid w:val="004F6C17"/>
    <w:rsid w:val="004F7522"/>
    <w:rsid w:val="004F7641"/>
    <w:rsid w:val="0050063C"/>
    <w:rsid w:val="00500A10"/>
    <w:rsid w:val="00500EF2"/>
    <w:rsid w:val="00501ACF"/>
    <w:rsid w:val="00501D24"/>
    <w:rsid w:val="005027D5"/>
    <w:rsid w:val="0050292C"/>
    <w:rsid w:val="00503144"/>
    <w:rsid w:val="00503436"/>
    <w:rsid w:val="00503C27"/>
    <w:rsid w:val="00503EAD"/>
    <w:rsid w:val="0050505E"/>
    <w:rsid w:val="005052F9"/>
    <w:rsid w:val="0050790F"/>
    <w:rsid w:val="00507C8E"/>
    <w:rsid w:val="005100FC"/>
    <w:rsid w:val="0051037F"/>
    <w:rsid w:val="005106AA"/>
    <w:rsid w:val="00510ACA"/>
    <w:rsid w:val="005117FF"/>
    <w:rsid w:val="00511D6A"/>
    <w:rsid w:val="00512D86"/>
    <w:rsid w:val="0051355E"/>
    <w:rsid w:val="00514CA7"/>
    <w:rsid w:val="00515E03"/>
    <w:rsid w:val="005160CD"/>
    <w:rsid w:val="00517542"/>
    <w:rsid w:val="00517753"/>
    <w:rsid w:val="00517C62"/>
    <w:rsid w:val="00517D0F"/>
    <w:rsid w:val="0052078D"/>
    <w:rsid w:val="00520B4E"/>
    <w:rsid w:val="00520EE8"/>
    <w:rsid w:val="005211D8"/>
    <w:rsid w:val="00521B75"/>
    <w:rsid w:val="00521E25"/>
    <w:rsid w:val="00522CE7"/>
    <w:rsid w:val="00522D1C"/>
    <w:rsid w:val="0052432B"/>
    <w:rsid w:val="00524492"/>
    <w:rsid w:val="0052468A"/>
    <w:rsid w:val="00525260"/>
    <w:rsid w:val="005254A2"/>
    <w:rsid w:val="00525861"/>
    <w:rsid w:val="005258B0"/>
    <w:rsid w:val="005258B2"/>
    <w:rsid w:val="00525AFC"/>
    <w:rsid w:val="00525CD2"/>
    <w:rsid w:val="005268C0"/>
    <w:rsid w:val="005269C9"/>
    <w:rsid w:val="00526E45"/>
    <w:rsid w:val="005274ED"/>
    <w:rsid w:val="00527A9C"/>
    <w:rsid w:val="0053089A"/>
    <w:rsid w:val="00531016"/>
    <w:rsid w:val="0053191F"/>
    <w:rsid w:val="00531C81"/>
    <w:rsid w:val="00531E6F"/>
    <w:rsid w:val="00531ED2"/>
    <w:rsid w:val="005322F3"/>
    <w:rsid w:val="0053237F"/>
    <w:rsid w:val="00533094"/>
    <w:rsid w:val="00533FFF"/>
    <w:rsid w:val="00534053"/>
    <w:rsid w:val="00534B17"/>
    <w:rsid w:val="00534B1B"/>
    <w:rsid w:val="00534B31"/>
    <w:rsid w:val="00534C6F"/>
    <w:rsid w:val="00534D17"/>
    <w:rsid w:val="005357B6"/>
    <w:rsid w:val="00535D4D"/>
    <w:rsid w:val="00537194"/>
    <w:rsid w:val="00537A6B"/>
    <w:rsid w:val="00537AAA"/>
    <w:rsid w:val="00537B70"/>
    <w:rsid w:val="00537BF6"/>
    <w:rsid w:val="005409D3"/>
    <w:rsid w:val="00540F8A"/>
    <w:rsid w:val="00541956"/>
    <w:rsid w:val="00542374"/>
    <w:rsid w:val="0054278C"/>
    <w:rsid w:val="00542E91"/>
    <w:rsid w:val="00543021"/>
    <w:rsid w:val="00543C37"/>
    <w:rsid w:val="00543C98"/>
    <w:rsid w:val="00543D68"/>
    <w:rsid w:val="00543E73"/>
    <w:rsid w:val="00543F9D"/>
    <w:rsid w:val="0054463B"/>
    <w:rsid w:val="00544C0D"/>
    <w:rsid w:val="00544C89"/>
    <w:rsid w:val="00544F78"/>
    <w:rsid w:val="00545306"/>
    <w:rsid w:val="005458F3"/>
    <w:rsid w:val="00546392"/>
    <w:rsid w:val="005464EF"/>
    <w:rsid w:val="0054736A"/>
    <w:rsid w:val="00547677"/>
    <w:rsid w:val="00550E54"/>
    <w:rsid w:val="00551ECB"/>
    <w:rsid w:val="00552C12"/>
    <w:rsid w:val="00553238"/>
    <w:rsid w:val="00553295"/>
    <w:rsid w:val="005534B8"/>
    <w:rsid w:val="005538CF"/>
    <w:rsid w:val="005539A3"/>
    <w:rsid w:val="00553F9C"/>
    <w:rsid w:val="00554C30"/>
    <w:rsid w:val="0055562F"/>
    <w:rsid w:val="005565CC"/>
    <w:rsid w:val="00556FDF"/>
    <w:rsid w:val="00557213"/>
    <w:rsid w:val="005576E1"/>
    <w:rsid w:val="0056002C"/>
    <w:rsid w:val="0056066D"/>
    <w:rsid w:val="0056110B"/>
    <w:rsid w:val="005613B7"/>
    <w:rsid w:val="005622E5"/>
    <w:rsid w:val="0056232C"/>
    <w:rsid w:val="005626A6"/>
    <w:rsid w:val="00562EDD"/>
    <w:rsid w:val="0056348E"/>
    <w:rsid w:val="00563B9D"/>
    <w:rsid w:val="005647B1"/>
    <w:rsid w:val="00564F14"/>
    <w:rsid w:val="005652D7"/>
    <w:rsid w:val="00565348"/>
    <w:rsid w:val="00565359"/>
    <w:rsid w:val="005654D8"/>
    <w:rsid w:val="005663BE"/>
    <w:rsid w:val="00566E17"/>
    <w:rsid w:val="00567C19"/>
    <w:rsid w:val="0056A8D2"/>
    <w:rsid w:val="00570241"/>
    <w:rsid w:val="00570276"/>
    <w:rsid w:val="0057046D"/>
    <w:rsid w:val="00570983"/>
    <w:rsid w:val="00571432"/>
    <w:rsid w:val="0057164C"/>
    <w:rsid w:val="00571CE5"/>
    <w:rsid w:val="00571DD3"/>
    <w:rsid w:val="0057301B"/>
    <w:rsid w:val="005735C9"/>
    <w:rsid w:val="00573DB5"/>
    <w:rsid w:val="005749F0"/>
    <w:rsid w:val="00575242"/>
    <w:rsid w:val="0057550C"/>
    <w:rsid w:val="0057585A"/>
    <w:rsid w:val="005758C1"/>
    <w:rsid w:val="00576E4B"/>
    <w:rsid w:val="00577535"/>
    <w:rsid w:val="00577EB9"/>
    <w:rsid w:val="00577FD7"/>
    <w:rsid w:val="0058085E"/>
    <w:rsid w:val="0058134E"/>
    <w:rsid w:val="00581415"/>
    <w:rsid w:val="00581F98"/>
    <w:rsid w:val="00582990"/>
    <w:rsid w:val="00583372"/>
    <w:rsid w:val="00584DA4"/>
    <w:rsid w:val="00584DC6"/>
    <w:rsid w:val="00585C52"/>
    <w:rsid w:val="00585EC3"/>
    <w:rsid w:val="0058627D"/>
    <w:rsid w:val="005867FD"/>
    <w:rsid w:val="00586A37"/>
    <w:rsid w:val="005873E9"/>
    <w:rsid w:val="00590405"/>
    <w:rsid w:val="005914AA"/>
    <w:rsid w:val="00591A4D"/>
    <w:rsid w:val="005922E9"/>
    <w:rsid w:val="00592509"/>
    <w:rsid w:val="005934FD"/>
    <w:rsid w:val="00595653"/>
    <w:rsid w:val="00596394"/>
    <w:rsid w:val="005965DF"/>
    <w:rsid w:val="0059684F"/>
    <w:rsid w:val="00596942"/>
    <w:rsid w:val="00596EBA"/>
    <w:rsid w:val="00597169"/>
    <w:rsid w:val="00597D2C"/>
    <w:rsid w:val="00597DCC"/>
    <w:rsid w:val="005A018F"/>
    <w:rsid w:val="005A0ED1"/>
    <w:rsid w:val="005A165A"/>
    <w:rsid w:val="005A28D3"/>
    <w:rsid w:val="005A2F9B"/>
    <w:rsid w:val="005A3980"/>
    <w:rsid w:val="005A39C1"/>
    <w:rsid w:val="005A4568"/>
    <w:rsid w:val="005A4D06"/>
    <w:rsid w:val="005A538C"/>
    <w:rsid w:val="005A5E9D"/>
    <w:rsid w:val="005A637C"/>
    <w:rsid w:val="005A64D2"/>
    <w:rsid w:val="005A659D"/>
    <w:rsid w:val="005A7088"/>
    <w:rsid w:val="005A717B"/>
    <w:rsid w:val="005A7D99"/>
    <w:rsid w:val="005B0274"/>
    <w:rsid w:val="005B0D74"/>
    <w:rsid w:val="005B15C4"/>
    <w:rsid w:val="005B18C1"/>
    <w:rsid w:val="005B1DE9"/>
    <w:rsid w:val="005B20BB"/>
    <w:rsid w:val="005B2444"/>
    <w:rsid w:val="005B284C"/>
    <w:rsid w:val="005B2FEC"/>
    <w:rsid w:val="005B352A"/>
    <w:rsid w:val="005B3530"/>
    <w:rsid w:val="005B3C37"/>
    <w:rsid w:val="005B40F1"/>
    <w:rsid w:val="005B4CEB"/>
    <w:rsid w:val="005B4E0D"/>
    <w:rsid w:val="005B4EF2"/>
    <w:rsid w:val="005B55EB"/>
    <w:rsid w:val="005B6019"/>
    <w:rsid w:val="005B63F6"/>
    <w:rsid w:val="005B65C6"/>
    <w:rsid w:val="005B6E97"/>
    <w:rsid w:val="005B79E8"/>
    <w:rsid w:val="005B7BFA"/>
    <w:rsid w:val="005B7C38"/>
    <w:rsid w:val="005B7D45"/>
    <w:rsid w:val="005B7EE9"/>
    <w:rsid w:val="005C06BB"/>
    <w:rsid w:val="005C192D"/>
    <w:rsid w:val="005C2640"/>
    <w:rsid w:val="005C27EE"/>
    <w:rsid w:val="005C365B"/>
    <w:rsid w:val="005C44F1"/>
    <w:rsid w:val="005C45A5"/>
    <w:rsid w:val="005C478C"/>
    <w:rsid w:val="005C47DA"/>
    <w:rsid w:val="005C4902"/>
    <w:rsid w:val="005C5530"/>
    <w:rsid w:val="005C5BE3"/>
    <w:rsid w:val="005C62B3"/>
    <w:rsid w:val="005C6CD2"/>
    <w:rsid w:val="005C76E6"/>
    <w:rsid w:val="005C7768"/>
    <w:rsid w:val="005C77C4"/>
    <w:rsid w:val="005C7BF9"/>
    <w:rsid w:val="005D0369"/>
    <w:rsid w:val="005D04D8"/>
    <w:rsid w:val="005D0561"/>
    <w:rsid w:val="005D066F"/>
    <w:rsid w:val="005D096F"/>
    <w:rsid w:val="005D1C19"/>
    <w:rsid w:val="005D4806"/>
    <w:rsid w:val="005D539A"/>
    <w:rsid w:val="005D5428"/>
    <w:rsid w:val="005D5A86"/>
    <w:rsid w:val="005D5FB1"/>
    <w:rsid w:val="005D614C"/>
    <w:rsid w:val="005D73E6"/>
    <w:rsid w:val="005D79B4"/>
    <w:rsid w:val="005D7BA7"/>
    <w:rsid w:val="005E0C25"/>
    <w:rsid w:val="005E117A"/>
    <w:rsid w:val="005E200B"/>
    <w:rsid w:val="005E3A50"/>
    <w:rsid w:val="005E58BB"/>
    <w:rsid w:val="005E639F"/>
    <w:rsid w:val="005E684E"/>
    <w:rsid w:val="005E6A70"/>
    <w:rsid w:val="005E7D8B"/>
    <w:rsid w:val="005F03A5"/>
    <w:rsid w:val="005F04EC"/>
    <w:rsid w:val="005F139C"/>
    <w:rsid w:val="005F220A"/>
    <w:rsid w:val="005F2478"/>
    <w:rsid w:val="005F26BB"/>
    <w:rsid w:val="005F335B"/>
    <w:rsid w:val="005F37D5"/>
    <w:rsid w:val="005F3FA3"/>
    <w:rsid w:val="005F41E5"/>
    <w:rsid w:val="005F4399"/>
    <w:rsid w:val="005F457D"/>
    <w:rsid w:val="005F4D1D"/>
    <w:rsid w:val="005F5248"/>
    <w:rsid w:val="005F524B"/>
    <w:rsid w:val="005F581D"/>
    <w:rsid w:val="005F5961"/>
    <w:rsid w:val="005F5A58"/>
    <w:rsid w:val="005F5C2D"/>
    <w:rsid w:val="005F69CC"/>
    <w:rsid w:val="005F7278"/>
    <w:rsid w:val="005F7673"/>
    <w:rsid w:val="00600335"/>
    <w:rsid w:val="00601530"/>
    <w:rsid w:val="00601948"/>
    <w:rsid w:val="0060195C"/>
    <w:rsid w:val="00601C36"/>
    <w:rsid w:val="0060241C"/>
    <w:rsid w:val="0060278F"/>
    <w:rsid w:val="00602A4D"/>
    <w:rsid w:val="00602B3E"/>
    <w:rsid w:val="00602BC2"/>
    <w:rsid w:val="0060303D"/>
    <w:rsid w:val="00603C4F"/>
    <w:rsid w:val="0060402B"/>
    <w:rsid w:val="0060427E"/>
    <w:rsid w:val="00604292"/>
    <w:rsid w:val="00604636"/>
    <w:rsid w:val="00604DB5"/>
    <w:rsid w:val="00605453"/>
    <w:rsid w:val="006055CF"/>
    <w:rsid w:val="00605748"/>
    <w:rsid w:val="00605ED6"/>
    <w:rsid w:val="00606C50"/>
    <w:rsid w:val="00607132"/>
    <w:rsid w:val="00607411"/>
    <w:rsid w:val="00607695"/>
    <w:rsid w:val="006077F1"/>
    <w:rsid w:val="00610044"/>
    <w:rsid w:val="006108D7"/>
    <w:rsid w:val="00610BBA"/>
    <w:rsid w:val="00610C50"/>
    <w:rsid w:val="006110EE"/>
    <w:rsid w:val="0061132C"/>
    <w:rsid w:val="00611C9E"/>
    <w:rsid w:val="00613BD8"/>
    <w:rsid w:val="006141F0"/>
    <w:rsid w:val="00614313"/>
    <w:rsid w:val="00614322"/>
    <w:rsid w:val="00614648"/>
    <w:rsid w:val="00614F7F"/>
    <w:rsid w:val="0061506F"/>
    <w:rsid w:val="00615BF8"/>
    <w:rsid w:val="00616927"/>
    <w:rsid w:val="006169B4"/>
    <w:rsid w:val="0061728C"/>
    <w:rsid w:val="0061791B"/>
    <w:rsid w:val="00617BC5"/>
    <w:rsid w:val="00620F71"/>
    <w:rsid w:val="0062182A"/>
    <w:rsid w:val="00621B40"/>
    <w:rsid w:val="00621EC8"/>
    <w:rsid w:val="00621EE3"/>
    <w:rsid w:val="006229EB"/>
    <w:rsid w:val="00622DED"/>
    <w:rsid w:val="00622ECF"/>
    <w:rsid w:val="0062372E"/>
    <w:rsid w:val="00623967"/>
    <w:rsid w:val="00623982"/>
    <w:rsid w:val="00623A2E"/>
    <w:rsid w:val="00623C03"/>
    <w:rsid w:val="00623F9D"/>
    <w:rsid w:val="00625813"/>
    <w:rsid w:val="00625CB6"/>
    <w:rsid w:val="0062605B"/>
    <w:rsid w:val="00626423"/>
    <w:rsid w:val="00626744"/>
    <w:rsid w:val="006276F1"/>
    <w:rsid w:val="0062783D"/>
    <w:rsid w:val="0062EF6A"/>
    <w:rsid w:val="006300C3"/>
    <w:rsid w:val="006300F0"/>
    <w:rsid w:val="0063039A"/>
    <w:rsid w:val="0063063A"/>
    <w:rsid w:val="006309C5"/>
    <w:rsid w:val="00630F61"/>
    <w:rsid w:val="00631459"/>
    <w:rsid w:val="0063173A"/>
    <w:rsid w:val="006324F6"/>
    <w:rsid w:val="00632506"/>
    <w:rsid w:val="00633595"/>
    <w:rsid w:val="00633AAB"/>
    <w:rsid w:val="00633AD5"/>
    <w:rsid w:val="00634536"/>
    <w:rsid w:val="006347B1"/>
    <w:rsid w:val="006348A5"/>
    <w:rsid w:val="00634C54"/>
    <w:rsid w:val="00636756"/>
    <w:rsid w:val="0063679A"/>
    <w:rsid w:val="00636AF9"/>
    <w:rsid w:val="00637845"/>
    <w:rsid w:val="00637C26"/>
    <w:rsid w:val="00637E95"/>
    <w:rsid w:val="00640286"/>
    <w:rsid w:val="006403BC"/>
    <w:rsid w:val="00640430"/>
    <w:rsid w:val="00640915"/>
    <w:rsid w:val="00640AB1"/>
    <w:rsid w:val="00641F52"/>
    <w:rsid w:val="0064214B"/>
    <w:rsid w:val="00642CA5"/>
    <w:rsid w:val="00642FFA"/>
    <w:rsid w:val="00643C61"/>
    <w:rsid w:val="00643E60"/>
    <w:rsid w:val="00643F4A"/>
    <w:rsid w:val="00644BB7"/>
    <w:rsid w:val="00646788"/>
    <w:rsid w:val="006478A2"/>
    <w:rsid w:val="00647A5D"/>
    <w:rsid w:val="00650A90"/>
    <w:rsid w:val="00650B57"/>
    <w:rsid w:val="00650B8D"/>
    <w:rsid w:val="00650DBF"/>
    <w:rsid w:val="00650FEB"/>
    <w:rsid w:val="006512CD"/>
    <w:rsid w:val="0065179D"/>
    <w:rsid w:val="00651D59"/>
    <w:rsid w:val="00651E1C"/>
    <w:rsid w:val="00652315"/>
    <w:rsid w:val="00652DC3"/>
    <w:rsid w:val="0065308B"/>
    <w:rsid w:val="006531CE"/>
    <w:rsid w:val="00653A77"/>
    <w:rsid w:val="00656261"/>
    <w:rsid w:val="00656DF6"/>
    <w:rsid w:val="0065718C"/>
    <w:rsid w:val="00660168"/>
    <w:rsid w:val="006612B3"/>
    <w:rsid w:val="006635F9"/>
    <w:rsid w:val="00663A20"/>
    <w:rsid w:val="00663B4E"/>
    <w:rsid w:val="00663E8D"/>
    <w:rsid w:val="00663FF9"/>
    <w:rsid w:val="00664072"/>
    <w:rsid w:val="0066468B"/>
    <w:rsid w:val="00664BBC"/>
    <w:rsid w:val="006651D5"/>
    <w:rsid w:val="00665318"/>
    <w:rsid w:val="0066544E"/>
    <w:rsid w:val="00665986"/>
    <w:rsid w:val="00666036"/>
    <w:rsid w:val="0066644E"/>
    <w:rsid w:val="0066681C"/>
    <w:rsid w:val="006670CD"/>
    <w:rsid w:val="00670267"/>
    <w:rsid w:val="0067059F"/>
    <w:rsid w:val="006712D4"/>
    <w:rsid w:val="00671892"/>
    <w:rsid w:val="00671E18"/>
    <w:rsid w:val="00672488"/>
    <w:rsid w:val="006725D3"/>
    <w:rsid w:val="00672721"/>
    <w:rsid w:val="00672E17"/>
    <w:rsid w:val="00673253"/>
    <w:rsid w:val="006736BB"/>
    <w:rsid w:val="00673EF6"/>
    <w:rsid w:val="006744B9"/>
    <w:rsid w:val="00674865"/>
    <w:rsid w:val="00674C38"/>
    <w:rsid w:val="00674C85"/>
    <w:rsid w:val="00674F12"/>
    <w:rsid w:val="00675494"/>
    <w:rsid w:val="00675847"/>
    <w:rsid w:val="00675EE0"/>
    <w:rsid w:val="006769D0"/>
    <w:rsid w:val="00676A8D"/>
    <w:rsid w:val="00677449"/>
    <w:rsid w:val="00677D9B"/>
    <w:rsid w:val="00677ED8"/>
    <w:rsid w:val="00680851"/>
    <w:rsid w:val="00680BFE"/>
    <w:rsid w:val="00680DFF"/>
    <w:rsid w:val="006811F0"/>
    <w:rsid w:val="00681426"/>
    <w:rsid w:val="00681768"/>
    <w:rsid w:val="0068244E"/>
    <w:rsid w:val="0068260F"/>
    <w:rsid w:val="00682680"/>
    <w:rsid w:val="006838CB"/>
    <w:rsid w:val="00684B3A"/>
    <w:rsid w:val="0068574E"/>
    <w:rsid w:val="00685BB7"/>
    <w:rsid w:val="00685EC9"/>
    <w:rsid w:val="00685FDE"/>
    <w:rsid w:val="0068648D"/>
    <w:rsid w:val="00686822"/>
    <w:rsid w:val="006868FB"/>
    <w:rsid w:val="00686E61"/>
    <w:rsid w:val="00687061"/>
    <w:rsid w:val="00687131"/>
    <w:rsid w:val="00687594"/>
    <w:rsid w:val="00687A04"/>
    <w:rsid w:val="0069017A"/>
    <w:rsid w:val="006901EA"/>
    <w:rsid w:val="00690242"/>
    <w:rsid w:val="00690279"/>
    <w:rsid w:val="0069039E"/>
    <w:rsid w:val="006907B7"/>
    <w:rsid w:val="00690C15"/>
    <w:rsid w:val="006910E7"/>
    <w:rsid w:val="006910EB"/>
    <w:rsid w:val="006912A9"/>
    <w:rsid w:val="006917CB"/>
    <w:rsid w:val="006918A5"/>
    <w:rsid w:val="00691EB2"/>
    <w:rsid w:val="00692079"/>
    <w:rsid w:val="006931F5"/>
    <w:rsid w:val="00693617"/>
    <w:rsid w:val="0069363D"/>
    <w:rsid w:val="0069379A"/>
    <w:rsid w:val="00694C10"/>
    <w:rsid w:val="00695060"/>
    <w:rsid w:val="00695068"/>
    <w:rsid w:val="006958DE"/>
    <w:rsid w:val="0069669F"/>
    <w:rsid w:val="0069671B"/>
    <w:rsid w:val="00696B9C"/>
    <w:rsid w:val="006974BB"/>
    <w:rsid w:val="0069AFF6"/>
    <w:rsid w:val="006A0577"/>
    <w:rsid w:val="006A059F"/>
    <w:rsid w:val="006A0CC7"/>
    <w:rsid w:val="006A0CD4"/>
    <w:rsid w:val="006A1506"/>
    <w:rsid w:val="006A1826"/>
    <w:rsid w:val="006A189B"/>
    <w:rsid w:val="006A22B8"/>
    <w:rsid w:val="006A2496"/>
    <w:rsid w:val="006A28F6"/>
    <w:rsid w:val="006A3716"/>
    <w:rsid w:val="006A3F6F"/>
    <w:rsid w:val="006A42AD"/>
    <w:rsid w:val="006A4E18"/>
    <w:rsid w:val="006A508B"/>
    <w:rsid w:val="006A59F7"/>
    <w:rsid w:val="006A5D38"/>
    <w:rsid w:val="006A6248"/>
    <w:rsid w:val="006A6412"/>
    <w:rsid w:val="006A7F33"/>
    <w:rsid w:val="006B081F"/>
    <w:rsid w:val="006B0849"/>
    <w:rsid w:val="006B0A31"/>
    <w:rsid w:val="006B0E8D"/>
    <w:rsid w:val="006B108C"/>
    <w:rsid w:val="006B16E2"/>
    <w:rsid w:val="006B18E9"/>
    <w:rsid w:val="006B1C4A"/>
    <w:rsid w:val="006B1FC0"/>
    <w:rsid w:val="006B258E"/>
    <w:rsid w:val="006B299C"/>
    <w:rsid w:val="006B303C"/>
    <w:rsid w:val="006B3232"/>
    <w:rsid w:val="006B3355"/>
    <w:rsid w:val="006B3568"/>
    <w:rsid w:val="006B3B50"/>
    <w:rsid w:val="006B4D5B"/>
    <w:rsid w:val="006B4F38"/>
    <w:rsid w:val="006B597A"/>
    <w:rsid w:val="006B5C48"/>
    <w:rsid w:val="006B62B2"/>
    <w:rsid w:val="006B6DE0"/>
    <w:rsid w:val="006B6E88"/>
    <w:rsid w:val="006B7242"/>
    <w:rsid w:val="006B7D01"/>
    <w:rsid w:val="006C05AA"/>
    <w:rsid w:val="006C0F8C"/>
    <w:rsid w:val="006C1133"/>
    <w:rsid w:val="006C1174"/>
    <w:rsid w:val="006C1617"/>
    <w:rsid w:val="006C1A4A"/>
    <w:rsid w:val="006C1E25"/>
    <w:rsid w:val="006C1EA8"/>
    <w:rsid w:val="006C3106"/>
    <w:rsid w:val="006C3293"/>
    <w:rsid w:val="006C3503"/>
    <w:rsid w:val="006C3BDB"/>
    <w:rsid w:val="006C45A5"/>
    <w:rsid w:val="006C60F8"/>
    <w:rsid w:val="006C6749"/>
    <w:rsid w:val="006C698D"/>
    <w:rsid w:val="006C6CD9"/>
    <w:rsid w:val="006C761B"/>
    <w:rsid w:val="006C7C22"/>
    <w:rsid w:val="006C7CAE"/>
    <w:rsid w:val="006D0682"/>
    <w:rsid w:val="006D0D5C"/>
    <w:rsid w:val="006D1331"/>
    <w:rsid w:val="006D1650"/>
    <w:rsid w:val="006D21FE"/>
    <w:rsid w:val="006D22D7"/>
    <w:rsid w:val="006D2425"/>
    <w:rsid w:val="006D2BEC"/>
    <w:rsid w:val="006D3399"/>
    <w:rsid w:val="006D4005"/>
    <w:rsid w:val="006D443B"/>
    <w:rsid w:val="006D4EFA"/>
    <w:rsid w:val="006D57DD"/>
    <w:rsid w:val="006D5E76"/>
    <w:rsid w:val="006D650F"/>
    <w:rsid w:val="006D681F"/>
    <w:rsid w:val="006D68F7"/>
    <w:rsid w:val="006D6C22"/>
    <w:rsid w:val="006D77E2"/>
    <w:rsid w:val="006D79CC"/>
    <w:rsid w:val="006D7FDD"/>
    <w:rsid w:val="006E021A"/>
    <w:rsid w:val="006E03CD"/>
    <w:rsid w:val="006E0FA4"/>
    <w:rsid w:val="006E275F"/>
    <w:rsid w:val="006E2F1A"/>
    <w:rsid w:val="006E33E2"/>
    <w:rsid w:val="006E35C4"/>
    <w:rsid w:val="006E3F40"/>
    <w:rsid w:val="006E43E1"/>
    <w:rsid w:val="006E449E"/>
    <w:rsid w:val="006E45D2"/>
    <w:rsid w:val="006E4B33"/>
    <w:rsid w:val="006E4B88"/>
    <w:rsid w:val="006E51B4"/>
    <w:rsid w:val="006E660E"/>
    <w:rsid w:val="006E68D6"/>
    <w:rsid w:val="006E6A4C"/>
    <w:rsid w:val="006E6B60"/>
    <w:rsid w:val="006F01DE"/>
    <w:rsid w:val="006F0208"/>
    <w:rsid w:val="006F0645"/>
    <w:rsid w:val="006F06EE"/>
    <w:rsid w:val="006F1772"/>
    <w:rsid w:val="006F1F1F"/>
    <w:rsid w:val="006F1F52"/>
    <w:rsid w:val="006F2590"/>
    <w:rsid w:val="006F327B"/>
    <w:rsid w:val="006F467A"/>
    <w:rsid w:val="006F4A91"/>
    <w:rsid w:val="006F4EB2"/>
    <w:rsid w:val="006F566A"/>
    <w:rsid w:val="006F58ED"/>
    <w:rsid w:val="006F5E27"/>
    <w:rsid w:val="006F5E99"/>
    <w:rsid w:val="006F6F31"/>
    <w:rsid w:val="006F7E95"/>
    <w:rsid w:val="00700345"/>
    <w:rsid w:val="00700A35"/>
    <w:rsid w:val="00700CC2"/>
    <w:rsid w:val="00700FB7"/>
    <w:rsid w:val="00701F94"/>
    <w:rsid w:val="007022EE"/>
    <w:rsid w:val="007027F8"/>
    <w:rsid w:val="00704931"/>
    <w:rsid w:val="00704EEB"/>
    <w:rsid w:val="0070583A"/>
    <w:rsid w:val="00705E44"/>
    <w:rsid w:val="007063E7"/>
    <w:rsid w:val="00706AEF"/>
    <w:rsid w:val="0070755F"/>
    <w:rsid w:val="00707FD3"/>
    <w:rsid w:val="00710D1D"/>
    <w:rsid w:val="0071115F"/>
    <w:rsid w:val="00711373"/>
    <w:rsid w:val="00711C9C"/>
    <w:rsid w:val="007129A4"/>
    <w:rsid w:val="00714236"/>
    <w:rsid w:val="00714AFE"/>
    <w:rsid w:val="00714C95"/>
    <w:rsid w:val="0071556E"/>
    <w:rsid w:val="00715812"/>
    <w:rsid w:val="007174AF"/>
    <w:rsid w:val="007178CE"/>
    <w:rsid w:val="00717F19"/>
    <w:rsid w:val="00721BC2"/>
    <w:rsid w:val="00722147"/>
    <w:rsid w:val="007222E2"/>
    <w:rsid w:val="007224D6"/>
    <w:rsid w:val="00722C5C"/>
    <w:rsid w:val="00722E45"/>
    <w:rsid w:val="007238D8"/>
    <w:rsid w:val="00723E9B"/>
    <w:rsid w:val="00724224"/>
    <w:rsid w:val="00724FC5"/>
    <w:rsid w:val="00725D26"/>
    <w:rsid w:val="007263B3"/>
    <w:rsid w:val="007266E8"/>
    <w:rsid w:val="007270C0"/>
    <w:rsid w:val="00727672"/>
    <w:rsid w:val="00730329"/>
    <w:rsid w:val="00730645"/>
    <w:rsid w:val="007306B0"/>
    <w:rsid w:val="00730866"/>
    <w:rsid w:val="00730E16"/>
    <w:rsid w:val="00731981"/>
    <w:rsid w:val="00731C28"/>
    <w:rsid w:val="00732875"/>
    <w:rsid w:val="0073293F"/>
    <w:rsid w:val="00732B23"/>
    <w:rsid w:val="00732C7E"/>
    <w:rsid w:val="00732F8A"/>
    <w:rsid w:val="00734A44"/>
    <w:rsid w:val="00735213"/>
    <w:rsid w:val="007361A4"/>
    <w:rsid w:val="00737453"/>
    <w:rsid w:val="00737876"/>
    <w:rsid w:val="00737B16"/>
    <w:rsid w:val="007406CF"/>
    <w:rsid w:val="00740C3B"/>
    <w:rsid w:val="007415F9"/>
    <w:rsid w:val="00741D42"/>
    <w:rsid w:val="007426AF"/>
    <w:rsid w:val="007434DE"/>
    <w:rsid w:val="0074377E"/>
    <w:rsid w:val="00744B60"/>
    <w:rsid w:val="00745392"/>
    <w:rsid w:val="00745A77"/>
    <w:rsid w:val="00745C95"/>
    <w:rsid w:val="0074687F"/>
    <w:rsid w:val="00746A96"/>
    <w:rsid w:val="00746D52"/>
    <w:rsid w:val="0074742E"/>
    <w:rsid w:val="00747BB9"/>
    <w:rsid w:val="0075044E"/>
    <w:rsid w:val="00751584"/>
    <w:rsid w:val="00751671"/>
    <w:rsid w:val="00752145"/>
    <w:rsid w:val="007523CE"/>
    <w:rsid w:val="0075270E"/>
    <w:rsid w:val="00752AA8"/>
    <w:rsid w:val="00752EC4"/>
    <w:rsid w:val="0075305E"/>
    <w:rsid w:val="0075329A"/>
    <w:rsid w:val="0075363F"/>
    <w:rsid w:val="00753DDD"/>
    <w:rsid w:val="007545E2"/>
    <w:rsid w:val="00754765"/>
    <w:rsid w:val="00754B57"/>
    <w:rsid w:val="0075547E"/>
    <w:rsid w:val="00755849"/>
    <w:rsid w:val="00755994"/>
    <w:rsid w:val="007563CA"/>
    <w:rsid w:val="007564B7"/>
    <w:rsid w:val="00756959"/>
    <w:rsid w:val="007569A1"/>
    <w:rsid w:val="00756FF5"/>
    <w:rsid w:val="00757EDA"/>
    <w:rsid w:val="007605E8"/>
    <w:rsid w:val="0076064B"/>
    <w:rsid w:val="00760A28"/>
    <w:rsid w:val="007617D7"/>
    <w:rsid w:val="00763CEC"/>
    <w:rsid w:val="00763D12"/>
    <w:rsid w:val="0076456E"/>
    <w:rsid w:val="007649E0"/>
    <w:rsid w:val="00764D00"/>
    <w:rsid w:val="00765610"/>
    <w:rsid w:val="00766059"/>
    <w:rsid w:val="00766364"/>
    <w:rsid w:val="007667B4"/>
    <w:rsid w:val="007668F7"/>
    <w:rsid w:val="00766DC1"/>
    <w:rsid w:val="00766FC3"/>
    <w:rsid w:val="0076738C"/>
    <w:rsid w:val="00770293"/>
    <w:rsid w:val="00770B1E"/>
    <w:rsid w:val="007718AF"/>
    <w:rsid w:val="00771C92"/>
    <w:rsid w:val="0077254E"/>
    <w:rsid w:val="0077257A"/>
    <w:rsid w:val="00772902"/>
    <w:rsid w:val="00772D40"/>
    <w:rsid w:val="0077302C"/>
    <w:rsid w:val="00773D88"/>
    <w:rsid w:val="00773E92"/>
    <w:rsid w:val="00774030"/>
    <w:rsid w:val="007747AA"/>
    <w:rsid w:val="007747DF"/>
    <w:rsid w:val="007747E0"/>
    <w:rsid w:val="007750C4"/>
    <w:rsid w:val="00775BF1"/>
    <w:rsid w:val="0077790A"/>
    <w:rsid w:val="0078027F"/>
    <w:rsid w:val="00781B48"/>
    <w:rsid w:val="00782044"/>
    <w:rsid w:val="00782152"/>
    <w:rsid w:val="00782561"/>
    <w:rsid w:val="0078284F"/>
    <w:rsid w:val="00782B7F"/>
    <w:rsid w:val="00782FE2"/>
    <w:rsid w:val="0078325A"/>
    <w:rsid w:val="00783823"/>
    <w:rsid w:val="0078428E"/>
    <w:rsid w:val="00784317"/>
    <w:rsid w:val="00784323"/>
    <w:rsid w:val="007846E9"/>
    <w:rsid w:val="007848E5"/>
    <w:rsid w:val="00784B6F"/>
    <w:rsid w:val="00784E2E"/>
    <w:rsid w:val="00785D8C"/>
    <w:rsid w:val="00786E8A"/>
    <w:rsid w:val="007873ED"/>
    <w:rsid w:val="00787826"/>
    <w:rsid w:val="00787B57"/>
    <w:rsid w:val="00790786"/>
    <w:rsid w:val="0079187C"/>
    <w:rsid w:val="0079298C"/>
    <w:rsid w:val="00792B6E"/>
    <w:rsid w:val="007932AB"/>
    <w:rsid w:val="007938AB"/>
    <w:rsid w:val="007939A2"/>
    <w:rsid w:val="00793FDF"/>
    <w:rsid w:val="0079433D"/>
    <w:rsid w:val="0079487E"/>
    <w:rsid w:val="00794AD4"/>
    <w:rsid w:val="00794ADA"/>
    <w:rsid w:val="00794BCB"/>
    <w:rsid w:val="00794E95"/>
    <w:rsid w:val="00794F85"/>
    <w:rsid w:val="0079542E"/>
    <w:rsid w:val="00795859"/>
    <w:rsid w:val="00795D43"/>
    <w:rsid w:val="0079771C"/>
    <w:rsid w:val="00797722"/>
    <w:rsid w:val="00799E8F"/>
    <w:rsid w:val="007A0A3A"/>
    <w:rsid w:val="007A0EE5"/>
    <w:rsid w:val="007A1F5A"/>
    <w:rsid w:val="007A2107"/>
    <w:rsid w:val="007A41C5"/>
    <w:rsid w:val="007A4DE4"/>
    <w:rsid w:val="007A51E4"/>
    <w:rsid w:val="007A5309"/>
    <w:rsid w:val="007A547A"/>
    <w:rsid w:val="007A620B"/>
    <w:rsid w:val="007A7060"/>
    <w:rsid w:val="007B04A5"/>
    <w:rsid w:val="007B05BA"/>
    <w:rsid w:val="007B0AD8"/>
    <w:rsid w:val="007B1199"/>
    <w:rsid w:val="007B226A"/>
    <w:rsid w:val="007B232B"/>
    <w:rsid w:val="007B2CC3"/>
    <w:rsid w:val="007B3203"/>
    <w:rsid w:val="007B35F3"/>
    <w:rsid w:val="007B38C0"/>
    <w:rsid w:val="007B4F48"/>
    <w:rsid w:val="007B56C1"/>
    <w:rsid w:val="007B56EC"/>
    <w:rsid w:val="007B5E0E"/>
    <w:rsid w:val="007B5E67"/>
    <w:rsid w:val="007B6701"/>
    <w:rsid w:val="007B7489"/>
    <w:rsid w:val="007B7931"/>
    <w:rsid w:val="007B7956"/>
    <w:rsid w:val="007C0259"/>
    <w:rsid w:val="007C039A"/>
    <w:rsid w:val="007C06D0"/>
    <w:rsid w:val="007C072D"/>
    <w:rsid w:val="007C07B6"/>
    <w:rsid w:val="007C0B6B"/>
    <w:rsid w:val="007C0CB8"/>
    <w:rsid w:val="007C0E8C"/>
    <w:rsid w:val="007C12AC"/>
    <w:rsid w:val="007C1569"/>
    <w:rsid w:val="007C167A"/>
    <w:rsid w:val="007C1DCB"/>
    <w:rsid w:val="007C2F57"/>
    <w:rsid w:val="007C3161"/>
    <w:rsid w:val="007C3278"/>
    <w:rsid w:val="007C380C"/>
    <w:rsid w:val="007C675F"/>
    <w:rsid w:val="007C6956"/>
    <w:rsid w:val="007C7001"/>
    <w:rsid w:val="007C740D"/>
    <w:rsid w:val="007D0C6C"/>
    <w:rsid w:val="007D130A"/>
    <w:rsid w:val="007D1459"/>
    <w:rsid w:val="007D1651"/>
    <w:rsid w:val="007D1899"/>
    <w:rsid w:val="007D2097"/>
    <w:rsid w:val="007D270C"/>
    <w:rsid w:val="007D2C74"/>
    <w:rsid w:val="007D3B80"/>
    <w:rsid w:val="007D54B0"/>
    <w:rsid w:val="007D553A"/>
    <w:rsid w:val="007D56EB"/>
    <w:rsid w:val="007D5A39"/>
    <w:rsid w:val="007D5F03"/>
    <w:rsid w:val="007D64A1"/>
    <w:rsid w:val="007D65C6"/>
    <w:rsid w:val="007D6657"/>
    <w:rsid w:val="007D72D7"/>
    <w:rsid w:val="007D73A8"/>
    <w:rsid w:val="007D7447"/>
    <w:rsid w:val="007D74DE"/>
    <w:rsid w:val="007D7728"/>
    <w:rsid w:val="007D7823"/>
    <w:rsid w:val="007E00CF"/>
    <w:rsid w:val="007E263E"/>
    <w:rsid w:val="007E2941"/>
    <w:rsid w:val="007E2985"/>
    <w:rsid w:val="007E2BC7"/>
    <w:rsid w:val="007E33FE"/>
    <w:rsid w:val="007E3AD5"/>
    <w:rsid w:val="007E4259"/>
    <w:rsid w:val="007E43A8"/>
    <w:rsid w:val="007E4AA4"/>
    <w:rsid w:val="007E50A5"/>
    <w:rsid w:val="007E50D8"/>
    <w:rsid w:val="007E50DC"/>
    <w:rsid w:val="007E51CD"/>
    <w:rsid w:val="007E59E5"/>
    <w:rsid w:val="007E5C08"/>
    <w:rsid w:val="007E69F6"/>
    <w:rsid w:val="007E71E5"/>
    <w:rsid w:val="007F0280"/>
    <w:rsid w:val="007F0819"/>
    <w:rsid w:val="007F0EF2"/>
    <w:rsid w:val="007F18F4"/>
    <w:rsid w:val="007F2344"/>
    <w:rsid w:val="007F2405"/>
    <w:rsid w:val="007F2512"/>
    <w:rsid w:val="007F2826"/>
    <w:rsid w:val="007F2C92"/>
    <w:rsid w:val="007F351D"/>
    <w:rsid w:val="007F353D"/>
    <w:rsid w:val="007F35ED"/>
    <w:rsid w:val="007F3AA8"/>
    <w:rsid w:val="007F3B8B"/>
    <w:rsid w:val="007F43FC"/>
    <w:rsid w:val="007F496D"/>
    <w:rsid w:val="007F54BE"/>
    <w:rsid w:val="007F63A2"/>
    <w:rsid w:val="007F6D68"/>
    <w:rsid w:val="007F6E39"/>
    <w:rsid w:val="008003E6"/>
    <w:rsid w:val="00800721"/>
    <w:rsid w:val="008007A2"/>
    <w:rsid w:val="008009D8"/>
    <w:rsid w:val="00800ACC"/>
    <w:rsid w:val="008024F6"/>
    <w:rsid w:val="00802BBB"/>
    <w:rsid w:val="00802F26"/>
    <w:rsid w:val="00804985"/>
    <w:rsid w:val="008058DF"/>
    <w:rsid w:val="00806B4E"/>
    <w:rsid w:val="00807F56"/>
    <w:rsid w:val="0081044E"/>
    <w:rsid w:val="008104DB"/>
    <w:rsid w:val="00810D55"/>
    <w:rsid w:val="008115EA"/>
    <w:rsid w:val="00811815"/>
    <w:rsid w:val="00811B9A"/>
    <w:rsid w:val="00812461"/>
    <w:rsid w:val="00813D9F"/>
    <w:rsid w:val="0081423C"/>
    <w:rsid w:val="00814367"/>
    <w:rsid w:val="0081519E"/>
    <w:rsid w:val="00815306"/>
    <w:rsid w:val="00815BB0"/>
    <w:rsid w:val="00815D1D"/>
    <w:rsid w:val="00816A0B"/>
    <w:rsid w:val="00816F08"/>
    <w:rsid w:val="0081704F"/>
    <w:rsid w:val="0081721D"/>
    <w:rsid w:val="0081793E"/>
    <w:rsid w:val="00817A41"/>
    <w:rsid w:val="00817B1F"/>
    <w:rsid w:val="00820D5F"/>
    <w:rsid w:val="0082104C"/>
    <w:rsid w:val="00821BF8"/>
    <w:rsid w:val="0082289C"/>
    <w:rsid w:val="008229AE"/>
    <w:rsid w:val="00822C88"/>
    <w:rsid w:val="00822F95"/>
    <w:rsid w:val="008230F7"/>
    <w:rsid w:val="008239DB"/>
    <w:rsid w:val="00823CCB"/>
    <w:rsid w:val="008247E5"/>
    <w:rsid w:val="00825AC9"/>
    <w:rsid w:val="00825B62"/>
    <w:rsid w:val="008268F1"/>
    <w:rsid w:val="00827434"/>
    <w:rsid w:val="00827885"/>
    <w:rsid w:val="00827A99"/>
    <w:rsid w:val="00830953"/>
    <w:rsid w:val="00831CF4"/>
    <w:rsid w:val="00831E08"/>
    <w:rsid w:val="008322F5"/>
    <w:rsid w:val="00832904"/>
    <w:rsid w:val="00832F8F"/>
    <w:rsid w:val="00833335"/>
    <w:rsid w:val="0083383A"/>
    <w:rsid w:val="008339D5"/>
    <w:rsid w:val="00834166"/>
    <w:rsid w:val="0083468C"/>
    <w:rsid w:val="00834E76"/>
    <w:rsid w:val="0083527E"/>
    <w:rsid w:val="008352E7"/>
    <w:rsid w:val="00835955"/>
    <w:rsid w:val="00836158"/>
    <w:rsid w:val="008362DB"/>
    <w:rsid w:val="008364F6"/>
    <w:rsid w:val="0083676C"/>
    <w:rsid w:val="00836DDF"/>
    <w:rsid w:val="008376BE"/>
    <w:rsid w:val="00837DFA"/>
    <w:rsid w:val="00840264"/>
    <w:rsid w:val="0084098A"/>
    <w:rsid w:val="00841067"/>
    <w:rsid w:val="008418B7"/>
    <w:rsid w:val="00841C29"/>
    <w:rsid w:val="0084215D"/>
    <w:rsid w:val="00842200"/>
    <w:rsid w:val="00842597"/>
    <w:rsid w:val="0084275B"/>
    <w:rsid w:val="00843B30"/>
    <w:rsid w:val="008442D3"/>
    <w:rsid w:val="0084434F"/>
    <w:rsid w:val="008443E7"/>
    <w:rsid w:val="00844A0A"/>
    <w:rsid w:val="008458B8"/>
    <w:rsid w:val="00845A55"/>
    <w:rsid w:val="00845B10"/>
    <w:rsid w:val="0084614E"/>
    <w:rsid w:val="008463BD"/>
    <w:rsid w:val="008466FC"/>
    <w:rsid w:val="00846C1E"/>
    <w:rsid w:val="00847D0D"/>
    <w:rsid w:val="008506DA"/>
    <w:rsid w:val="0085124E"/>
    <w:rsid w:val="0085188C"/>
    <w:rsid w:val="0085191C"/>
    <w:rsid w:val="00851C4A"/>
    <w:rsid w:val="0085229B"/>
    <w:rsid w:val="00852AC6"/>
    <w:rsid w:val="00853C36"/>
    <w:rsid w:val="00853EE9"/>
    <w:rsid w:val="0085415A"/>
    <w:rsid w:val="00854575"/>
    <w:rsid w:val="008551AC"/>
    <w:rsid w:val="00855690"/>
    <w:rsid w:val="00855AFF"/>
    <w:rsid w:val="00855BDD"/>
    <w:rsid w:val="008571A1"/>
    <w:rsid w:val="008572EC"/>
    <w:rsid w:val="00860E2C"/>
    <w:rsid w:val="00861141"/>
    <w:rsid w:val="0086124F"/>
    <w:rsid w:val="00861871"/>
    <w:rsid w:val="00861C6E"/>
    <w:rsid w:val="00861CB2"/>
    <w:rsid w:val="00862149"/>
    <w:rsid w:val="00862A73"/>
    <w:rsid w:val="00862C1C"/>
    <w:rsid w:val="00862D1E"/>
    <w:rsid w:val="00862F44"/>
    <w:rsid w:val="00863328"/>
    <w:rsid w:val="008636C1"/>
    <w:rsid w:val="00863990"/>
    <w:rsid w:val="00863A4C"/>
    <w:rsid w:val="00864626"/>
    <w:rsid w:val="008649BF"/>
    <w:rsid w:val="00864B26"/>
    <w:rsid w:val="00864B30"/>
    <w:rsid w:val="0086542F"/>
    <w:rsid w:val="00865EF7"/>
    <w:rsid w:val="00866911"/>
    <w:rsid w:val="00867190"/>
    <w:rsid w:val="00867193"/>
    <w:rsid w:val="008672D7"/>
    <w:rsid w:val="0087000D"/>
    <w:rsid w:val="00870599"/>
    <w:rsid w:val="00870EB1"/>
    <w:rsid w:val="0087100E"/>
    <w:rsid w:val="0087108C"/>
    <w:rsid w:val="0087152A"/>
    <w:rsid w:val="00871970"/>
    <w:rsid w:val="00872D27"/>
    <w:rsid w:val="00873C69"/>
    <w:rsid w:val="008740A4"/>
    <w:rsid w:val="008743C9"/>
    <w:rsid w:val="008751BB"/>
    <w:rsid w:val="00875B3B"/>
    <w:rsid w:val="00875C5A"/>
    <w:rsid w:val="00875CF3"/>
    <w:rsid w:val="00876AAA"/>
    <w:rsid w:val="00876CBF"/>
    <w:rsid w:val="00877ABF"/>
    <w:rsid w:val="0088075A"/>
    <w:rsid w:val="008828E0"/>
    <w:rsid w:val="00882CA4"/>
    <w:rsid w:val="00882E71"/>
    <w:rsid w:val="008831FC"/>
    <w:rsid w:val="00883D47"/>
    <w:rsid w:val="00883F6E"/>
    <w:rsid w:val="00884251"/>
    <w:rsid w:val="0088434E"/>
    <w:rsid w:val="00884901"/>
    <w:rsid w:val="00884DAC"/>
    <w:rsid w:val="008851EA"/>
    <w:rsid w:val="00885290"/>
    <w:rsid w:val="00885E99"/>
    <w:rsid w:val="00886046"/>
    <w:rsid w:val="0088645E"/>
    <w:rsid w:val="00886F57"/>
    <w:rsid w:val="0089016D"/>
    <w:rsid w:val="00890462"/>
    <w:rsid w:val="008907EB"/>
    <w:rsid w:val="00890C0D"/>
    <w:rsid w:val="00891942"/>
    <w:rsid w:val="00891B9D"/>
    <w:rsid w:val="00892953"/>
    <w:rsid w:val="00892F83"/>
    <w:rsid w:val="008933D5"/>
    <w:rsid w:val="00893536"/>
    <w:rsid w:val="00893AC8"/>
    <w:rsid w:val="00895CC1"/>
    <w:rsid w:val="008976A2"/>
    <w:rsid w:val="00897A44"/>
    <w:rsid w:val="008A100A"/>
    <w:rsid w:val="008A130F"/>
    <w:rsid w:val="008A15CA"/>
    <w:rsid w:val="008A1A51"/>
    <w:rsid w:val="008A1CF2"/>
    <w:rsid w:val="008A20CE"/>
    <w:rsid w:val="008A2A67"/>
    <w:rsid w:val="008A2FDA"/>
    <w:rsid w:val="008A34B3"/>
    <w:rsid w:val="008A4803"/>
    <w:rsid w:val="008A4CE7"/>
    <w:rsid w:val="008A73A8"/>
    <w:rsid w:val="008A7484"/>
    <w:rsid w:val="008A7745"/>
    <w:rsid w:val="008A79FF"/>
    <w:rsid w:val="008A7C4B"/>
    <w:rsid w:val="008B0258"/>
    <w:rsid w:val="008B0951"/>
    <w:rsid w:val="008B09C3"/>
    <w:rsid w:val="008B0DC9"/>
    <w:rsid w:val="008B194B"/>
    <w:rsid w:val="008B198B"/>
    <w:rsid w:val="008B1E5E"/>
    <w:rsid w:val="008B245C"/>
    <w:rsid w:val="008B2559"/>
    <w:rsid w:val="008B2A0C"/>
    <w:rsid w:val="008B2FB2"/>
    <w:rsid w:val="008B46CD"/>
    <w:rsid w:val="008B49AC"/>
    <w:rsid w:val="008B4ACE"/>
    <w:rsid w:val="008B4C75"/>
    <w:rsid w:val="008B4DBB"/>
    <w:rsid w:val="008B58EA"/>
    <w:rsid w:val="008B6252"/>
    <w:rsid w:val="008B647F"/>
    <w:rsid w:val="008B69AC"/>
    <w:rsid w:val="008B6CBB"/>
    <w:rsid w:val="008B74E3"/>
    <w:rsid w:val="008B75C6"/>
    <w:rsid w:val="008B7B5B"/>
    <w:rsid w:val="008B7EF8"/>
    <w:rsid w:val="008B7FCE"/>
    <w:rsid w:val="008B7FDB"/>
    <w:rsid w:val="008C06AF"/>
    <w:rsid w:val="008C0D29"/>
    <w:rsid w:val="008C1106"/>
    <w:rsid w:val="008C11BA"/>
    <w:rsid w:val="008C2308"/>
    <w:rsid w:val="008C27A0"/>
    <w:rsid w:val="008C2B1B"/>
    <w:rsid w:val="008C314C"/>
    <w:rsid w:val="008C3327"/>
    <w:rsid w:val="008C3401"/>
    <w:rsid w:val="008C3496"/>
    <w:rsid w:val="008C3A18"/>
    <w:rsid w:val="008C3A27"/>
    <w:rsid w:val="008C4AF8"/>
    <w:rsid w:val="008C531D"/>
    <w:rsid w:val="008C7CB7"/>
    <w:rsid w:val="008CA5A0"/>
    <w:rsid w:val="008D00FE"/>
    <w:rsid w:val="008D1371"/>
    <w:rsid w:val="008D14F6"/>
    <w:rsid w:val="008D16F5"/>
    <w:rsid w:val="008D1BA1"/>
    <w:rsid w:val="008D1C28"/>
    <w:rsid w:val="008D1F4C"/>
    <w:rsid w:val="008D2536"/>
    <w:rsid w:val="008D2884"/>
    <w:rsid w:val="008D29AB"/>
    <w:rsid w:val="008D3F62"/>
    <w:rsid w:val="008D44EF"/>
    <w:rsid w:val="008D4647"/>
    <w:rsid w:val="008D5320"/>
    <w:rsid w:val="008D5545"/>
    <w:rsid w:val="008D64CC"/>
    <w:rsid w:val="008D7DF1"/>
    <w:rsid w:val="008E0540"/>
    <w:rsid w:val="008E0F77"/>
    <w:rsid w:val="008E12CE"/>
    <w:rsid w:val="008E138B"/>
    <w:rsid w:val="008E1DAC"/>
    <w:rsid w:val="008E2801"/>
    <w:rsid w:val="008E3AF9"/>
    <w:rsid w:val="008E4157"/>
    <w:rsid w:val="008E472B"/>
    <w:rsid w:val="008E4911"/>
    <w:rsid w:val="008E550B"/>
    <w:rsid w:val="008E5970"/>
    <w:rsid w:val="008E5DFB"/>
    <w:rsid w:val="008E682B"/>
    <w:rsid w:val="008F138B"/>
    <w:rsid w:val="008F2AA4"/>
    <w:rsid w:val="008F2E14"/>
    <w:rsid w:val="008F3828"/>
    <w:rsid w:val="008F3CC0"/>
    <w:rsid w:val="008F3CE3"/>
    <w:rsid w:val="008F3F15"/>
    <w:rsid w:val="008F4370"/>
    <w:rsid w:val="008F4714"/>
    <w:rsid w:val="008F5270"/>
    <w:rsid w:val="008F5A03"/>
    <w:rsid w:val="008F5ABD"/>
    <w:rsid w:val="008F5B33"/>
    <w:rsid w:val="008F5B89"/>
    <w:rsid w:val="008F6319"/>
    <w:rsid w:val="008F6448"/>
    <w:rsid w:val="008F68B5"/>
    <w:rsid w:val="008F74A7"/>
    <w:rsid w:val="008F74D9"/>
    <w:rsid w:val="00901735"/>
    <w:rsid w:val="0090181A"/>
    <w:rsid w:val="00901921"/>
    <w:rsid w:val="00902298"/>
    <w:rsid w:val="009024D5"/>
    <w:rsid w:val="00902675"/>
    <w:rsid w:val="00902D10"/>
    <w:rsid w:val="00903E92"/>
    <w:rsid w:val="00904192"/>
    <w:rsid w:val="00904F83"/>
    <w:rsid w:val="00905042"/>
    <w:rsid w:val="009054B1"/>
    <w:rsid w:val="00906114"/>
    <w:rsid w:val="009067F5"/>
    <w:rsid w:val="00907071"/>
    <w:rsid w:val="00907740"/>
    <w:rsid w:val="00907E3B"/>
    <w:rsid w:val="00910165"/>
    <w:rsid w:val="00910646"/>
    <w:rsid w:val="00910F99"/>
    <w:rsid w:val="009121BF"/>
    <w:rsid w:val="00912AFD"/>
    <w:rsid w:val="00912F1B"/>
    <w:rsid w:val="009141D2"/>
    <w:rsid w:val="00915752"/>
    <w:rsid w:val="0091682A"/>
    <w:rsid w:val="0091722E"/>
    <w:rsid w:val="0091794A"/>
    <w:rsid w:val="00917E22"/>
    <w:rsid w:val="00920919"/>
    <w:rsid w:val="00920CC1"/>
    <w:rsid w:val="00920F0E"/>
    <w:rsid w:val="009217ED"/>
    <w:rsid w:val="00921880"/>
    <w:rsid w:val="00922112"/>
    <w:rsid w:val="009227B4"/>
    <w:rsid w:val="00922A6B"/>
    <w:rsid w:val="00922CDA"/>
    <w:rsid w:val="0092332E"/>
    <w:rsid w:val="009241B2"/>
    <w:rsid w:val="009249C7"/>
    <w:rsid w:val="00924D53"/>
    <w:rsid w:val="009259D0"/>
    <w:rsid w:val="00925A1D"/>
    <w:rsid w:val="00925E27"/>
    <w:rsid w:val="0092650D"/>
    <w:rsid w:val="00926E6F"/>
    <w:rsid w:val="009276FB"/>
    <w:rsid w:val="009279D5"/>
    <w:rsid w:val="00927C64"/>
    <w:rsid w:val="00927DCD"/>
    <w:rsid w:val="00930688"/>
    <w:rsid w:val="009312C2"/>
    <w:rsid w:val="0093142B"/>
    <w:rsid w:val="00931B8A"/>
    <w:rsid w:val="00932AAF"/>
    <w:rsid w:val="00932F36"/>
    <w:rsid w:val="00932F9C"/>
    <w:rsid w:val="00932FC3"/>
    <w:rsid w:val="009332BD"/>
    <w:rsid w:val="009333EB"/>
    <w:rsid w:val="0093369A"/>
    <w:rsid w:val="009348E4"/>
    <w:rsid w:val="009349EA"/>
    <w:rsid w:val="0093543A"/>
    <w:rsid w:val="00935749"/>
    <w:rsid w:val="00935927"/>
    <w:rsid w:val="00935ABE"/>
    <w:rsid w:val="00935C88"/>
    <w:rsid w:val="00935EC4"/>
    <w:rsid w:val="00935F7E"/>
    <w:rsid w:val="0093698A"/>
    <w:rsid w:val="00937292"/>
    <w:rsid w:val="009372D0"/>
    <w:rsid w:val="009373D1"/>
    <w:rsid w:val="009404D5"/>
    <w:rsid w:val="00941E9F"/>
    <w:rsid w:val="00941EDC"/>
    <w:rsid w:val="00942297"/>
    <w:rsid w:val="00943241"/>
    <w:rsid w:val="009440AB"/>
    <w:rsid w:val="0094445D"/>
    <w:rsid w:val="00944CF3"/>
    <w:rsid w:val="009457FD"/>
    <w:rsid w:val="009458AC"/>
    <w:rsid w:val="00945F86"/>
    <w:rsid w:val="0094613B"/>
    <w:rsid w:val="00946609"/>
    <w:rsid w:val="009466A3"/>
    <w:rsid w:val="0094672B"/>
    <w:rsid w:val="00946920"/>
    <w:rsid w:val="00946C85"/>
    <w:rsid w:val="00946D56"/>
    <w:rsid w:val="00946F7C"/>
    <w:rsid w:val="00946FC2"/>
    <w:rsid w:val="009474EC"/>
    <w:rsid w:val="009477D5"/>
    <w:rsid w:val="00950095"/>
    <w:rsid w:val="00951DCC"/>
    <w:rsid w:val="00952203"/>
    <w:rsid w:val="009527EA"/>
    <w:rsid w:val="00952A31"/>
    <w:rsid w:val="00953045"/>
    <w:rsid w:val="0095307A"/>
    <w:rsid w:val="00953474"/>
    <w:rsid w:val="00953E34"/>
    <w:rsid w:val="00953F64"/>
    <w:rsid w:val="00954DB5"/>
    <w:rsid w:val="0095530D"/>
    <w:rsid w:val="00955E80"/>
    <w:rsid w:val="009563FE"/>
    <w:rsid w:val="00956482"/>
    <w:rsid w:val="00956D87"/>
    <w:rsid w:val="0095717C"/>
    <w:rsid w:val="009572B6"/>
    <w:rsid w:val="00957545"/>
    <w:rsid w:val="00957785"/>
    <w:rsid w:val="00957B18"/>
    <w:rsid w:val="00957CEE"/>
    <w:rsid w:val="00960D9C"/>
    <w:rsid w:val="00961F63"/>
    <w:rsid w:val="00962489"/>
    <w:rsid w:val="009634DA"/>
    <w:rsid w:val="00963EA9"/>
    <w:rsid w:val="00964090"/>
    <w:rsid w:val="00964D31"/>
    <w:rsid w:val="00964D63"/>
    <w:rsid w:val="00964EB9"/>
    <w:rsid w:val="009653D1"/>
    <w:rsid w:val="009655DA"/>
    <w:rsid w:val="00966FF7"/>
    <w:rsid w:val="0096730C"/>
    <w:rsid w:val="0096735B"/>
    <w:rsid w:val="00967436"/>
    <w:rsid w:val="00970B37"/>
    <w:rsid w:val="00970C35"/>
    <w:rsid w:val="00971553"/>
    <w:rsid w:val="00971C26"/>
    <w:rsid w:val="00971E80"/>
    <w:rsid w:val="00972378"/>
    <w:rsid w:val="0097277A"/>
    <w:rsid w:val="00972C04"/>
    <w:rsid w:val="00973A44"/>
    <w:rsid w:val="00975208"/>
    <w:rsid w:val="009756C7"/>
    <w:rsid w:val="009758C0"/>
    <w:rsid w:val="0097622A"/>
    <w:rsid w:val="0097631E"/>
    <w:rsid w:val="00976701"/>
    <w:rsid w:val="00976C2A"/>
    <w:rsid w:val="00976EFE"/>
    <w:rsid w:val="009770AD"/>
    <w:rsid w:val="0097744F"/>
    <w:rsid w:val="009775AE"/>
    <w:rsid w:val="009800E7"/>
    <w:rsid w:val="00982802"/>
    <w:rsid w:val="00982808"/>
    <w:rsid w:val="009834DF"/>
    <w:rsid w:val="00983947"/>
    <w:rsid w:val="00983B40"/>
    <w:rsid w:val="0098481E"/>
    <w:rsid w:val="00984825"/>
    <w:rsid w:val="0098515D"/>
    <w:rsid w:val="00985963"/>
    <w:rsid w:val="009869FB"/>
    <w:rsid w:val="00986A60"/>
    <w:rsid w:val="00987C65"/>
    <w:rsid w:val="00987D10"/>
    <w:rsid w:val="00987E3D"/>
    <w:rsid w:val="00987ECF"/>
    <w:rsid w:val="009900DF"/>
    <w:rsid w:val="00990138"/>
    <w:rsid w:val="0099029B"/>
    <w:rsid w:val="0099110B"/>
    <w:rsid w:val="00991272"/>
    <w:rsid w:val="00991299"/>
    <w:rsid w:val="009918D0"/>
    <w:rsid w:val="00991A72"/>
    <w:rsid w:val="00992B65"/>
    <w:rsid w:val="009933C2"/>
    <w:rsid w:val="00993C8C"/>
    <w:rsid w:val="00994C81"/>
    <w:rsid w:val="009953FE"/>
    <w:rsid w:val="009958CE"/>
    <w:rsid w:val="00995D4F"/>
    <w:rsid w:val="00996214"/>
    <w:rsid w:val="009964D1"/>
    <w:rsid w:val="00996A45"/>
    <w:rsid w:val="00996F59"/>
    <w:rsid w:val="00997832"/>
    <w:rsid w:val="00997BD3"/>
    <w:rsid w:val="00997BFC"/>
    <w:rsid w:val="00997FBC"/>
    <w:rsid w:val="009A0228"/>
    <w:rsid w:val="009A0E5A"/>
    <w:rsid w:val="009A10FF"/>
    <w:rsid w:val="009A1199"/>
    <w:rsid w:val="009A18D3"/>
    <w:rsid w:val="009A1E14"/>
    <w:rsid w:val="009A1EA0"/>
    <w:rsid w:val="009A1EBE"/>
    <w:rsid w:val="009A1F66"/>
    <w:rsid w:val="009A34F0"/>
    <w:rsid w:val="009A3A32"/>
    <w:rsid w:val="009A4937"/>
    <w:rsid w:val="009A5332"/>
    <w:rsid w:val="009A574A"/>
    <w:rsid w:val="009A579F"/>
    <w:rsid w:val="009A6180"/>
    <w:rsid w:val="009A6DFA"/>
    <w:rsid w:val="009A766D"/>
    <w:rsid w:val="009A79D6"/>
    <w:rsid w:val="009A7CD0"/>
    <w:rsid w:val="009B0231"/>
    <w:rsid w:val="009B0B35"/>
    <w:rsid w:val="009B178D"/>
    <w:rsid w:val="009B1B0B"/>
    <w:rsid w:val="009B1BB8"/>
    <w:rsid w:val="009B340A"/>
    <w:rsid w:val="009B411E"/>
    <w:rsid w:val="009B5B2B"/>
    <w:rsid w:val="009C19E4"/>
    <w:rsid w:val="009C1CA3"/>
    <w:rsid w:val="009C241B"/>
    <w:rsid w:val="009C2473"/>
    <w:rsid w:val="009C2EDF"/>
    <w:rsid w:val="009C2F67"/>
    <w:rsid w:val="009C4AB9"/>
    <w:rsid w:val="009C5D38"/>
    <w:rsid w:val="009C5F21"/>
    <w:rsid w:val="009C72C0"/>
    <w:rsid w:val="009C7881"/>
    <w:rsid w:val="009C7DD0"/>
    <w:rsid w:val="009D0619"/>
    <w:rsid w:val="009D0790"/>
    <w:rsid w:val="009D132A"/>
    <w:rsid w:val="009D19DD"/>
    <w:rsid w:val="009D1CA5"/>
    <w:rsid w:val="009D260F"/>
    <w:rsid w:val="009D294E"/>
    <w:rsid w:val="009D2E45"/>
    <w:rsid w:val="009D2EF4"/>
    <w:rsid w:val="009D39EA"/>
    <w:rsid w:val="009D4EA2"/>
    <w:rsid w:val="009D5DB0"/>
    <w:rsid w:val="009D64AC"/>
    <w:rsid w:val="009D6B63"/>
    <w:rsid w:val="009D6F1F"/>
    <w:rsid w:val="009E02FB"/>
    <w:rsid w:val="009E05E5"/>
    <w:rsid w:val="009E10B0"/>
    <w:rsid w:val="009E2321"/>
    <w:rsid w:val="009E2AA0"/>
    <w:rsid w:val="009E2E4D"/>
    <w:rsid w:val="009E3368"/>
    <w:rsid w:val="009E39D3"/>
    <w:rsid w:val="009E3D67"/>
    <w:rsid w:val="009E4B85"/>
    <w:rsid w:val="009E4E24"/>
    <w:rsid w:val="009E5507"/>
    <w:rsid w:val="009E5C37"/>
    <w:rsid w:val="009E6225"/>
    <w:rsid w:val="009E6C07"/>
    <w:rsid w:val="009E70DE"/>
    <w:rsid w:val="009F0037"/>
    <w:rsid w:val="009F0F95"/>
    <w:rsid w:val="009F14CF"/>
    <w:rsid w:val="009F1713"/>
    <w:rsid w:val="009F1B80"/>
    <w:rsid w:val="009F1C51"/>
    <w:rsid w:val="009F2167"/>
    <w:rsid w:val="009F2993"/>
    <w:rsid w:val="009F2D08"/>
    <w:rsid w:val="009F3981"/>
    <w:rsid w:val="009F39E1"/>
    <w:rsid w:val="009F3B04"/>
    <w:rsid w:val="009F4828"/>
    <w:rsid w:val="009F4D35"/>
    <w:rsid w:val="009F4FD1"/>
    <w:rsid w:val="009F6E4E"/>
    <w:rsid w:val="009F6E68"/>
    <w:rsid w:val="009F6F35"/>
    <w:rsid w:val="009F71C9"/>
    <w:rsid w:val="009F7726"/>
    <w:rsid w:val="00A001B3"/>
    <w:rsid w:val="00A006E2"/>
    <w:rsid w:val="00A00948"/>
    <w:rsid w:val="00A01E83"/>
    <w:rsid w:val="00A022E6"/>
    <w:rsid w:val="00A02334"/>
    <w:rsid w:val="00A02394"/>
    <w:rsid w:val="00A02519"/>
    <w:rsid w:val="00A03615"/>
    <w:rsid w:val="00A03A98"/>
    <w:rsid w:val="00A0404A"/>
    <w:rsid w:val="00A043C4"/>
    <w:rsid w:val="00A04AB5"/>
    <w:rsid w:val="00A061EC"/>
    <w:rsid w:val="00A0795E"/>
    <w:rsid w:val="00A09915"/>
    <w:rsid w:val="00A1135A"/>
    <w:rsid w:val="00A11B32"/>
    <w:rsid w:val="00A11CE2"/>
    <w:rsid w:val="00A12018"/>
    <w:rsid w:val="00A121D5"/>
    <w:rsid w:val="00A12308"/>
    <w:rsid w:val="00A135B5"/>
    <w:rsid w:val="00A13940"/>
    <w:rsid w:val="00A140D1"/>
    <w:rsid w:val="00A14377"/>
    <w:rsid w:val="00A14425"/>
    <w:rsid w:val="00A1483B"/>
    <w:rsid w:val="00A15003"/>
    <w:rsid w:val="00A1513D"/>
    <w:rsid w:val="00A15BE6"/>
    <w:rsid w:val="00A163FD"/>
    <w:rsid w:val="00A1643C"/>
    <w:rsid w:val="00A16620"/>
    <w:rsid w:val="00A166A8"/>
    <w:rsid w:val="00A16D4F"/>
    <w:rsid w:val="00A17297"/>
    <w:rsid w:val="00A175B1"/>
    <w:rsid w:val="00A176FB"/>
    <w:rsid w:val="00A1796D"/>
    <w:rsid w:val="00A20135"/>
    <w:rsid w:val="00A20288"/>
    <w:rsid w:val="00A20A19"/>
    <w:rsid w:val="00A20EC7"/>
    <w:rsid w:val="00A21446"/>
    <w:rsid w:val="00A21EAA"/>
    <w:rsid w:val="00A22021"/>
    <w:rsid w:val="00A220E1"/>
    <w:rsid w:val="00A223CF"/>
    <w:rsid w:val="00A225AD"/>
    <w:rsid w:val="00A22E27"/>
    <w:rsid w:val="00A2329B"/>
    <w:rsid w:val="00A234A7"/>
    <w:rsid w:val="00A23E18"/>
    <w:rsid w:val="00A249B5"/>
    <w:rsid w:val="00A24F13"/>
    <w:rsid w:val="00A25995"/>
    <w:rsid w:val="00A26033"/>
    <w:rsid w:val="00A268DA"/>
    <w:rsid w:val="00A2697D"/>
    <w:rsid w:val="00A278DF"/>
    <w:rsid w:val="00A27F34"/>
    <w:rsid w:val="00A2B7EE"/>
    <w:rsid w:val="00A30D6A"/>
    <w:rsid w:val="00A30DBC"/>
    <w:rsid w:val="00A32E65"/>
    <w:rsid w:val="00A32F90"/>
    <w:rsid w:val="00A331B2"/>
    <w:rsid w:val="00A331BD"/>
    <w:rsid w:val="00A33722"/>
    <w:rsid w:val="00A342F7"/>
    <w:rsid w:val="00A34DC5"/>
    <w:rsid w:val="00A35232"/>
    <w:rsid w:val="00A35F3B"/>
    <w:rsid w:val="00A3609D"/>
    <w:rsid w:val="00A36733"/>
    <w:rsid w:val="00A37370"/>
    <w:rsid w:val="00A37D68"/>
    <w:rsid w:val="00A40A11"/>
    <w:rsid w:val="00A41039"/>
    <w:rsid w:val="00A411E9"/>
    <w:rsid w:val="00A4178E"/>
    <w:rsid w:val="00A41B78"/>
    <w:rsid w:val="00A41FDB"/>
    <w:rsid w:val="00A420F2"/>
    <w:rsid w:val="00A421BC"/>
    <w:rsid w:val="00A426E4"/>
    <w:rsid w:val="00A43B2A"/>
    <w:rsid w:val="00A44708"/>
    <w:rsid w:val="00A459A4"/>
    <w:rsid w:val="00A45F5F"/>
    <w:rsid w:val="00A46380"/>
    <w:rsid w:val="00A46575"/>
    <w:rsid w:val="00A47349"/>
    <w:rsid w:val="00A47433"/>
    <w:rsid w:val="00A47A70"/>
    <w:rsid w:val="00A5018B"/>
    <w:rsid w:val="00A50B87"/>
    <w:rsid w:val="00A50DB4"/>
    <w:rsid w:val="00A51144"/>
    <w:rsid w:val="00A517A7"/>
    <w:rsid w:val="00A52A97"/>
    <w:rsid w:val="00A5368C"/>
    <w:rsid w:val="00A5455A"/>
    <w:rsid w:val="00A55868"/>
    <w:rsid w:val="00A55938"/>
    <w:rsid w:val="00A559BB"/>
    <w:rsid w:val="00A56D13"/>
    <w:rsid w:val="00A57198"/>
    <w:rsid w:val="00A571C2"/>
    <w:rsid w:val="00A57313"/>
    <w:rsid w:val="00A5759B"/>
    <w:rsid w:val="00A57F94"/>
    <w:rsid w:val="00A6064A"/>
    <w:rsid w:val="00A60B21"/>
    <w:rsid w:val="00A60BD0"/>
    <w:rsid w:val="00A61349"/>
    <w:rsid w:val="00A62255"/>
    <w:rsid w:val="00A628CD"/>
    <w:rsid w:val="00A63B87"/>
    <w:rsid w:val="00A63E85"/>
    <w:rsid w:val="00A64B38"/>
    <w:rsid w:val="00A64ED2"/>
    <w:rsid w:val="00A6592F"/>
    <w:rsid w:val="00A65DA5"/>
    <w:rsid w:val="00A7082D"/>
    <w:rsid w:val="00A71283"/>
    <w:rsid w:val="00A7186A"/>
    <w:rsid w:val="00A71BD9"/>
    <w:rsid w:val="00A71DC6"/>
    <w:rsid w:val="00A7256C"/>
    <w:rsid w:val="00A73468"/>
    <w:rsid w:val="00A735BF"/>
    <w:rsid w:val="00A7379C"/>
    <w:rsid w:val="00A739B1"/>
    <w:rsid w:val="00A73E96"/>
    <w:rsid w:val="00A74463"/>
    <w:rsid w:val="00A746DF"/>
    <w:rsid w:val="00A74A88"/>
    <w:rsid w:val="00A75597"/>
    <w:rsid w:val="00A75721"/>
    <w:rsid w:val="00A76407"/>
    <w:rsid w:val="00A767F6"/>
    <w:rsid w:val="00A76832"/>
    <w:rsid w:val="00A77398"/>
    <w:rsid w:val="00A77DA9"/>
    <w:rsid w:val="00A8071B"/>
    <w:rsid w:val="00A80E08"/>
    <w:rsid w:val="00A81BE9"/>
    <w:rsid w:val="00A81DB2"/>
    <w:rsid w:val="00A8235A"/>
    <w:rsid w:val="00A8241C"/>
    <w:rsid w:val="00A825B2"/>
    <w:rsid w:val="00A83664"/>
    <w:rsid w:val="00A83832"/>
    <w:rsid w:val="00A83AC6"/>
    <w:rsid w:val="00A843C0"/>
    <w:rsid w:val="00A8479E"/>
    <w:rsid w:val="00A84E36"/>
    <w:rsid w:val="00A866B5"/>
    <w:rsid w:val="00A869E9"/>
    <w:rsid w:val="00A9020F"/>
    <w:rsid w:val="00A903EB"/>
    <w:rsid w:val="00A90E46"/>
    <w:rsid w:val="00A91216"/>
    <w:rsid w:val="00A922DA"/>
    <w:rsid w:val="00A9338B"/>
    <w:rsid w:val="00A93699"/>
    <w:rsid w:val="00A93D4C"/>
    <w:rsid w:val="00A94243"/>
    <w:rsid w:val="00A9429D"/>
    <w:rsid w:val="00A94503"/>
    <w:rsid w:val="00A94566"/>
    <w:rsid w:val="00A95765"/>
    <w:rsid w:val="00A95B17"/>
    <w:rsid w:val="00A9626B"/>
    <w:rsid w:val="00A97A91"/>
    <w:rsid w:val="00A97EA9"/>
    <w:rsid w:val="00AA0D9C"/>
    <w:rsid w:val="00AA1789"/>
    <w:rsid w:val="00AA1959"/>
    <w:rsid w:val="00AA2204"/>
    <w:rsid w:val="00AA2DB6"/>
    <w:rsid w:val="00AA2F94"/>
    <w:rsid w:val="00AA33B8"/>
    <w:rsid w:val="00AA36AB"/>
    <w:rsid w:val="00AA3A30"/>
    <w:rsid w:val="00AA47B5"/>
    <w:rsid w:val="00AA498B"/>
    <w:rsid w:val="00AA4CAB"/>
    <w:rsid w:val="00AA5F84"/>
    <w:rsid w:val="00AA604C"/>
    <w:rsid w:val="00AA65A8"/>
    <w:rsid w:val="00AA68B7"/>
    <w:rsid w:val="00AA71F7"/>
    <w:rsid w:val="00AA74AB"/>
    <w:rsid w:val="00AA7998"/>
    <w:rsid w:val="00AA7D56"/>
    <w:rsid w:val="00AA7FD3"/>
    <w:rsid w:val="00AB06F3"/>
    <w:rsid w:val="00AB09EE"/>
    <w:rsid w:val="00AB10CE"/>
    <w:rsid w:val="00AB1370"/>
    <w:rsid w:val="00AB1524"/>
    <w:rsid w:val="00AB164F"/>
    <w:rsid w:val="00AB17CA"/>
    <w:rsid w:val="00AB1CAA"/>
    <w:rsid w:val="00AB2324"/>
    <w:rsid w:val="00AB2356"/>
    <w:rsid w:val="00AB236D"/>
    <w:rsid w:val="00AB345A"/>
    <w:rsid w:val="00AB3541"/>
    <w:rsid w:val="00AB378C"/>
    <w:rsid w:val="00AB3A88"/>
    <w:rsid w:val="00AB51B3"/>
    <w:rsid w:val="00AB5218"/>
    <w:rsid w:val="00AB6F90"/>
    <w:rsid w:val="00AB7338"/>
    <w:rsid w:val="00AB7C89"/>
    <w:rsid w:val="00AB7EF6"/>
    <w:rsid w:val="00AC00C5"/>
    <w:rsid w:val="00AC11C0"/>
    <w:rsid w:val="00AC1730"/>
    <w:rsid w:val="00AC1DAD"/>
    <w:rsid w:val="00AC21AA"/>
    <w:rsid w:val="00AC265B"/>
    <w:rsid w:val="00AC3CD5"/>
    <w:rsid w:val="00AC48F5"/>
    <w:rsid w:val="00AC4A27"/>
    <w:rsid w:val="00AC578F"/>
    <w:rsid w:val="00AC5F92"/>
    <w:rsid w:val="00AC68DB"/>
    <w:rsid w:val="00AC6F33"/>
    <w:rsid w:val="00AC70A9"/>
    <w:rsid w:val="00AC7437"/>
    <w:rsid w:val="00AC7F46"/>
    <w:rsid w:val="00AC7F79"/>
    <w:rsid w:val="00AD18A1"/>
    <w:rsid w:val="00AD2422"/>
    <w:rsid w:val="00AD2CF4"/>
    <w:rsid w:val="00AD5487"/>
    <w:rsid w:val="00AD5F2B"/>
    <w:rsid w:val="00AD5FAA"/>
    <w:rsid w:val="00AD6142"/>
    <w:rsid w:val="00AD64AF"/>
    <w:rsid w:val="00AD65C7"/>
    <w:rsid w:val="00AD6A69"/>
    <w:rsid w:val="00AD6F95"/>
    <w:rsid w:val="00AD7C26"/>
    <w:rsid w:val="00AE03A3"/>
    <w:rsid w:val="00AE0ADE"/>
    <w:rsid w:val="00AE156D"/>
    <w:rsid w:val="00AE1B74"/>
    <w:rsid w:val="00AE1BBB"/>
    <w:rsid w:val="00AE25C4"/>
    <w:rsid w:val="00AE25D1"/>
    <w:rsid w:val="00AE2862"/>
    <w:rsid w:val="00AE308B"/>
    <w:rsid w:val="00AE38C6"/>
    <w:rsid w:val="00AE3A92"/>
    <w:rsid w:val="00AE423E"/>
    <w:rsid w:val="00AE51F0"/>
    <w:rsid w:val="00AE5766"/>
    <w:rsid w:val="00AE5818"/>
    <w:rsid w:val="00AE6608"/>
    <w:rsid w:val="00AE66C7"/>
    <w:rsid w:val="00AE6A04"/>
    <w:rsid w:val="00AE6ADC"/>
    <w:rsid w:val="00AE6DC9"/>
    <w:rsid w:val="00AE7685"/>
    <w:rsid w:val="00AE7745"/>
    <w:rsid w:val="00AE7F3A"/>
    <w:rsid w:val="00AF047A"/>
    <w:rsid w:val="00AF068F"/>
    <w:rsid w:val="00AF0736"/>
    <w:rsid w:val="00AF0837"/>
    <w:rsid w:val="00AF0DBD"/>
    <w:rsid w:val="00AF14FB"/>
    <w:rsid w:val="00AF1AE0"/>
    <w:rsid w:val="00AF1D30"/>
    <w:rsid w:val="00AF2358"/>
    <w:rsid w:val="00AF2366"/>
    <w:rsid w:val="00AF272B"/>
    <w:rsid w:val="00AF2EDA"/>
    <w:rsid w:val="00AF34C0"/>
    <w:rsid w:val="00AF3975"/>
    <w:rsid w:val="00AF3A65"/>
    <w:rsid w:val="00AF3FEE"/>
    <w:rsid w:val="00AF4025"/>
    <w:rsid w:val="00AF4A84"/>
    <w:rsid w:val="00AF581B"/>
    <w:rsid w:val="00AF5F55"/>
    <w:rsid w:val="00AF6625"/>
    <w:rsid w:val="00AF6E9E"/>
    <w:rsid w:val="00AF6FCC"/>
    <w:rsid w:val="00AF7F1E"/>
    <w:rsid w:val="00AF941A"/>
    <w:rsid w:val="00B00688"/>
    <w:rsid w:val="00B01CE0"/>
    <w:rsid w:val="00B02FB9"/>
    <w:rsid w:val="00B0318B"/>
    <w:rsid w:val="00B0319E"/>
    <w:rsid w:val="00B0332F"/>
    <w:rsid w:val="00B035DA"/>
    <w:rsid w:val="00B04BC5"/>
    <w:rsid w:val="00B06783"/>
    <w:rsid w:val="00B067E0"/>
    <w:rsid w:val="00B068E7"/>
    <w:rsid w:val="00B075F4"/>
    <w:rsid w:val="00B078F8"/>
    <w:rsid w:val="00B07ECC"/>
    <w:rsid w:val="00B1072B"/>
    <w:rsid w:val="00B1156A"/>
    <w:rsid w:val="00B118C4"/>
    <w:rsid w:val="00B11E62"/>
    <w:rsid w:val="00B124CC"/>
    <w:rsid w:val="00B12599"/>
    <w:rsid w:val="00B12966"/>
    <w:rsid w:val="00B129C8"/>
    <w:rsid w:val="00B137EA"/>
    <w:rsid w:val="00B13BE8"/>
    <w:rsid w:val="00B13CFA"/>
    <w:rsid w:val="00B13DA8"/>
    <w:rsid w:val="00B14191"/>
    <w:rsid w:val="00B148C9"/>
    <w:rsid w:val="00B15128"/>
    <w:rsid w:val="00B15F40"/>
    <w:rsid w:val="00B162BF"/>
    <w:rsid w:val="00B167F1"/>
    <w:rsid w:val="00B16DD4"/>
    <w:rsid w:val="00B17E9B"/>
    <w:rsid w:val="00B217DE"/>
    <w:rsid w:val="00B21DC7"/>
    <w:rsid w:val="00B22280"/>
    <w:rsid w:val="00B22F45"/>
    <w:rsid w:val="00B232C6"/>
    <w:rsid w:val="00B23891"/>
    <w:rsid w:val="00B23A03"/>
    <w:rsid w:val="00B23D29"/>
    <w:rsid w:val="00B23FE5"/>
    <w:rsid w:val="00B24968"/>
    <w:rsid w:val="00B24F22"/>
    <w:rsid w:val="00B25718"/>
    <w:rsid w:val="00B257CA"/>
    <w:rsid w:val="00B259CD"/>
    <w:rsid w:val="00B25B48"/>
    <w:rsid w:val="00B26341"/>
    <w:rsid w:val="00B2677D"/>
    <w:rsid w:val="00B27722"/>
    <w:rsid w:val="00B304B4"/>
    <w:rsid w:val="00B30750"/>
    <w:rsid w:val="00B31CBD"/>
    <w:rsid w:val="00B325C7"/>
    <w:rsid w:val="00B32826"/>
    <w:rsid w:val="00B33320"/>
    <w:rsid w:val="00B33743"/>
    <w:rsid w:val="00B33962"/>
    <w:rsid w:val="00B35230"/>
    <w:rsid w:val="00B3540D"/>
    <w:rsid w:val="00B35C0E"/>
    <w:rsid w:val="00B362D9"/>
    <w:rsid w:val="00B36597"/>
    <w:rsid w:val="00B366E1"/>
    <w:rsid w:val="00B3722F"/>
    <w:rsid w:val="00B379A7"/>
    <w:rsid w:val="00B37A3A"/>
    <w:rsid w:val="00B405F5"/>
    <w:rsid w:val="00B40631"/>
    <w:rsid w:val="00B40AD7"/>
    <w:rsid w:val="00B41164"/>
    <w:rsid w:val="00B422FD"/>
    <w:rsid w:val="00B42758"/>
    <w:rsid w:val="00B427E0"/>
    <w:rsid w:val="00B429E2"/>
    <w:rsid w:val="00B42CE6"/>
    <w:rsid w:val="00B42E71"/>
    <w:rsid w:val="00B4303C"/>
    <w:rsid w:val="00B43DDD"/>
    <w:rsid w:val="00B440C5"/>
    <w:rsid w:val="00B44887"/>
    <w:rsid w:val="00B45725"/>
    <w:rsid w:val="00B4577F"/>
    <w:rsid w:val="00B457D9"/>
    <w:rsid w:val="00B45C4A"/>
    <w:rsid w:val="00B460A1"/>
    <w:rsid w:val="00B46435"/>
    <w:rsid w:val="00B46459"/>
    <w:rsid w:val="00B476B8"/>
    <w:rsid w:val="00B50088"/>
    <w:rsid w:val="00B50266"/>
    <w:rsid w:val="00B50370"/>
    <w:rsid w:val="00B50B1E"/>
    <w:rsid w:val="00B50EAE"/>
    <w:rsid w:val="00B5105B"/>
    <w:rsid w:val="00B5141A"/>
    <w:rsid w:val="00B51A71"/>
    <w:rsid w:val="00B51D25"/>
    <w:rsid w:val="00B532C3"/>
    <w:rsid w:val="00B53C2B"/>
    <w:rsid w:val="00B53E6D"/>
    <w:rsid w:val="00B55C51"/>
    <w:rsid w:val="00B55D34"/>
    <w:rsid w:val="00B56542"/>
    <w:rsid w:val="00B57110"/>
    <w:rsid w:val="00B5731D"/>
    <w:rsid w:val="00B6009B"/>
    <w:rsid w:val="00B601B9"/>
    <w:rsid w:val="00B61616"/>
    <w:rsid w:val="00B621FA"/>
    <w:rsid w:val="00B6458B"/>
    <w:rsid w:val="00B64A3C"/>
    <w:rsid w:val="00B65B04"/>
    <w:rsid w:val="00B65C6D"/>
    <w:rsid w:val="00B66E56"/>
    <w:rsid w:val="00B6F988"/>
    <w:rsid w:val="00B70332"/>
    <w:rsid w:val="00B70432"/>
    <w:rsid w:val="00B709EF"/>
    <w:rsid w:val="00B70A94"/>
    <w:rsid w:val="00B70C44"/>
    <w:rsid w:val="00B71612"/>
    <w:rsid w:val="00B71754"/>
    <w:rsid w:val="00B71885"/>
    <w:rsid w:val="00B72FBD"/>
    <w:rsid w:val="00B73071"/>
    <w:rsid w:val="00B73CF2"/>
    <w:rsid w:val="00B74136"/>
    <w:rsid w:val="00B74431"/>
    <w:rsid w:val="00B7447D"/>
    <w:rsid w:val="00B7454F"/>
    <w:rsid w:val="00B74DF6"/>
    <w:rsid w:val="00B75653"/>
    <w:rsid w:val="00B75826"/>
    <w:rsid w:val="00B75DC4"/>
    <w:rsid w:val="00B75F01"/>
    <w:rsid w:val="00B7623D"/>
    <w:rsid w:val="00B776A3"/>
    <w:rsid w:val="00B77D24"/>
    <w:rsid w:val="00B80251"/>
    <w:rsid w:val="00B806B7"/>
    <w:rsid w:val="00B80B00"/>
    <w:rsid w:val="00B80D47"/>
    <w:rsid w:val="00B818F5"/>
    <w:rsid w:val="00B81A58"/>
    <w:rsid w:val="00B82253"/>
    <w:rsid w:val="00B82827"/>
    <w:rsid w:val="00B82D8C"/>
    <w:rsid w:val="00B832F7"/>
    <w:rsid w:val="00B83501"/>
    <w:rsid w:val="00B8358D"/>
    <w:rsid w:val="00B83EA2"/>
    <w:rsid w:val="00B840CF"/>
    <w:rsid w:val="00B84F0D"/>
    <w:rsid w:val="00B8538D"/>
    <w:rsid w:val="00B8542E"/>
    <w:rsid w:val="00B85438"/>
    <w:rsid w:val="00B85C2E"/>
    <w:rsid w:val="00B86839"/>
    <w:rsid w:val="00B87233"/>
    <w:rsid w:val="00B873D6"/>
    <w:rsid w:val="00B879F7"/>
    <w:rsid w:val="00B907A8"/>
    <w:rsid w:val="00B917ED"/>
    <w:rsid w:val="00B91C17"/>
    <w:rsid w:val="00B91D36"/>
    <w:rsid w:val="00B91E47"/>
    <w:rsid w:val="00B929FE"/>
    <w:rsid w:val="00B9371D"/>
    <w:rsid w:val="00B93EE8"/>
    <w:rsid w:val="00B94034"/>
    <w:rsid w:val="00B94E68"/>
    <w:rsid w:val="00B95AA9"/>
    <w:rsid w:val="00B96C41"/>
    <w:rsid w:val="00B97029"/>
    <w:rsid w:val="00B97245"/>
    <w:rsid w:val="00B979FC"/>
    <w:rsid w:val="00B97D1A"/>
    <w:rsid w:val="00BA0053"/>
    <w:rsid w:val="00BA03B5"/>
    <w:rsid w:val="00BA0923"/>
    <w:rsid w:val="00BA108E"/>
    <w:rsid w:val="00BA1A58"/>
    <w:rsid w:val="00BA1BC4"/>
    <w:rsid w:val="00BA1C52"/>
    <w:rsid w:val="00BA2025"/>
    <w:rsid w:val="00BA2172"/>
    <w:rsid w:val="00BA246E"/>
    <w:rsid w:val="00BA305D"/>
    <w:rsid w:val="00BA309D"/>
    <w:rsid w:val="00BA41DC"/>
    <w:rsid w:val="00BA4A87"/>
    <w:rsid w:val="00BA4FCB"/>
    <w:rsid w:val="00BA4FD2"/>
    <w:rsid w:val="00BA5269"/>
    <w:rsid w:val="00BA562D"/>
    <w:rsid w:val="00BA5B6C"/>
    <w:rsid w:val="00BA65A1"/>
    <w:rsid w:val="00BA685F"/>
    <w:rsid w:val="00BA6D25"/>
    <w:rsid w:val="00BA716C"/>
    <w:rsid w:val="00BA75E8"/>
    <w:rsid w:val="00BA77BF"/>
    <w:rsid w:val="00BA7CFF"/>
    <w:rsid w:val="00BB0880"/>
    <w:rsid w:val="00BB1044"/>
    <w:rsid w:val="00BB1882"/>
    <w:rsid w:val="00BB1F3D"/>
    <w:rsid w:val="00BB2840"/>
    <w:rsid w:val="00BB30EB"/>
    <w:rsid w:val="00BB33A2"/>
    <w:rsid w:val="00BB4816"/>
    <w:rsid w:val="00BB4AA1"/>
    <w:rsid w:val="00BB4FAB"/>
    <w:rsid w:val="00BB53B5"/>
    <w:rsid w:val="00BB5CB3"/>
    <w:rsid w:val="00BB6205"/>
    <w:rsid w:val="00BB76D6"/>
    <w:rsid w:val="00BB77F6"/>
    <w:rsid w:val="00BC028F"/>
    <w:rsid w:val="00BC0F2E"/>
    <w:rsid w:val="00BC12F7"/>
    <w:rsid w:val="00BC1406"/>
    <w:rsid w:val="00BC1628"/>
    <w:rsid w:val="00BC1669"/>
    <w:rsid w:val="00BC1A39"/>
    <w:rsid w:val="00BC1DB8"/>
    <w:rsid w:val="00BC25A9"/>
    <w:rsid w:val="00BC3ECA"/>
    <w:rsid w:val="00BC500A"/>
    <w:rsid w:val="00BC51B9"/>
    <w:rsid w:val="00BC7F0B"/>
    <w:rsid w:val="00BD00B1"/>
    <w:rsid w:val="00BD02B4"/>
    <w:rsid w:val="00BD0636"/>
    <w:rsid w:val="00BD097B"/>
    <w:rsid w:val="00BD0A03"/>
    <w:rsid w:val="00BD1128"/>
    <w:rsid w:val="00BD1B50"/>
    <w:rsid w:val="00BD1EE6"/>
    <w:rsid w:val="00BD22D6"/>
    <w:rsid w:val="00BD2528"/>
    <w:rsid w:val="00BD269F"/>
    <w:rsid w:val="00BD31FF"/>
    <w:rsid w:val="00BD3B55"/>
    <w:rsid w:val="00BD44F7"/>
    <w:rsid w:val="00BD452C"/>
    <w:rsid w:val="00BD45CC"/>
    <w:rsid w:val="00BD4881"/>
    <w:rsid w:val="00BD4D97"/>
    <w:rsid w:val="00BD4E1B"/>
    <w:rsid w:val="00BD5643"/>
    <w:rsid w:val="00BD63BD"/>
    <w:rsid w:val="00BD64B0"/>
    <w:rsid w:val="00BD75E5"/>
    <w:rsid w:val="00BD7CC9"/>
    <w:rsid w:val="00BE0032"/>
    <w:rsid w:val="00BE0C9B"/>
    <w:rsid w:val="00BE0CC8"/>
    <w:rsid w:val="00BE1198"/>
    <w:rsid w:val="00BE1A2A"/>
    <w:rsid w:val="00BE2A2E"/>
    <w:rsid w:val="00BE2DAA"/>
    <w:rsid w:val="00BE31E0"/>
    <w:rsid w:val="00BE421B"/>
    <w:rsid w:val="00BE42BF"/>
    <w:rsid w:val="00BE460E"/>
    <w:rsid w:val="00BE55B2"/>
    <w:rsid w:val="00BE5959"/>
    <w:rsid w:val="00BE59C1"/>
    <w:rsid w:val="00BE5B66"/>
    <w:rsid w:val="00BE5F57"/>
    <w:rsid w:val="00BE6329"/>
    <w:rsid w:val="00BE64A9"/>
    <w:rsid w:val="00BE6E4F"/>
    <w:rsid w:val="00BE7278"/>
    <w:rsid w:val="00BE77E8"/>
    <w:rsid w:val="00BF023B"/>
    <w:rsid w:val="00BF0627"/>
    <w:rsid w:val="00BF1E4F"/>
    <w:rsid w:val="00BF264E"/>
    <w:rsid w:val="00BF2AE5"/>
    <w:rsid w:val="00BF2E95"/>
    <w:rsid w:val="00BF2FDE"/>
    <w:rsid w:val="00BF46FD"/>
    <w:rsid w:val="00BF47F7"/>
    <w:rsid w:val="00BF4A3F"/>
    <w:rsid w:val="00BF5F86"/>
    <w:rsid w:val="00BF75E1"/>
    <w:rsid w:val="00BF7620"/>
    <w:rsid w:val="00C00067"/>
    <w:rsid w:val="00C003B3"/>
    <w:rsid w:val="00C003D4"/>
    <w:rsid w:val="00C004EF"/>
    <w:rsid w:val="00C00A18"/>
    <w:rsid w:val="00C00DAA"/>
    <w:rsid w:val="00C00E23"/>
    <w:rsid w:val="00C01A98"/>
    <w:rsid w:val="00C02986"/>
    <w:rsid w:val="00C02DBE"/>
    <w:rsid w:val="00C03210"/>
    <w:rsid w:val="00C0402D"/>
    <w:rsid w:val="00C049AC"/>
    <w:rsid w:val="00C04B89"/>
    <w:rsid w:val="00C04C13"/>
    <w:rsid w:val="00C05203"/>
    <w:rsid w:val="00C0552D"/>
    <w:rsid w:val="00C06155"/>
    <w:rsid w:val="00C061B7"/>
    <w:rsid w:val="00C06A91"/>
    <w:rsid w:val="00C072B8"/>
    <w:rsid w:val="00C07F3F"/>
    <w:rsid w:val="00C10218"/>
    <w:rsid w:val="00C102DF"/>
    <w:rsid w:val="00C104FB"/>
    <w:rsid w:val="00C10547"/>
    <w:rsid w:val="00C1084F"/>
    <w:rsid w:val="00C108B2"/>
    <w:rsid w:val="00C10C3A"/>
    <w:rsid w:val="00C11121"/>
    <w:rsid w:val="00C1241E"/>
    <w:rsid w:val="00C12A41"/>
    <w:rsid w:val="00C12C47"/>
    <w:rsid w:val="00C133B2"/>
    <w:rsid w:val="00C134F5"/>
    <w:rsid w:val="00C139CD"/>
    <w:rsid w:val="00C153EC"/>
    <w:rsid w:val="00C1578B"/>
    <w:rsid w:val="00C15EED"/>
    <w:rsid w:val="00C1623F"/>
    <w:rsid w:val="00C174C2"/>
    <w:rsid w:val="00C179B8"/>
    <w:rsid w:val="00C17B69"/>
    <w:rsid w:val="00C19FC3"/>
    <w:rsid w:val="00C205D9"/>
    <w:rsid w:val="00C2093B"/>
    <w:rsid w:val="00C20F2F"/>
    <w:rsid w:val="00C214FA"/>
    <w:rsid w:val="00C219C0"/>
    <w:rsid w:val="00C21BE1"/>
    <w:rsid w:val="00C23001"/>
    <w:rsid w:val="00C234D5"/>
    <w:rsid w:val="00C23A50"/>
    <w:rsid w:val="00C240CD"/>
    <w:rsid w:val="00C24A13"/>
    <w:rsid w:val="00C24E8E"/>
    <w:rsid w:val="00C25470"/>
    <w:rsid w:val="00C25532"/>
    <w:rsid w:val="00C25586"/>
    <w:rsid w:val="00C260B0"/>
    <w:rsid w:val="00C2756F"/>
    <w:rsid w:val="00C276CA"/>
    <w:rsid w:val="00C27A3B"/>
    <w:rsid w:val="00C27A99"/>
    <w:rsid w:val="00C30006"/>
    <w:rsid w:val="00C31217"/>
    <w:rsid w:val="00C31764"/>
    <w:rsid w:val="00C31D7C"/>
    <w:rsid w:val="00C32386"/>
    <w:rsid w:val="00C329A3"/>
    <w:rsid w:val="00C32D60"/>
    <w:rsid w:val="00C330C2"/>
    <w:rsid w:val="00C335D6"/>
    <w:rsid w:val="00C344B3"/>
    <w:rsid w:val="00C34B9E"/>
    <w:rsid w:val="00C358F8"/>
    <w:rsid w:val="00C35B87"/>
    <w:rsid w:val="00C36561"/>
    <w:rsid w:val="00C36BCD"/>
    <w:rsid w:val="00C36E7E"/>
    <w:rsid w:val="00C37152"/>
    <w:rsid w:val="00C371E7"/>
    <w:rsid w:val="00C373F6"/>
    <w:rsid w:val="00C379DA"/>
    <w:rsid w:val="00C37B96"/>
    <w:rsid w:val="00C37EE1"/>
    <w:rsid w:val="00C401E4"/>
    <w:rsid w:val="00C4072C"/>
    <w:rsid w:val="00C40B4F"/>
    <w:rsid w:val="00C41817"/>
    <w:rsid w:val="00C41D07"/>
    <w:rsid w:val="00C41E57"/>
    <w:rsid w:val="00C42F42"/>
    <w:rsid w:val="00C43672"/>
    <w:rsid w:val="00C43A42"/>
    <w:rsid w:val="00C44260"/>
    <w:rsid w:val="00C44519"/>
    <w:rsid w:val="00C44B5B"/>
    <w:rsid w:val="00C470E4"/>
    <w:rsid w:val="00C47313"/>
    <w:rsid w:val="00C4786C"/>
    <w:rsid w:val="00C47A1A"/>
    <w:rsid w:val="00C47AC5"/>
    <w:rsid w:val="00C47E04"/>
    <w:rsid w:val="00C501DC"/>
    <w:rsid w:val="00C5064E"/>
    <w:rsid w:val="00C50681"/>
    <w:rsid w:val="00C52301"/>
    <w:rsid w:val="00C527B5"/>
    <w:rsid w:val="00C527FA"/>
    <w:rsid w:val="00C529A6"/>
    <w:rsid w:val="00C52C25"/>
    <w:rsid w:val="00C52DFA"/>
    <w:rsid w:val="00C5344A"/>
    <w:rsid w:val="00C534CC"/>
    <w:rsid w:val="00C539F2"/>
    <w:rsid w:val="00C54981"/>
    <w:rsid w:val="00C55555"/>
    <w:rsid w:val="00C55AC1"/>
    <w:rsid w:val="00C56746"/>
    <w:rsid w:val="00C57401"/>
    <w:rsid w:val="00C577AE"/>
    <w:rsid w:val="00C57850"/>
    <w:rsid w:val="00C57A26"/>
    <w:rsid w:val="00C57CB0"/>
    <w:rsid w:val="00C6007B"/>
    <w:rsid w:val="00C60C94"/>
    <w:rsid w:val="00C60DA9"/>
    <w:rsid w:val="00C60FF0"/>
    <w:rsid w:val="00C61521"/>
    <w:rsid w:val="00C61760"/>
    <w:rsid w:val="00C62757"/>
    <w:rsid w:val="00C6276C"/>
    <w:rsid w:val="00C62F67"/>
    <w:rsid w:val="00C63044"/>
    <w:rsid w:val="00C63700"/>
    <w:rsid w:val="00C64902"/>
    <w:rsid w:val="00C64E30"/>
    <w:rsid w:val="00C661ED"/>
    <w:rsid w:val="00C66C02"/>
    <w:rsid w:val="00C677D1"/>
    <w:rsid w:val="00C678B9"/>
    <w:rsid w:val="00C67968"/>
    <w:rsid w:val="00C7087B"/>
    <w:rsid w:val="00C70F4B"/>
    <w:rsid w:val="00C71361"/>
    <w:rsid w:val="00C71B71"/>
    <w:rsid w:val="00C71BCF"/>
    <w:rsid w:val="00C71D0A"/>
    <w:rsid w:val="00C72367"/>
    <w:rsid w:val="00C73111"/>
    <w:rsid w:val="00C73658"/>
    <w:rsid w:val="00C73C03"/>
    <w:rsid w:val="00C744E4"/>
    <w:rsid w:val="00C74B4E"/>
    <w:rsid w:val="00C75042"/>
    <w:rsid w:val="00C7631F"/>
    <w:rsid w:val="00C77454"/>
    <w:rsid w:val="00C80129"/>
    <w:rsid w:val="00C819BF"/>
    <w:rsid w:val="00C81D4B"/>
    <w:rsid w:val="00C820C2"/>
    <w:rsid w:val="00C824BC"/>
    <w:rsid w:val="00C82C88"/>
    <w:rsid w:val="00C831E4"/>
    <w:rsid w:val="00C834FE"/>
    <w:rsid w:val="00C83AA2"/>
    <w:rsid w:val="00C83C46"/>
    <w:rsid w:val="00C83CEE"/>
    <w:rsid w:val="00C83D8E"/>
    <w:rsid w:val="00C879FA"/>
    <w:rsid w:val="00C87BC2"/>
    <w:rsid w:val="00C9001C"/>
    <w:rsid w:val="00C901AB"/>
    <w:rsid w:val="00C905A7"/>
    <w:rsid w:val="00C90681"/>
    <w:rsid w:val="00C91A9F"/>
    <w:rsid w:val="00C9228E"/>
    <w:rsid w:val="00C9262A"/>
    <w:rsid w:val="00C93DC1"/>
    <w:rsid w:val="00C94136"/>
    <w:rsid w:val="00C94344"/>
    <w:rsid w:val="00C94552"/>
    <w:rsid w:val="00C94C45"/>
    <w:rsid w:val="00C94E45"/>
    <w:rsid w:val="00C953BE"/>
    <w:rsid w:val="00C95EC6"/>
    <w:rsid w:val="00C9618D"/>
    <w:rsid w:val="00C9666B"/>
    <w:rsid w:val="00C96B70"/>
    <w:rsid w:val="00C96B96"/>
    <w:rsid w:val="00C96DC1"/>
    <w:rsid w:val="00C9707D"/>
    <w:rsid w:val="00C973F6"/>
    <w:rsid w:val="00C97E49"/>
    <w:rsid w:val="00CA015B"/>
    <w:rsid w:val="00CA0A9A"/>
    <w:rsid w:val="00CA0BCA"/>
    <w:rsid w:val="00CA0CAF"/>
    <w:rsid w:val="00CA0ED7"/>
    <w:rsid w:val="00CA1FCC"/>
    <w:rsid w:val="00CA29F2"/>
    <w:rsid w:val="00CA367A"/>
    <w:rsid w:val="00CA42F4"/>
    <w:rsid w:val="00CA54EE"/>
    <w:rsid w:val="00CA56F1"/>
    <w:rsid w:val="00CA5B21"/>
    <w:rsid w:val="00CA6263"/>
    <w:rsid w:val="00CA79CA"/>
    <w:rsid w:val="00CA7A3A"/>
    <w:rsid w:val="00CA7FB1"/>
    <w:rsid w:val="00CB003B"/>
    <w:rsid w:val="00CB08BF"/>
    <w:rsid w:val="00CB0C3B"/>
    <w:rsid w:val="00CB2207"/>
    <w:rsid w:val="00CB3225"/>
    <w:rsid w:val="00CB3E3F"/>
    <w:rsid w:val="00CB3F82"/>
    <w:rsid w:val="00CB54E7"/>
    <w:rsid w:val="00CB58BF"/>
    <w:rsid w:val="00CB5A00"/>
    <w:rsid w:val="00CB66F1"/>
    <w:rsid w:val="00CB7CD0"/>
    <w:rsid w:val="00CC1B45"/>
    <w:rsid w:val="00CC1F77"/>
    <w:rsid w:val="00CC234E"/>
    <w:rsid w:val="00CC244A"/>
    <w:rsid w:val="00CC2DEA"/>
    <w:rsid w:val="00CC35EE"/>
    <w:rsid w:val="00CC4190"/>
    <w:rsid w:val="00CC466F"/>
    <w:rsid w:val="00CC4C20"/>
    <w:rsid w:val="00CC5781"/>
    <w:rsid w:val="00CC5914"/>
    <w:rsid w:val="00CC7550"/>
    <w:rsid w:val="00CC7B26"/>
    <w:rsid w:val="00CCBB39"/>
    <w:rsid w:val="00CD003F"/>
    <w:rsid w:val="00CD21A7"/>
    <w:rsid w:val="00CD344E"/>
    <w:rsid w:val="00CD358D"/>
    <w:rsid w:val="00CD36DA"/>
    <w:rsid w:val="00CD3818"/>
    <w:rsid w:val="00CD446F"/>
    <w:rsid w:val="00CD47D2"/>
    <w:rsid w:val="00CD55E9"/>
    <w:rsid w:val="00CD56B2"/>
    <w:rsid w:val="00CD6729"/>
    <w:rsid w:val="00CD6887"/>
    <w:rsid w:val="00CD6C50"/>
    <w:rsid w:val="00CD758B"/>
    <w:rsid w:val="00CD7DD0"/>
    <w:rsid w:val="00CE1175"/>
    <w:rsid w:val="00CE168F"/>
    <w:rsid w:val="00CE190A"/>
    <w:rsid w:val="00CE2958"/>
    <w:rsid w:val="00CE2B04"/>
    <w:rsid w:val="00CE3429"/>
    <w:rsid w:val="00CE386E"/>
    <w:rsid w:val="00CE3E4D"/>
    <w:rsid w:val="00CE44B3"/>
    <w:rsid w:val="00CE5694"/>
    <w:rsid w:val="00CE5968"/>
    <w:rsid w:val="00CE5E8C"/>
    <w:rsid w:val="00CE71DD"/>
    <w:rsid w:val="00CE7208"/>
    <w:rsid w:val="00CE7652"/>
    <w:rsid w:val="00CF01FF"/>
    <w:rsid w:val="00CF052F"/>
    <w:rsid w:val="00CF0847"/>
    <w:rsid w:val="00CF11FB"/>
    <w:rsid w:val="00CF1823"/>
    <w:rsid w:val="00CF1AB8"/>
    <w:rsid w:val="00CF2093"/>
    <w:rsid w:val="00CF317F"/>
    <w:rsid w:val="00CF402F"/>
    <w:rsid w:val="00CF452D"/>
    <w:rsid w:val="00CF453B"/>
    <w:rsid w:val="00CF4599"/>
    <w:rsid w:val="00CF4622"/>
    <w:rsid w:val="00CF46AB"/>
    <w:rsid w:val="00CF4C0C"/>
    <w:rsid w:val="00CF5475"/>
    <w:rsid w:val="00CF5665"/>
    <w:rsid w:val="00CF65BE"/>
    <w:rsid w:val="00CF6B1E"/>
    <w:rsid w:val="00CF6D77"/>
    <w:rsid w:val="00CF7A37"/>
    <w:rsid w:val="00CF7B20"/>
    <w:rsid w:val="00CF7F07"/>
    <w:rsid w:val="00D00079"/>
    <w:rsid w:val="00D01C85"/>
    <w:rsid w:val="00D02166"/>
    <w:rsid w:val="00D02552"/>
    <w:rsid w:val="00D025F8"/>
    <w:rsid w:val="00D02601"/>
    <w:rsid w:val="00D02615"/>
    <w:rsid w:val="00D0286F"/>
    <w:rsid w:val="00D030F6"/>
    <w:rsid w:val="00D0319E"/>
    <w:rsid w:val="00D03326"/>
    <w:rsid w:val="00D0336F"/>
    <w:rsid w:val="00D03501"/>
    <w:rsid w:val="00D03A41"/>
    <w:rsid w:val="00D03AE0"/>
    <w:rsid w:val="00D03C42"/>
    <w:rsid w:val="00D03C68"/>
    <w:rsid w:val="00D03CE7"/>
    <w:rsid w:val="00D05569"/>
    <w:rsid w:val="00D05D7A"/>
    <w:rsid w:val="00D063AE"/>
    <w:rsid w:val="00D06D3E"/>
    <w:rsid w:val="00D10E19"/>
    <w:rsid w:val="00D1109C"/>
    <w:rsid w:val="00D11721"/>
    <w:rsid w:val="00D11F2E"/>
    <w:rsid w:val="00D12361"/>
    <w:rsid w:val="00D12D96"/>
    <w:rsid w:val="00D1390B"/>
    <w:rsid w:val="00D148E5"/>
    <w:rsid w:val="00D14F9F"/>
    <w:rsid w:val="00D15B2F"/>
    <w:rsid w:val="00D163FF"/>
    <w:rsid w:val="00D16ABD"/>
    <w:rsid w:val="00D1751E"/>
    <w:rsid w:val="00D176DE"/>
    <w:rsid w:val="00D1775B"/>
    <w:rsid w:val="00D17991"/>
    <w:rsid w:val="00D204E1"/>
    <w:rsid w:val="00D20696"/>
    <w:rsid w:val="00D20B58"/>
    <w:rsid w:val="00D215E9"/>
    <w:rsid w:val="00D21E67"/>
    <w:rsid w:val="00D2292F"/>
    <w:rsid w:val="00D23445"/>
    <w:rsid w:val="00D23BCC"/>
    <w:rsid w:val="00D24505"/>
    <w:rsid w:val="00D248F3"/>
    <w:rsid w:val="00D24FD8"/>
    <w:rsid w:val="00D2526F"/>
    <w:rsid w:val="00D25F81"/>
    <w:rsid w:val="00D26024"/>
    <w:rsid w:val="00D2617E"/>
    <w:rsid w:val="00D2625E"/>
    <w:rsid w:val="00D26D8F"/>
    <w:rsid w:val="00D27349"/>
    <w:rsid w:val="00D27392"/>
    <w:rsid w:val="00D3014A"/>
    <w:rsid w:val="00D3061A"/>
    <w:rsid w:val="00D313D4"/>
    <w:rsid w:val="00D3238B"/>
    <w:rsid w:val="00D326E5"/>
    <w:rsid w:val="00D32F63"/>
    <w:rsid w:val="00D33635"/>
    <w:rsid w:val="00D338A4"/>
    <w:rsid w:val="00D33AEA"/>
    <w:rsid w:val="00D3413B"/>
    <w:rsid w:val="00D34D71"/>
    <w:rsid w:val="00D355F0"/>
    <w:rsid w:val="00D3571B"/>
    <w:rsid w:val="00D35C76"/>
    <w:rsid w:val="00D35CD0"/>
    <w:rsid w:val="00D3654F"/>
    <w:rsid w:val="00D36A4D"/>
    <w:rsid w:val="00D3707D"/>
    <w:rsid w:val="00D37CF7"/>
    <w:rsid w:val="00D40CEA"/>
    <w:rsid w:val="00D40EE1"/>
    <w:rsid w:val="00D42984"/>
    <w:rsid w:val="00D43E0D"/>
    <w:rsid w:val="00D44C60"/>
    <w:rsid w:val="00D45283"/>
    <w:rsid w:val="00D45457"/>
    <w:rsid w:val="00D45C72"/>
    <w:rsid w:val="00D46F88"/>
    <w:rsid w:val="00D47235"/>
    <w:rsid w:val="00D47823"/>
    <w:rsid w:val="00D50724"/>
    <w:rsid w:val="00D509AD"/>
    <w:rsid w:val="00D50A9B"/>
    <w:rsid w:val="00D50BDF"/>
    <w:rsid w:val="00D51039"/>
    <w:rsid w:val="00D513E0"/>
    <w:rsid w:val="00D5151A"/>
    <w:rsid w:val="00D5176A"/>
    <w:rsid w:val="00D5208A"/>
    <w:rsid w:val="00D52395"/>
    <w:rsid w:val="00D524F2"/>
    <w:rsid w:val="00D52541"/>
    <w:rsid w:val="00D53637"/>
    <w:rsid w:val="00D536D7"/>
    <w:rsid w:val="00D5426A"/>
    <w:rsid w:val="00D54440"/>
    <w:rsid w:val="00D544D4"/>
    <w:rsid w:val="00D563F6"/>
    <w:rsid w:val="00D5664A"/>
    <w:rsid w:val="00D566B7"/>
    <w:rsid w:val="00D56BC6"/>
    <w:rsid w:val="00D56FAE"/>
    <w:rsid w:val="00D57370"/>
    <w:rsid w:val="00D5793E"/>
    <w:rsid w:val="00D57D9A"/>
    <w:rsid w:val="00D57E2F"/>
    <w:rsid w:val="00D61555"/>
    <w:rsid w:val="00D61AD6"/>
    <w:rsid w:val="00D62CEF"/>
    <w:rsid w:val="00D63318"/>
    <w:rsid w:val="00D634BC"/>
    <w:rsid w:val="00D63A92"/>
    <w:rsid w:val="00D64277"/>
    <w:rsid w:val="00D6450D"/>
    <w:rsid w:val="00D655DA"/>
    <w:rsid w:val="00D66040"/>
    <w:rsid w:val="00D661A7"/>
    <w:rsid w:val="00D66816"/>
    <w:rsid w:val="00D66D19"/>
    <w:rsid w:val="00D67418"/>
    <w:rsid w:val="00D67979"/>
    <w:rsid w:val="00D67A27"/>
    <w:rsid w:val="00D70CFC"/>
    <w:rsid w:val="00D723E7"/>
    <w:rsid w:val="00D72870"/>
    <w:rsid w:val="00D72D24"/>
    <w:rsid w:val="00D73259"/>
    <w:rsid w:val="00D73E8A"/>
    <w:rsid w:val="00D75606"/>
    <w:rsid w:val="00D7562B"/>
    <w:rsid w:val="00D762EA"/>
    <w:rsid w:val="00D764E2"/>
    <w:rsid w:val="00D765ED"/>
    <w:rsid w:val="00D76B87"/>
    <w:rsid w:val="00D76CC6"/>
    <w:rsid w:val="00D771D0"/>
    <w:rsid w:val="00D77AA3"/>
    <w:rsid w:val="00D80BAE"/>
    <w:rsid w:val="00D80F00"/>
    <w:rsid w:val="00D815E0"/>
    <w:rsid w:val="00D821E7"/>
    <w:rsid w:val="00D8277E"/>
    <w:rsid w:val="00D8332F"/>
    <w:rsid w:val="00D83347"/>
    <w:rsid w:val="00D83542"/>
    <w:rsid w:val="00D84313"/>
    <w:rsid w:val="00D8446F"/>
    <w:rsid w:val="00D84D5B"/>
    <w:rsid w:val="00D84D78"/>
    <w:rsid w:val="00D85861"/>
    <w:rsid w:val="00D85FBB"/>
    <w:rsid w:val="00D86178"/>
    <w:rsid w:val="00D86B10"/>
    <w:rsid w:val="00D8761F"/>
    <w:rsid w:val="00D9026C"/>
    <w:rsid w:val="00D90D3D"/>
    <w:rsid w:val="00D91355"/>
    <w:rsid w:val="00D91C74"/>
    <w:rsid w:val="00D91F7D"/>
    <w:rsid w:val="00D92AAB"/>
    <w:rsid w:val="00D92CCE"/>
    <w:rsid w:val="00D93658"/>
    <w:rsid w:val="00D943B8"/>
    <w:rsid w:val="00D94548"/>
    <w:rsid w:val="00D95476"/>
    <w:rsid w:val="00D9622E"/>
    <w:rsid w:val="00D9645D"/>
    <w:rsid w:val="00D968FD"/>
    <w:rsid w:val="00D9711E"/>
    <w:rsid w:val="00D971BA"/>
    <w:rsid w:val="00D97267"/>
    <w:rsid w:val="00D97E47"/>
    <w:rsid w:val="00DA03A9"/>
    <w:rsid w:val="00DA1102"/>
    <w:rsid w:val="00DA128D"/>
    <w:rsid w:val="00DA1583"/>
    <w:rsid w:val="00DA16AE"/>
    <w:rsid w:val="00DA1E0B"/>
    <w:rsid w:val="00DA2558"/>
    <w:rsid w:val="00DA2828"/>
    <w:rsid w:val="00DA2BD7"/>
    <w:rsid w:val="00DA32F0"/>
    <w:rsid w:val="00DA3E83"/>
    <w:rsid w:val="00DA4751"/>
    <w:rsid w:val="00DA54B1"/>
    <w:rsid w:val="00DA55C8"/>
    <w:rsid w:val="00DA5981"/>
    <w:rsid w:val="00DA5E06"/>
    <w:rsid w:val="00DA60FC"/>
    <w:rsid w:val="00DA62EC"/>
    <w:rsid w:val="00DA6756"/>
    <w:rsid w:val="00DA6856"/>
    <w:rsid w:val="00DA6C8E"/>
    <w:rsid w:val="00DA7345"/>
    <w:rsid w:val="00DB129A"/>
    <w:rsid w:val="00DB144E"/>
    <w:rsid w:val="00DB17D8"/>
    <w:rsid w:val="00DB1F03"/>
    <w:rsid w:val="00DB228A"/>
    <w:rsid w:val="00DB2450"/>
    <w:rsid w:val="00DB24D5"/>
    <w:rsid w:val="00DB2C82"/>
    <w:rsid w:val="00DB2D47"/>
    <w:rsid w:val="00DB4559"/>
    <w:rsid w:val="00DB468D"/>
    <w:rsid w:val="00DB49C0"/>
    <w:rsid w:val="00DB637C"/>
    <w:rsid w:val="00DB6D91"/>
    <w:rsid w:val="00DB7B77"/>
    <w:rsid w:val="00DB7DE9"/>
    <w:rsid w:val="00DC0203"/>
    <w:rsid w:val="00DC0247"/>
    <w:rsid w:val="00DC0988"/>
    <w:rsid w:val="00DC0B59"/>
    <w:rsid w:val="00DC0CC0"/>
    <w:rsid w:val="00DC0D46"/>
    <w:rsid w:val="00DC1072"/>
    <w:rsid w:val="00DC21EF"/>
    <w:rsid w:val="00DC285F"/>
    <w:rsid w:val="00DC32BA"/>
    <w:rsid w:val="00DC32D2"/>
    <w:rsid w:val="00DC357E"/>
    <w:rsid w:val="00DC41B3"/>
    <w:rsid w:val="00DC4500"/>
    <w:rsid w:val="00DC4D2F"/>
    <w:rsid w:val="00DC4DB5"/>
    <w:rsid w:val="00DC4FAA"/>
    <w:rsid w:val="00DC5012"/>
    <w:rsid w:val="00DC546F"/>
    <w:rsid w:val="00DC55E8"/>
    <w:rsid w:val="00DC68C6"/>
    <w:rsid w:val="00DC69AD"/>
    <w:rsid w:val="00DC69C8"/>
    <w:rsid w:val="00DC7048"/>
    <w:rsid w:val="00DC7C6D"/>
    <w:rsid w:val="00DC7DD5"/>
    <w:rsid w:val="00DC7E5D"/>
    <w:rsid w:val="00DD0413"/>
    <w:rsid w:val="00DD0640"/>
    <w:rsid w:val="00DD1A8D"/>
    <w:rsid w:val="00DD23BC"/>
    <w:rsid w:val="00DD3A0C"/>
    <w:rsid w:val="00DD5103"/>
    <w:rsid w:val="00DD5702"/>
    <w:rsid w:val="00DD69E2"/>
    <w:rsid w:val="00DD767A"/>
    <w:rsid w:val="00DE1134"/>
    <w:rsid w:val="00DE2060"/>
    <w:rsid w:val="00DE262B"/>
    <w:rsid w:val="00DE2BB3"/>
    <w:rsid w:val="00DE2F2F"/>
    <w:rsid w:val="00DE391B"/>
    <w:rsid w:val="00DE3C2B"/>
    <w:rsid w:val="00DE4335"/>
    <w:rsid w:val="00DE4ACD"/>
    <w:rsid w:val="00DE5450"/>
    <w:rsid w:val="00DE5681"/>
    <w:rsid w:val="00DE5937"/>
    <w:rsid w:val="00DE5CD0"/>
    <w:rsid w:val="00DE63AE"/>
    <w:rsid w:val="00DE6874"/>
    <w:rsid w:val="00DE6BE6"/>
    <w:rsid w:val="00DE7183"/>
    <w:rsid w:val="00DE7B8B"/>
    <w:rsid w:val="00DF01B5"/>
    <w:rsid w:val="00DF0BE3"/>
    <w:rsid w:val="00DF14F9"/>
    <w:rsid w:val="00DF18FF"/>
    <w:rsid w:val="00DF1944"/>
    <w:rsid w:val="00DF20F2"/>
    <w:rsid w:val="00DF2323"/>
    <w:rsid w:val="00DF2567"/>
    <w:rsid w:val="00DF256E"/>
    <w:rsid w:val="00DF2731"/>
    <w:rsid w:val="00DF29DE"/>
    <w:rsid w:val="00DF2A15"/>
    <w:rsid w:val="00DF2A29"/>
    <w:rsid w:val="00DF2F2D"/>
    <w:rsid w:val="00DF3DC1"/>
    <w:rsid w:val="00DF4291"/>
    <w:rsid w:val="00DF436E"/>
    <w:rsid w:val="00DF4F4D"/>
    <w:rsid w:val="00DF5110"/>
    <w:rsid w:val="00DF52D2"/>
    <w:rsid w:val="00DF56CE"/>
    <w:rsid w:val="00DF577F"/>
    <w:rsid w:val="00DF7244"/>
    <w:rsid w:val="00DF79C9"/>
    <w:rsid w:val="00DF7CD6"/>
    <w:rsid w:val="00E000F7"/>
    <w:rsid w:val="00E009D3"/>
    <w:rsid w:val="00E0138C"/>
    <w:rsid w:val="00E017D2"/>
    <w:rsid w:val="00E01D3A"/>
    <w:rsid w:val="00E02418"/>
    <w:rsid w:val="00E0242A"/>
    <w:rsid w:val="00E026DE"/>
    <w:rsid w:val="00E02DF4"/>
    <w:rsid w:val="00E03100"/>
    <w:rsid w:val="00E03128"/>
    <w:rsid w:val="00E031F7"/>
    <w:rsid w:val="00E041F5"/>
    <w:rsid w:val="00E042E7"/>
    <w:rsid w:val="00E044BF"/>
    <w:rsid w:val="00E04A17"/>
    <w:rsid w:val="00E04DCF"/>
    <w:rsid w:val="00E04F3F"/>
    <w:rsid w:val="00E0508B"/>
    <w:rsid w:val="00E05101"/>
    <w:rsid w:val="00E057EC"/>
    <w:rsid w:val="00E05CD2"/>
    <w:rsid w:val="00E067A0"/>
    <w:rsid w:val="00E07984"/>
    <w:rsid w:val="00E079E0"/>
    <w:rsid w:val="00E07ABE"/>
    <w:rsid w:val="00E07F46"/>
    <w:rsid w:val="00E1006E"/>
    <w:rsid w:val="00E10168"/>
    <w:rsid w:val="00E105E6"/>
    <w:rsid w:val="00E11586"/>
    <w:rsid w:val="00E116AE"/>
    <w:rsid w:val="00E130F6"/>
    <w:rsid w:val="00E1382A"/>
    <w:rsid w:val="00E153DB"/>
    <w:rsid w:val="00E1555D"/>
    <w:rsid w:val="00E16EDD"/>
    <w:rsid w:val="00E17071"/>
    <w:rsid w:val="00E2033E"/>
    <w:rsid w:val="00E21F47"/>
    <w:rsid w:val="00E22107"/>
    <w:rsid w:val="00E22596"/>
    <w:rsid w:val="00E2438A"/>
    <w:rsid w:val="00E2551E"/>
    <w:rsid w:val="00E25DDE"/>
    <w:rsid w:val="00E26098"/>
    <w:rsid w:val="00E26CFE"/>
    <w:rsid w:val="00E3053C"/>
    <w:rsid w:val="00E305D9"/>
    <w:rsid w:val="00E30BB0"/>
    <w:rsid w:val="00E30DDD"/>
    <w:rsid w:val="00E31535"/>
    <w:rsid w:val="00E316E0"/>
    <w:rsid w:val="00E31914"/>
    <w:rsid w:val="00E32ABE"/>
    <w:rsid w:val="00E32FCF"/>
    <w:rsid w:val="00E3337B"/>
    <w:rsid w:val="00E33525"/>
    <w:rsid w:val="00E33E1C"/>
    <w:rsid w:val="00E33F0F"/>
    <w:rsid w:val="00E340E4"/>
    <w:rsid w:val="00E350A3"/>
    <w:rsid w:val="00E35405"/>
    <w:rsid w:val="00E359C7"/>
    <w:rsid w:val="00E37E4A"/>
    <w:rsid w:val="00E406F8"/>
    <w:rsid w:val="00E40C4F"/>
    <w:rsid w:val="00E416F1"/>
    <w:rsid w:val="00E42312"/>
    <w:rsid w:val="00E42EE5"/>
    <w:rsid w:val="00E43009"/>
    <w:rsid w:val="00E43988"/>
    <w:rsid w:val="00E44A37"/>
    <w:rsid w:val="00E44D3C"/>
    <w:rsid w:val="00E44FD6"/>
    <w:rsid w:val="00E45CEE"/>
    <w:rsid w:val="00E46A08"/>
    <w:rsid w:val="00E46FB7"/>
    <w:rsid w:val="00E470D6"/>
    <w:rsid w:val="00E4724C"/>
    <w:rsid w:val="00E47852"/>
    <w:rsid w:val="00E50B85"/>
    <w:rsid w:val="00E5132B"/>
    <w:rsid w:val="00E527C8"/>
    <w:rsid w:val="00E5331E"/>
    <w:rsid w:val="00E537E9"/>
    <w:rsid w:val="00E53B96"/>
    <w:rsid w:val="00E54814"/>
    <w:rsid w:val="00E5508E"/>
    <w:rsid w:val="00E554A2"/>
    <w:rsid w:val="00E55682"/>
    <w:rsid w:val="00E5573F"/>
    <w:rsid w:val="00E56E0B"/>
    <w:rsid w:val="00E56F7B"/>
    <w:rsid w:val="00E57267"/>
    <w:rsid w:val="00E57505"/>
    <w:rsid w:val="00E57594"/>
    <w:rsid w:val="00E60E6C"/>
    <w:rsid w:val="00E61355"/>
    <w:rsid w:val="00E618AB"/>
    <w:rsid w:val="00E61906"/>
    <w:rsid w:val="00E6231A"/>
    <w:rsid w:val="00E6254C"/>
    <w:rsid w:val="00E62732"/>
    <w:rsid w:val="00E62B31"/>
    <w:rsid w:val="00E6350B"/>
    <w:rsid w:val="00E63863"/>
    <w:rsid w:val="00E647D4"/>
    <w:rsid w:val="00E6493A"/>
    <w:rsid w:val="00E6628F"/>
    <w:rsid w:val="00E66A08"/>
    <w:rsid w:val="00E66D97"/>
    <w:rsid w:val="00E701D8"/>
    <w:rsid w:val="00E70786"/>
    <w:rsid w:val="00E70873"/>
    <w:rsid w:val="00E70A62"/>
    <w:rsid w:val="00E711F6"/>
    <w:rsid w:val="00E713E0"/>
    <w:rsid w:val="00E713E4"/>
    <w:rsid w:val="00E71AC3"/>
    <w:rsid w:val="00E72930"/>
    <w:rsid w:val="00E72A47"/>
    <w:rsid w:val="00E72A52"/>
    <w:rsid w:val="00E72BB9"/>
    <w:rsid w:val="00E72CC1"/>
    <w:rsid w:val="00E72DFD"/>
    <w:rsid w:val="00E733E0"/>
    <w:rsid w:val="00E7354A"/>
    <w:rsid w:val="00E73631"/>
    <w:rsid w:val="00E73AEF"/>
    <w:rsid w:val="00E74601"/>
    <w:rsid w:val="00E74CE3"/>
    <w:rsid w:val="00E74DFF"/>
    <w:rsid w:val="00E750C0"/>
    <w:rsid w:val="00E751B9"/>
    <w:rsid w:val="00E75655"/>
    <w:rsid w:val="00E75D6C"/>
    <w:rsid w:val="00E7753A"/>
    <w:rsid w:val="00E77F29"/>
    <w:rsid w:val="00E806A5"/>
    <w:rsid w:val="00E82687"/>
    <w:rsid w:val="00E82BF7"/>
    <w:rsid w:val="00E82D8F"/>
    <w:rsid w:val="00E83671"/>
    <w:rsid w:val="00E838A5"/>
    <w:rsid w:val="00E84007"/>
    <w:rsid w:val="00E84124"/>
    <w:rsid w:val="00E84A02"/>
    <w:rsid w:val="00E85716"/>
    <w:rsid w:val="00E85CC3"/>
    <w:rsid w:val="00E868A8"/>
    <w:rsid w:val="00E86915"/>
    <w:rsid w:val="00E86D1E"/>
    <w:rsid w:val="00E87A26"/>
    <w:rsid w:val="00E90446"/>
    <w:rsid w:val="00E9056E"/>
    <w:rsid w:val="00E905CB"/>
    <w:rsid w:val="00E90C29"/>
    <w:rsid w:val="00E9101D"/>
    <w:rsid w:val="00E912EE"/>
    <w:rsid w:val="00E915E0"/>
    <w:rsid w:val="00E916AC"/>
    <w:rsid w:val="00E92230"/>
    <w:rsid w:val="00E923E3"/>
    <w:rsid w:val="00E92E9B"/>
    <w:rsid w:val="00E93091"/>
    <w:rsid w:val="00E93126"/>
    <w:rsid w:val="00E9412C"/>
    <w:rsid w:val="00E945ED"/>
    <w:rsid w:val="00E949EE"/>
    <w:rsid w:val="00E94DED"/>
    <w:rsid w:val="00E951A6"/>
    <w:rsid w:val="00E952B1"/>
    <w:rsid w:val="00E959A4"/>
    <w:rsid w:val="00E9702A"/>
    <w:rsid w:val="00EA39BF"/>
    <w:rsid w:val="00EA3AA0"/>
    <w:rsid w:val="00EA4366"/>
    <w:rsid w:val="00EA4572"/>
    <w:rsid w:val="00EA47D5"/>
    <w:rsid w:val="00EA53D8"/>
    <w:rsid w:val="00EA5869"/>
    <w:rsid w:val="00EA5F14"/>
    <w:rsid w:val="00EA6800"/>
    <w:rsid w:val="00EA6C9A"/>
    <w:rsid w:val="00EA6E5E"/>
    <w:rsid w:val="00EA74A8"/>
    <w:rsid w:val="00EB0120"/>
    <w:rsid w:val="00EB1816"/>
    <w:rsid w:val="00EB204E"/>
    <w:rsid w:val="00EB22A1"/>
    <w:rsid w:val="00EB2A00"/>
    <w:rsid w:val="00EB2E3C"/>
    <w:rsid w:val="00EB3647"/>
    <w:rsid w:val="00EB3964"/>
    <w:rsid w:val="00EB3C16"/>
    <w:rsid w:val="00EB3EE0"/>
    <w:rsid w:val="00EB49B8"/>
    <w:rsid w:val="00EB4FFA"/>
    <w:rsid w:val="00EB553F"/>
    <w:rsid w:val="00EB58B7"/>
    <w:rsid w:val="00EB594E"/>
    <w:rsid w:val="00EB5D04"/>
    <w:rsid w:val="00EB63A4"/>
    <w:rsid w:val="00EB657C"/>
    <w:rsid w:val="00EB677A"/>
    <w:rsid w:val="00EB69EF"/>
    <w:rsid w:val="00EB6BC7"/>
    <w:rsid w:val="00EB6DB2"/>
    <w:rsid w:val="00EB787C"/>
    <w:rsid w:val="00EB7E7B"/>
    <w:rsid w:val="00EC0056"/>
    <w:rsid w:val="00EC0402"/>
    <w:rsid w:val="00EC0A3E"/>
    <w:rsid w:val="00EC0E7F"/>
    <w:rsid w:val="00EC1DC8"/>
    <w:rsid w:val="00EC1FA2"/>
    <w:rsid w:val="00EC343F"/>
    <w:rsid w:val="00EC37CC"/>
    <w:rsid w:val="00EC3E78"/>
    <w:rsid w:val="00EC3FEA"/>
    <w:rsid w:val="00EC4691"/>
    <w:rsid w:val="00EC4FC5"/>
    <w:rsid w:val="00EC57FA"/>
    <w:rsid w:val="00EC5A43"/>
    <w:rsid w:val="00EC7121"/>
    <w:rsid w:val="00EC793C"/>
    <w:rsid w:val="00EC7980"/>
    <w:rsid w:val="00EC7C81"/>
    <w:rsid w:val="00ED144A"/>
    <w:rsid w:val="00ED149E"/>
    <w:rsid w:val="00ED15CE"/>
    <w:rsid w:val="00ED1CCA"/>
    <w:rsid w:val="00ED2144"/>
    <w:rsid w:val="00ED2243"/>
    <w:rsid w:val="00ED25CC"/>
    <w:rsid w:val="00ED2AEE"/>
    <w:rsid w:val="00ED3319"/>
    <w:rsid w:val="00ED3980"/>
    <w:rsid w:val="00ED4336"/>
    <w:rsid w:val="00ED4527"/>
    <w:rsid w:val="00ED5251"/>
    <w:rsid w:val="00ED53E3"/>
    <w:rsid w:val="00ED58D3"/>
    <w:rsid w:val="00ED6A16"/>
    <w:rsid w:val="00ED6BEC"/>
    <w:rsid w:val="00ED7524"/>
    <w:rsid w:val="00ED7D4B"/>
    <w:rsid w:val="00EE0632"/>
    <w:rsid w:val="00EE0CAB"/>
    <w:rsid w:val="00EE0DC6"/>
    <w:rsid w:val="00EE1298"/>
    <w:rsid w:val="00EE132D"/>
    <w:rsid w:val="00EE1A75"/>
    <w:rsid w:val="00EE1B97"/>
    <w:rsid w:val="00EE1D67"/>
    <w:rsid w:val="00EE2299"/>
    <w:rsid w:val="00EE29DD"/>
    <w:rsid w:val="00EE2B7C"/>
    <w:rsid w:val="00EE32A5"/>
    <w:rsid w:val="00EE468A"/>
    <w:rsid w:val="00EE52B5"/>
    <w:rsid w:val="00EE5B0E"/>
    <w:rsid w:val="00EE6FEF"/>
    <w:rsid w:val="00EE78FF"/>
    <w:rsid w:val="00EF0F51"/>
    <w:rsid w:val="00EF16EB"/>
    <w:rsid w:val="00EF227F"/>
    <w:rsid w:val="00EF2869"/>
    <w:rsid w:val="00EF2C7C"/>
    <w:rsid w:val="00EF2EB6"/>
    <w:rsid w:val="00EF33BB"/>
    <w:rsid w:val="00EF3500"/>
    <w:rsid w:val="00EF3F2A"/>
    <w:rsid w:val="00EF467A"/>
    <w:rsid w:val="00EF4EFF"/>
    <w:rsid w:val="00EF5063"/>
    <w:rsid w:val="00EF52DD"/>
    <w:rsid w:val="00EF59A6"/>
    <w:rsid w:val="00EF5A9F"/>
    <w:rsid w:val="00EF5B22"/>
    <w:rsid w:val="00EF6772"/>
    <w:rsid w:val="00F00403"/>
    <w:rsid w:val="00F005D6"/>
    <w:rsid w:val="00F0198F"/>
    <w:rsid w:val="00F01D7B"/>
    <w:rsid w:val="00F02114"/>
    <w:rsid w:val="00F038DE"/>
    <w:rsid w:val="00F03C41"/>
    <w:rsid w:val="00F0499D"/>
    <w:rsid w:val="00F04F9D"/>
    <w:rsid w:val="00F05418"/>
    <w:rsid w:val="00F06003"/>
    <w:rsid w:val="00F064D2"/>
    <w:rsid w:val="00F064FE"/>
    <w:rsid w:val="00F0687F"/>
    <w:rsid w:val="00F07DF4"/>
    <w:rsid w:val="00F1062F"/>
    <w:rsid w:val="00F1094E"/>
    <w:rsid w:val="00F10E0C"/>
    <w:rsid w:val="00F10E28"/>
    <w:rsid w:val="00F10EE2"/>
    <w:rsid w:val="00F12340"/>
    <w:rsid w:val="00F128E0"/>
    <w:rsid w:val="00F12A94"/>
    <w:rsid w:val="00F12D09"/>
    <w:rsid w:val="00F12F4D"/>
    <w:rsid w:val="00F1375C"/>
    <w:rsid w:val="00F13D23"/>
    <w:rsid w:val="00F15827"/>
    <w:rsid w:val="00F16525"/>
    <w:rsid w:val="00F172EB"/>
    <w:rsid w:val="00F17746"/>
    <w:rsid w:val="00F177B8"/>
    <w:rsid w:val="00F17AE7"/>
    <w:rsid w:val="00F17F1C"/>
    <w:rsid w:val="00F2018A"/>
    <w:rsid w:val="00F21234"/>
    <w:rsid w:val="00F2309A"/>
    <w:rsid w:val="00F2342B"/>
    <w:rsid w:val="00F23BCB"/>
    <w:rsid w:val="00F247B0"/>
    <w:rsid w:val="00F24C63"/>
    <w:rsid w:val="00F24C68"/>
    <w:rsid w:val="00F25720"/>
    <w:rsid w:val="00F25B1F"/>
    <w:rsid w:val="00F25B52"/>
    <w:rsid w:val="00F25BC4"/>
    <w:rsid w:val="00F26CB5"/>
    <w:rsid w:val="00F270D2"/>
    <w:rsid w:val="00F27584"/>
    <w:rsid w:val="00F2794D"/>
    <w:rsid w:val="00F27A29"/>
    <w:rsid w:val="00F27E80"/>
    <w:rsid w:val="00F30657"/>
    <w:rsid w:val="00F308FF"/>
    <w:rsid w:val="00F30B73"/>
    <w:rsid w:val="00F30BB4"/>
    <w:rsid w:val="00F311E1"/>
    <w:rsid w:val="00F31272"/>
    <w:rsid w:val="00F313F3"/>
    <w:rsid w:val="00F31472"/>
    <w:rsid w:val="00F31A79"/>
    <w:rsid w:val="00F31A9F"/>
    <w:rsid w:val="00F31B8C"/>
    <w:rsid w:val="00F32381"/>
    <w:rsid w:val="00F3278B"/>
    <w:rsid w:val="00F327D3"/>
    <w:rsid w:val="00F3293B"/>
    <w:rsid w:val="00F3333D"/>
    <w:rsid w:val="00F34A83"/>
    <w:rsid w:val="00F34B66"/>
    <w:rsid w:val="00F34F3A"/>
    <w:rsid w:val="00F3525A"/>
    <w:rsid w:val="00F36177"/>
    <w:rsid w:val="00F366A2"/>
    <w:rsid w:val="00F366FB"/>
    <w:rsid w:val="00F373B2"/>
    <w:rsid w:val="00F37577"/>
    <w:rsid w:val="00F37ACC"/>
    <w:rsid w:val="00F37BD4"/>
    <w:rsid w:val="00F40C64"/>
    <w:rsid w:val="00F41983"/>
    <w:rsid w:val="00F41E20"/>
    <w:rsid w:val="00F428A5"/>
    <w:rsid w:val="00F42B77"/>
    <w:rsid w:val="00F42C01"/>
    <w:rsid w:val="00F42C3B"/>
    <w:rsid w:val="00F43450"/>
    <w:rsid w:val="00F4538A"/>
    <w:rsid w:val="00F45404"/>
    <w:rsid w:val="00F45A7C"/>
    <w:rsid w:val="00F46454"/>
    <w:rsid w:val="00F466E8"/>
    <w:rsid w:val="00F46742"/>
    <w:rsid w:val="00F46896"/>
    <w:rsid w:val="00F47061"/>
    <w:rsid w:val="00F4711B"/>
    <w:rsid w:val="00F47602"/>
    <w:rsid w:val="00F47E7D"/>
    <w:rsid w:val="00F503A1"/>
    <w:rsid w:val="00F5045F"/>
    <w:rsid w:val="00F506F7"/>
    <w:rsid w:val="00F5193F"/>
    <w:rsid w:val="00F5316D"/>
    <w:rsid w:val="00F54279"/>
    <w:rsid w:val="00F54F3F"/>
    <w:rsid w:val="00F55BB1"/>
    <w:rsid w:val="00F55BF3"/>
    <w:rsid w:val="00F569AB"/>
    <w:rsid w:val="00F57D12"/>
    <w:rsid w:val="00F57EEA"/>
    <w:rsid w:val="00F57F71"/>
    <w:rsid w:val="00F6116F"/>
    <w:rsid w:val="00F63D56"/>
    <w:rsid w:val="00F64813"/>
    <w:rsid w:val="00F649AF"/>
    <w:rsid w:val="00F64DEE"/>
    <w:rsid w:val="00F64E87"/>
    <w:rsid w:val="00F653F3"/>
    <w:rsid w:val="00F6561E"/>
    <w:rsid w:val="00F66C16"/>
    <w:rsid w:val="00F67FF0"/>
    <w:rsid w:val="00F70039"/>
    <w:rsid w:val="00F7027E"/>
    <w:rsid w:val="00F70749"/>
    <w:rsid w:val="00F708E6"/>
    <w:rsid w:val="00F70FFC"/>
    <w:rsid w:val="00F7160D"/>
    <w:rsid w:val="00F721B3"/>
    <w:rsid w:val="00F725C4"/>
    <w:rsid w:val="00F72863"/>
    <w:rsid w:val="00F73DBD"/>
    <w:rsid w:val="00F744FB"/>
    <w:rsid w:val="00F748EC"/>
    <w:rsid w:val="00F74D92"/>
    <w:rsid w:val="00F75DBC"/>
    <w:rsid w:val="00F76002"/>
    <w:rsid w:val="00F7633E"/>
    <w:rsid w:val="00F76760"/>
    <w:rsid w:val="00F76AE9"/>
    <w:rsid w:val="00F76BB0"/>
    <w:rsid w:val="00F77A1E"/>
    <w:rsid w:val="00F80AD1"/>
    <w:rsid w:val="00F80D2F"/>
    <w:rsid w:val="00F8272D"/>
    <w:rsid w:val="00F82FA9"/>
    <w:rsid w:val="00F83297"/>
    <w:rsid w:val="00F83393"/>
    <w:rsid w:val="00F83571"/>
    <w:rsid w:val="00F839DE"/>
    <w:rsid w:val="00F83B57"/>
    <w:rsid w:val="00F83CF3"/>
    <w:rsid w:val="00F84590"/>
    <w:rsid w:val="00F84F15"/>
    <w:rsid w:val="00F85257"/>
    <w:rsid w:val="00F852F4"/>
    <w:rsid w:val="00F857A7"/>
    <w:rsid w:val="00F85B82"/>
    <w:rsid w:val="00F85F16"/>
    <w:rsid w:val="00F864CF"/>
    <w:rsid w:val="00F86752"/>
    <w:rsid w:val="00F907C7"/>
    <w:rsid w:val="00F90C83"/>
    <w:rsid w:val="00F90F8F"/>
    <w:rsid w:val="00F91619"/>
    <w:rsid w:val="00F91728"/>
    <w:rsid w:val="00F91C7E"/>
    <w:rsid w:val="00F92AC6"/>
    <w:rsid w:val="00F93B8D"/>
    <w:rsid w:val="00F94044"/>
    <w:rsid w:val="00F9414B"/>
    <w:rsid w:val="00F9665E"/>
    <w:rsid w:val="00F96EC8"/>
    <w:rsid w:val="00F96F00"/>
    <w:rsid w:val="00F976FA"/>
    <w:rsid w:val="00F97AFA"/>
    <w:rsid w:val="00F97C0E"/>
    <w:rsid w:val="00FA039E"/>
    <w:rsid w:val="00FA09B7"/>
    <w:rsid w:val="00FA163F"/>
    <w:rsid w:val="00FA2246"/>
    <w:rsid w:val="00FA22F0"/>
    <w:rsid w:val="00FA388A"/>
    <w:rsid w:val="00FA39FC"/>
    <w:rsid w:val="00FA3A46"/>
    <w:rsid w:val="00FA45AE"/>
    <w:rsid w:val="00FA48D4"/>
    <w:rsid w:val="00FA5009"/>
    <w:rsid w:val="00FA5097"/>
    <w:rsid w:val="00FA60C8"/>
    <w:rsid w:val="00FA6344"/>
    <w:rsid w:val="00FA65AD"/>
    <w:rsid w:val="00FA6857"/>
    <w:rsid w:val="00FA6A19"/>
    <w:rsid w:val="00FA6A71"/>
    <w:rsid w:val="00FA6E8C"/>
    <w:rsid w:val="00FA7519"/>
    <w:rsid w:val="00FA7BD7"/>
    <w:rsid w:val="00FB0134"/>
    <w:rsid w:val="00FB136B"/>
    <w:rsid w:val="00FB1894"/>
    <w:rsid w:val="00FB1C4A"/>
    <w:rsid w:val="00FB2146"/>
    <w:rsid w:val="00FB23F4"/>
    <w:rsid w:val="00FB2528"/>
    <w:rsid w:val="00FB26EB"/>
    <w:rsid w:val="00FB323A"/>
    <w:rsid w:val="00FB393D"/>
    <w:rsid w:val="00FB3C2E"/>
    <w:rsid w:val="00FB3CA1"/>
    <w:rsid w:val="00FB3DE6"/>
    <w:rsid w:val="00FB401D"/>
    <w:rsid w:val="00FB41AD"/>
    <w:rsid w:val="00FB4937"/>
    <w:rsid w:val="00FB4C5D"/>
    <w:rsid w:val="00FB5371"/>
    <w:rsid w:val="00FB5D6F"/>
    <w:rsid w:val="00FB63F6"/>
    <w:rsid w:val="00FB73B8"/>
    <w:rsid w:val="00FB7D46"/>
    <w:rsid w:val="00FB7F21"/>
    <w:rsid w:val="00FC0017"/>
    <w:rsid w:val="00FC0067"/>
    <w:rsid w:val="00FC03EB"/>
    <w:rsid w:val="00FC05AC"/>
    <w:rsid w:val="00FC1350"/>
    <w:rsid w:val="00FC1632"/>
    <w:rsid w:val="00FC2542"/>
    <w:rsid w:val="00FC297C"/>
    <w:rsid w:val="00FC30EE"/>
    <w:rsid w:val="00FC35F7"/>
    <w:rsid w:val="00FC3749"/>
    <w:rsid w:val="00FC44D0"/>
    <w:rsid w:val="00FC4786"/>
    <w:rsid w:val="00FC4DF4"/>
    <w:rsid w:val="00FC51F1"/>
    <w:rsid w:val="00FC6CE7"/>
    <w:rsid w:val="00FC7A0D"/>
    <w:rsid w:val="00FC7B02"/>
    <w:rsid w:val="00FD041C"/>
    <w:rsid w:val="00FD0716"/>
    <w:rsid w:val="00FD0968"/>
    <w:rsid w:val="00FD097C"/>
    <w:rsid w:val="00FD1C42"/>
    <w:rsid w:val="00FD1FB5"/>
    <w:rsid w:val="00FD210F"/>
    <w:rsid w:val="00FD2EE8"/>
    <w:rsid w:val="00FD2F7C"/>
    <w:rsid w:val="00FD360C"/>
    <w:rsid w:val="00FD369A"/>
    <w:rsid w:val="00FD36D7"/>
    <w:rsid w:val="00FD4299"/>
    <w:rsid w:val="00FD4488"/>
    <w:rsid w:val="00FD533E"/>
    <w:rsid w:val="00FD6496"/>
    <w:rsid w:val="00FD669C"/>
    <w:rsid w:val="00FD69BC"/>
    <w:rsid w:val="00FD7180"/>
    <w:rsid w:val="00FD738F"/>
    <w:rsid w:val="00FD74F5"/>
    <w:rsid w:val="00FD75C2"/>
    <w:rsid w:val="00FE0516"/>
    <w:rsid w:val="00FE149E"/>
    <w:rsid w:val="00FE1D7B"/>
    <w:rsid w:val="00FE1DD6"/>
    <w:rsid w:val="00FE20B2"/>
    <w:rsid w:val="00FE2C33"/>
    <w:rsid w:val="00FE2CC7"/>
    <w:rsid w:val="00FE39F8"/>
    <w:rsid w:val="00FE3B51"/>
    <w:rsid w:val="00FE4020"/>
    <w:rsid w:val="00FE427A"/>
    <w:rsid w:val="00FE48F3"/>
    <w:rsid w:val="00FE4E2B"/>
    <w:rsid w:val="00FE50CE"/>
    <w:rsid w:val="00FE589C"/>
    <w:rsid w:val="00FE58BB"/>
    <w:rsid w:val="00FE5A0D"/>
    <w:rsid w:val="00FE61B0"/>
    <w:rsid w:val="00FE6B3B"/>
    <w:rsid w:val="00FE6C1C"/>
    <w:rsid w:val="00FF0305"/>
    <w:rsid w:val="00FF05CF"/>
    <w:rsid w:val="00FF065F"/>
    <w:rsid w:val="00FF080D"/>
    <w:rsid w:val="00FF0C95"/>
    <w:rsid w:val="00FF0CDC"/>
    <w:rsid w:val="00FF1393"/>
    <w:rsid w:val="00FF1794"/>
    <w:rsid w:val="00FF179D"/>
    <w:rsid w:val="00FF17E1"/>
    <w:rsid w:val="00FF184B"/>
    <w:rsid w:val="00FF1863"/>
    <w:rsid w:val="00FF1E0B"/>
    <w:rsid w:val="00FF1EF0"/>
    <w:rsid w:val="00FF2E18"/>
    <w:rsid w:val="00FF3253"/>
    <w:rsid w:val="00FF335E"/>
    <w:rsid w:val="00FF3802"/>
    <w:rsid w:val="00FF3A3A"/>
    <w:rsid w:val="00FF3BC7"/>
    <w:rsid w:val="00FF3D14"/>
    <w:rsid w:val="00FF3FF3"/>
    <w:rsid w:val="00FF41EB"/>
    <w:rsid w:val="00FF4478"/>
    <w:rsid w:val="00FF5173"/>
    <w:rsid w:val="00FF599F"/>
    <w:rsid w:val="00FF5B57"/>
    <w:rsid w:val="00FF5D5A"/>
    <w:rsid w:val="00FF6AB3"/>
    <w:rsid w:val="00FF6F01"/>
    <w:rsid w:val="00FF7495"/>
    <w:rsid w:val="00FF7B65"/>
    <w:rsid w:val="00FF7E1A"/>
    <w:rsid w:val="011157CA"/>
    <w:rsid w:val="0111E3AD"/>
    <w:rsid w:val="0112629F"/>
    <w:rsid w:val="0113FC17"/>
    <w:rsid w:val="011C88D8"/>
    <w:rsid w:val="0123B2E3"/>
    <w:rsid w:val="012D54ED"/>
    <w:rsid w:val="0145CFB2"/>
    <w:rsid w:val="01486E1D"/>
    <w:rsid w:val="01515FE6"/>
    <w:rsid w:val="015E4549"/>
    <w:rsid w:val="0164EB1B"/>
    <w:rsid w:val="01665D94"/>
    <w:rsid w:val="017545E9"/>
    <w:rsid w:val="0175D20D"/>
    <w:rsid w:val="017AB4DA"/>
    <w:rsid w:val="0183D2BF"/>
    <w:rsid w:val="0184BA53"/>
    <w:rsid w:val="01871D28"/>
    <w:rsid w:val="01884157"/>
    <w:rsid w:val="018DEB17"/>
    <w:rsid w:val="018F6DD5"/>
    <w:rsid w:val="01A4367C"/>
    <w:rsid w:val="01A6E429"/>
    <w:rsid w:val="01AB3F99"/>
    <w:rsid w:val="01AD5581"/>
    <w:rsid w:val="01B025EB"/>
    <w:rsid w:val="01BC6EF9"/>
    <w:rsid w:val="01BD98AB"/>
    <w:rsid w:val="01C7ED32"/>
    <w:rsid w:val="01C9832C"/>
    <w:rsid w:val="01F09237"/>
    <w:rsid w:val="01F7CCB4"/>
    <w:rsid w:val="01FE867C"/>
    <w:rsid w:val="020490D1"/>
    <w:rsid w:val="0205ACB2"/>
    <w:rsid w:val="020F8952"/>
    <w:rsid w:val="021DFCCD"/>
    <w:rsid w:val="022FDFFF"/>
    <w:rsid w:val="023C7AAF"/>
    <w:rsid w:val="023F605F"/>
    <w:rsid w:val="0247E2C9"/>
    <w:rsid w:val="024D82F8"/>
    <w:rsid w:val="02515EB8"/>
    <w:rsid w:val="0256352B"/>
    <w:rsid w:val="02581A24"/>
    <w:rsid w:val="025DD815"/>
    <w:rsid w:val="026A4F25"/>
    <w:rsid w:val="0274C2C2"/>
    <w:rsid w:val="027512B2"/>
    <w:rsid w:val="028B79A3"/>
    <w:rsid w:val="028F814D"/>
    <w:rsid w:val="02995C60"/>
    <w:rsid w:val="02AFCCE1"/>
    <w:rsid w:val="02AFF212"/>
    <w:rsid w:val="02BA7030"/>
    <w:rsid w:val="02BD48F5"/>
    <w:rsid w:val="02C9B82C"/>
    <w:rsid w:val="02D254B9"/>
    <w:rsid w:val="02E5CABE"/>
    <w:rsid w:val="0303AAF1"/>
    <w:rsid w:val="03139830"/>
    <w:rsid w:val="03152261"/>
    <w:rsid w:val="031AA443"/>
    <w:rsid w:val="033271B6"/>
    <w:rsid w:val="034346D4"/>
    <w:rsid w:val="0343F443"/>
    <w:rsid w:val="034745B2"/>
    <w:rsid w:val="0358A48F"/>
    <w:rsid w:val="03741D1C"/>
    <w:rsid w:val="037762F0"/>
    <w:rsid w:val="0385E089"/>
    <w:rsid w:val="039258D7"/>
    <w:rsid w:val="0394B7B5"/>
    <w:rsid w:val="03AA2CA6"/>
    <w:rsid w:val="03B73DED"/>
    <w:rsid w:val="03BE5D59"/>
    <w:rsid w:val="03D807FF"/>
    <w:rsid w:val="03D9849C"/>
    <w:rsid w:val="03E24981"/>
    <w:rsid w:val="03F9C6B7"/>
    <w:rsid w:val="04007370"/>
    <w:rsid w:val="0403F68C"/>
    <w:rsid w:val="04259C00"/>
    <w:rsid w:val="0436D594"/>
    <w:rsid w:val="043BACFE"/>
    <w:rsid w:val="045999FA"/>
    <w:rsid w:val="045AFB0B"/>
    <w:rsid w:val="0460442A"/>
    <w:rsid w:val="046A928A"/>
    <w:rsid w:val="046C9C8B"/>
    <w:rsid w:val="04920815"/>
    <w:rsid w:val="049925C8"/>
    <w:rsid w:val="04AE7DC1"/>
    <w:rsid w:val="04B8770D"/>
    <w:rsid w:val="04C22F1C"/>
    <w:rsid w:val="04CE0185"/>
    <w:rsid w:val="04CE44F1"/>
    <w:rsid w:val="04D55806"/>
    <w:rsid w:val="04D5FE80"/>
    <w:rsid w:val="04E2EB5D"/>
    <w:rsid w:val="04EB5BB4"/>
    <w:rsid w:val="04F27859"/>
    <w:rsid w:val="04F64D2E"/>
    <w:rsid w:val="04F97296"/>
    <w:rsid w:val="04FA2FA9"/>
    <w:rsid w:val="0501B6B8"/>
    <w:rsid w:val="05115FDD"/>
    <w:rsid w:val="051242A8"/>
    <w:rsid w:val="0512CA4D"/>
    <w:rsid w:val="05198063"/>
    <w:rsid w:val="053432AD"/>
    <w:rsid w:val="053E5708"/>
    <w:rsid w:val="0542505B"/>
    <w:rsid w:val="05512E03"/>
    <w:rsid w:val="055665BE"/>
    <w:rsid w:val="0564A482"/>
    <w:rsid w:val="05652798"/>
    <w:rsid w:val="05779019"/>
    <w:rsid w:val="058577B8"/>
    <w:rsid w:val="059C33FD"/>
    <w:rsid w:val="059CFB00"/>
    <w:rsid w:val="05AB62D4"/>
    <w:rsid w:val="05AF2472"/>
    <w:rsid w:val="05B90BA4"/>
    <w:rsid w:val="05BB4A87"/>
    <w:rsid w:val="05BF4911"/>
    <w:rsid w:val="05DC6E6B"/>
    <w:rsid w:val="05DF83FE"/>
    <w:rsid w:val="05E2085F"/>
    <w:rsid w:val="05E7D08F"/>
    <w:rsid w:val="05EDB97E"/>
    <w:rsid w:val="05EF4673"/>
    <w:rsid w:val="05F57316"/>
    <w:rsid w:val="05F997B1"/>
    <w:rsid w:val="05FB2614"/>
    <w:rsid w:val="061F3CAE"/>
    <w:rsid w:val="062C218B"/>
    <w:rsid w:val="0632894B"/>
    <w:rsid w:val="0635E1B5"/>
    <w:rsid w:val="063759CB"/>
    <w:rsid w:val="0664672E"/>
    <w:rsid w:val="0670FA73"/>
    <w:rsid w:val="067A8119"/>
    <w:rsid w:val="068F30C9"/>
    <w:rsid w:val="0690EE00"/>
    <w:rsid w:val="06A85E36"/>
    <w:rsid w:val="06ADF68F"/>
    <w:rsid w:val="06B65798"/>
    <w:rsid w:val="06B6E94B"/>
    <w:rsid w:val="06BF4451"/>
    <w:rsid w:val="06C04258"/>
    <w:rsid w:val="06C3DD1D"/>
    <w:rsid w:val="06CAF47F"/>
    <w:rsid w:val="06D030C7"/>
    <w:rsid w:val="06DF44AD"/>
    <w:rsid w:val="06F19CA3"/>
    <w:rsid w:val="06FEF610"/>
    <w:rsid w:val="0701797D"/>
    <w:rsid w:val="0703ECF0"/>
    <w:rsid w:val="0716FDAF"/>
    <w:rsid w:val="07227C12"/>
    <w:rsid w:val="0725951D"/>
    <w:rsid w:val="0729FE13"/>
    <w:rsid w:val="07330375"/>
    <w:rsid w:val="07365ACB"/>
    <w:rsid w:val="075F9001"/>
    <w:rsid w:val="0761B057"/>
    <w:rsid w:val="07628A22"/>
    <w:rsid w:val="07638969"/>
    <w:rsid w:val="076D609F"/>
    <w:rsid w:val="076E4BE2"/>
    <w:rsid w:val="077D4BA5"/>
    <w:rsid w:val="078C57D4"/>
    <w:rsid w:val="078EAB5D"/>
    <w:rsid w:val="0799BFE6"/>
    <w:rsid w:val="079D9D29"/>
    <w:rsid w:val="07A5A379"/>
    <w:rsid w:val="07C8469D"/>
    <w:rsid w:val="07C8BB75"/>
    <w:rsid w:val="07CC0892"/>
    <w:rsid w:val="07CEA7B5"/>
    <w:rsid w:val="07CF111E"/>
    <w:rsid w:val="07D48FB1"/>
    <w:rsid w:val="07DA16B9"/>
    <w:rsid w:val="07E17B77"/>
    <w:rsid w:val="07E2A595"/>
    <w:rsid w:val="080EEF22"/>
    <w:rsid w:val="081A7B70"/>
    <w:rsid w:val="081C5884"/>
    <w:rsid w:val="082E0357"/>
    <w:rsid w:val="082F874A"/>
    <w:rsid w:val="0832748C"/>
    <w:rsid w:val="083860DE"/>
    <w:rsid w:val="083A7179"/>
    <w:rsid w:val="0852D6BA"/>
    <w:rsid w:val="08556116"/>
    <w:rsid w:val="0863B794"/>
    <w:rsid w:val="0864F3BF"/>
    <w:rsid w:val="086D51CE"/>
    <w:rsid w:val="0878369F"/>
    <w:rsid w:val="08813B5F"/>
    <w:rsid w:val="088225DE"/>
    <w:rsid w:val="0883056F"/>
    <w:rsid w:val="088334E0"/>
    <w:rsid w:val="08861977"/>
    <w:rsid w:val="088685BC"/>
    <w:rsid w:val="088A42AB"/>
    <w:rsid w:val="08917EE2"/>
    <w:rsid w:val="0894E6CB"/>
    <w:rsid w:val="089599F7"/>
    <w:rsid w:val="08A279CC"/>
    <w:rsid w:val="08A8555E"/>
    <w:rsid w:val="08B266DB"/>
    <w:rsid w:val="08BE25E8"/>
    <w:rsid w:val="08C2C1BC"/>
    <w:rsid w:val="08C7C7F8"/>
    <w:rsid w:val="08D4ADCE"/>
    <w:rsid w:val="08DB288A"/>
    <w:rsid w:val="08E4D266"/>
    <w:rsid w:val="08EB7CA5"/>
    <w:rsid w:val="08F0031F"/>
    <w:rsid w:val="09015FDD"/>
    <w:rsid w:val="0908C011"/>
    <w:rsid w:val="0919C151"/>
    <w:rsid w:val="0927AEA6"/>
    <w:rsid w:val="092C8531"/>
    <w:rsid w:val="0938E23E"/>
    <w:rsid w:val="093BEF3B"/>
    <w:rsid w:val="09487A66"/>
    <w:rsid w:val="0956B222"/>
    <w:rsid w:val="09573336"/>
    <w:rsid w:val="0965677C"/>
    <w:rsid w:val="09665541"/>
    <w:rsid w:val="096B2F37"/>
    <w:rsid w:val="09A1A50B"/>
    <w:rsid w:val="09A2E620"/>
    <w:rsid w:val="09A496C4"/>
    <w:rsid w:val="09A81C09"/>
    <w:rsid w:val="09A883EC"/>
    <w:rsid w:val="09B66DD1"/>
    <w:rsid w:val="09B78A32"/>
    <w:rsid w:val="09BAA96F"/>
    <w:rsid w:val="09C030E0"/>
    <w:rsid w:val="09C0C1BB"/>
    <w:rsid w:val="09C4964F"/>
    <w:rsid w:val="09E77E15"/>
    <w:rsid w:val="09F34CCC"/>
    <w:rsid w:val="09F88636"/>
    <w:rsid w:val="09FB7C24"/>
    <w:rsid w:val="0A1E94DB"/>
    <w:rsid w:val="0A1FBCDC"/>
    <w:rsid w:val="0A220898"/>
    <w:rsid w:val="0A282770"/>
    <w:rsid w:val="0A30DA64"/>
    <w:rsid w:val="0A3A6187"/>
    <w:rsid w:val="0A3A9C11"/>
    <w:rsid w:val="0A4B31F6"/>
    <w:rsid w:val="0A4DFB04"/>
    <w:rsid w:val="0A50D8CF"/>
    <w:rsid w:val="0A6F4408"/>
    <w:rsid w:val="0A6F6466"/>
    <w:rsid w:val="0A7A4D42"/>
    <w:rsid w:val="0A7F2C31"/>
    <w:rsid w:val="0A805D9A"/>
    <w:rsid w:val="0A94E178"/>
    <w:rsid w:val="0AA24BAE"/>
    <w:rsid w:val="0AA4CD30"/>
    <w:rsid w:val="0AA9F690"/>
    <w:rsid w:val="0AAE9461"/>
    <w:rsid w:val="0AB73AC0"/>
    <w:rsid w:val="0AC405E2"/>
    <w:rsid w:val="0AC6D54B"/>
    <w:rsid w:val="0AC87649"/>
    <w:rsid w:val="0ADD0A6C"/>
    <w:rsid w:val="0AE78F25"/>
    <w:rsid w:val="0AF82208"/>
    <w:rsid w:val="0AF9FA3A"/>
    <w:rsid w:val="0B026833"/>
    <w:rsid w:val="0B0B0ECC"/>
    <w:rsid w:val="0B18253C"/>
    <w:rsid w:val="0B18C0C6"/>
    <w:rsid w:val="0B196301"/>
    <w:rsid w:val="0B1F1598"/>
    <w:rsid w:val="0B39EE81"/>
    <w:rsid w:val="0B43CB5E"/>
    <w:rsid w:val="0B46E00D"/>
    <w:rsid w:val="0B508A79"/>
    <w:rsid w:val="0B6CC2C2"/>
    <w:rsid w:val="0B772436"/>
    <w:rsid w:val="0B9746A6"/>
    <w:rsid w:val="0B9807BC"/>
    <w:rsid w:val="0BB96CE3"/>
    <w:rsid w:val="0BC08240"/>
    <w:rsid w:val="0BCBB9F0"/>
    <w:rsid w:val="0BD6579D"/>
    <w:rsid w:val="0BD8021F"/>
    <w:rsid w:val="0C0678CD"/>
    <w:rsid w:val="0C091217"/>
    <w:rsid w:val="0C1B217C"/>
    <w:rsid w:val="0C1C095E"/>
    <w:rsid w:val="0C27374C"/>
    <w:rsid w:val="0C275E71"/>
    <w:rsid w:val="0C3A77F4"/>
    <w:rsid w:val="0C487D9E"/>
    <w:rsid w:val="0C4F5A03"/>
    <w:rsid w:val="0C516306"/>
    <w:rsid w:val="0C56283B"/>
    <w:rsid w:val="0C7BF06B"/>
    <w:rsid w:val="0CAD3E5E"/>
    <w:rsid w:val="0CB98D47"/>
    <w:rsid w:val="0CD1AE41"/>
    <w:rsid w:val="0CE482F3"/>
    <w:rsid w:val="0D06CA91"/>
    <w:rsid w:val="0D1FA93D"/>
    <w:rsid w:val="0D2EA56A"/>
    <w:rsid w:val="0D324AC1"/>
    <w:rsid w:val="0D331C7F"/>
    <w:rsid w:val="0D4091E7"/>
    <w:rsid w:val="0D41E5EF"/>
    <w:rsid w:val="0D5989B8"/>
    <w:rsid w:val="0D5E137B"/>
    <w:rsid w:val="0D61FC71"/>
    <w:rsid w:val="0D6234C1"/>
    <w:rsid w:val="0D688FA8"/>
    <w:rsid w:val="0D6B533A"/>
    <w:rsid w:val="0D6BA42C"/>
    <w:rsid w:val="0D6BB782"/>
    <w:rsid w:val="0D767FDC"/>
    <w:rsid w:val="0D875CF7"/>
    <w:rsid w:val="0D93E830"/>
    <w:rsid w:val="0DA8380D"/>
    <w:rsid w:val="0DB68E85"/>
    <w:rsid w:val="0DBA44EE"/>
    <w:rsid w:val="0DCC24EC"/>
    <w:rsid w:val="0DD99BE0"/>
    <w:rsid w:val="0DED4655"/>
    <w:rsid w:val="0DF0C202"/>
    <w:rsid w:val="0DF5066F"/>
    <w:rsid w:val="0E086FB5"/>
    <w:rsid w:val="0E1145A1"/>
    <w:rsid w:val="0E19E965"/>
    <w:rsid w:val="0E1B3A07"/>
    <w:rsid w:val="0E377EC2"/>
    <w:rsid w:val="0E3DDD94"/>
    <w:rsid w:val="0E565EB0"/>
    <w:rsid w:val="0E5ECDB8"/>
    <w:rsid w:val="0E65FA60"/>
    <w:rsid w:val="0E72DF23"/>
    <w:rsid w:val="0E792B12"/>
    <w:rsid w:val="0E9A9B17"/>
    <w:rsid w:val="0E9D725A"/>
    <w:rsid w:val="0EA4483B"/>
    <w:rsid w:val="0EB20D43"/>
    <w:rsid w:val="0EC15A58"/>
    <w:rsid w:val="0EC4312F"/>
    <w:rsid w:val="0ECC540B"/>
    <w:rsid w:val="0ECEFE35"/>
    <w:rsid w:val="0ED4D6FC"/>
    <w:rsid w:val="0ED5D5C6"/>
    <w:rsid w:val="0EE23AE8"/>
    <w:rsid w:val="0EE3AC93"/>
    <w:rsid w:val="0EF08693"/>
    <w:rsid w:val="0EF7D2EC"/>
    <w:rsid w:val="0F0AEA31"/>
    <w:rsid w:val="0F15BD3E"/>
    <w:rsid w:val="0F2DB19C"/>
    <w:rsid w:val="0F2F9790"/>
    <w:rsid w:val="0F3EE481"/>
    <w:rsid w:val="0F42A62A"/>
    <w:rsid w:val="0F4E93C9"/>
    <w:rsid w:val="0F5FC81B"/>
    <w:rsid w:val="0F60DC41"/>
    <w:rsid w:val="0F63AE9A"/>
    <w:rsid w:val="0F6C08E9"/>
    <w:rsid w:val="0F6E0F4D"/>
    <w:rsid w:val="0F890F18"/>
    <w:rsid w:val="0F8BCCA7"/>
    <w:rsid w:val="0F9280D6"/>
    <w:rsid w:val="0F9660D7"/>
    <w:rsid w:val="0FA4DC78"/>
    <w:rsid w:val="0FA6E4DE"/>
    <w:rsid w:val="0FADA68C"/>
    <w:rsid w:val="0FADC9CF"/>
    <w:rsid w:val="0FB09F2B"/>
    <w:rsid w:val="0FB52B11"/>
    <w:rsid w:val="0FB655FF"/>
    <w:rsid w:val="0FC402C2"/>
    <w:rsid w:val="0FC79280"/>
    <w:rsid w:val="0FD8EABF"/>
    <w:rsid w:val="0FDFDDF7"/>
    <w:rsid w:val="0FE2C854"/>
    <w:rsid w:val="0FE420E9"/>
    <w:rsid w:val="0FF21967"/>
    <w:rsid w:val="0FFA416B"/>
    <w:rsid w:val="102305E7"/>
    <w:rsid w:val="103C93C7"/>
    <w:rsid w:val="103D2FF7"/>
    <w:rsid w:val="103EA794"/>
    <w:rsid w:val="104CB02E"/>
    <w:rsid w:val="1055536E"/>
    <w:rsid w:val="10616DF0"/>
    <w:rsid w:val="1062A1F6"/>
    <w:rsid w:val="10695DEC"/>
    <w:rsid w:val="106D1911"/>
    <w:rsid w:val="1070029E"/>
    <w:rsid w:val="10732610"/>
    <w:rsid w:val="107D34A6"/>
    <w:rsid w:val="108B9607"/>
    <w:rsid w:val="1095620C"/>
    <w:rsid w:val="109E4F98"/>
    <w:rsid w:val="10A2281C"/>
    <w:rsid w:val="10A6D63C"/>
    <w:rsid w:val="10AED644"/>
    <w:rsid w:val="10BC1F79"/>
    <w:rsid w:val="10C40A8B"/>
    <w:rsid w:val="10D6AFE1"/>
    <w:rsid w:val="10E73877"/>
    <w:rsid w:val="10F1D77C"/>
    <w:rsid w:val="1104687A"/>
    <w:rsid w:val="111FDE3D"/>
    <w:rsid w:val="11252329"/>
    <w:rsid w:val="11270297"/>
    <w:rsid w:val="1150B419"/>
    <w:rsid w:val="1175AF4D"/>
    <w:rsid w:val="118B066E"/>
    <w:rsid w:val="118DB799"/>
    <w:rsid w:val="119CA8EF"/>
    <w:rsid w:val="11A1D3F2"/>
    <w:rsid w:val="11AABF76"/>
    <w:rsid w:val="11AF966C"/>
    <w:rsid w:val="11B10876"/>
    <w:rsid w:val="11B113DA"/>
    <w:rsid w:val="11C379E3"/>
    <w:rsid w:val="11E9BCAE"/>
    <w:rsid w:val="11F087FE"/>
    <w:rsid w:val="11F36201"/>
    <w:rsid w:val="12258632"/>
    <w:rsid w:val="1227DD24"/>
    <w:rsid w:val="12285E3F"/>
    <w:rsid w:val="122CE9E5"/>
    <w:rsid w:val="122DA25A"/>
    <w:rsid w:val="1242D01E"/>
    <w:rsid w:val="1243FE08"/>
    <w:rsid w:val="12488D01"/>
    <w:rsid w:val="124C1340"/>
    <w:rsid w:val="12584002"/>
    <w:rsid w:val="126277FC"/>
    <w:rsid w:val="12634C16"/>
    <w:rsid w:val="12783099"/>
    <w:rsid w:val="127A1F7E"/>
    <w:rsid w:val="127E1D89"/>
    <w:rsid w:val="127EC06F"/>
    <w:rsid w:val="1282E136"/>
    <w:rsid w:val="12842BAD"/>
    <w:rsid w:val="128784D3"/>
    <w:rsid w:val="129D4F39"/>
    <w:rsid w:val="12B64C6F"/>
    <w:rsid w:val="12BEFCB4"/>
    <w:rsid w:val="12EB8C26"/>
    <w:rsid w:val="13071A39"/>
    <w:rsid w:val="1328FBA9"/>
    <w:rsid w:val="13363AD6"/>
    <w:rsid w:val="1345C15D"/>
    <w:rsid w:val="1346A279"/>
    <w:rsid w:val="1351D0D9"/>
    <w:rsid w:val="1354BCF5"/>
    <w:rsid w:val="135C2072"/>
    <w:rsid w:val="13686026"/>
    <w:rsid w:val="1375F50C"/>
    <w:rsid w:val="1379478A"/>
    <w:rsid w:val="137C9DE7"/>
    <w:rsid w:val="13863724"/>
    <w:rsid w:val="13889F88"/>
    <w:rsid w:val="139D133C"/>
    <w:rsid w:val="13B0257A"/>
    <w:rsid w:val="13BA28F4"/>
    <w:rsid w:val="13BEEF8F"/>
    <w:rsid w:val="13D7B1D5"/>
    <w:rsid w:val="13E85C7E"/>
    <w:rsid w:val="13F210C6"/>
    <w:rsid w:val="14168741"/>
    <w:rsid w:val="141CC751"/>
    <w:rsid w:val="14236BF4"/>
    <w:rsid w:val="14246A4A"/>
    <w:rsid w:val="1439CF67"/>
    <w:rsid w:val="1441A0A2"/>
    <w:rsid w:val="1471A6AA"/>
    <w:rsid w:val="147A1BC3"/>
    <w:rsid w:val="147A8028"/>
    <w:rsid w:val="147C1B69"/>
    <w:rsid w:val="148D41D3"/>
    <w:rsid w:val="149AAD85"/>
    <w:rsid w:val="14AE56AA"/>
    <w:rsid w:val="14BBB53A"/>
    <w:rsid w:val="14C386A1"/>
    <w:rsid w:val="14C402AA"/>
    <w:rsid w:val="14D70B38"/>
    <w:rsid w:val="14DDD217"/>
    <w:rsid w:val="14DE00A0"/>
    <w:rsid w:val="14E1010A"/>
    <w:rsid w:val="14E61CF0"/>
    <w:rsid w:val="14F474E5"/>
    <w:rsid w:val="14F6BD17"/>
    <w:rsid w:val="14F7D8DD"/>
    <w:rsid w:val="1506EA49"/>
    <w:rsid w:val="15072CC5"/>
    <w:rsid w:val="151ADD9D"/>
    <w:rsid w:val="151E8575"/>
    <w:rsid w:val="152380E3"/>
    <w:rsid w:val="1526D966"/>
    <w:rsid w:val="1534F50C"/>
    <w:rsid w:val="153ED7E8"/>
    <w:rsid w:val="154DC9A5"/>
    <w:rsid w:val="154F3DF9"/>
    <w:rsid w:val="155B708A"/>
    <w:rsid w:val="155C7BC4"/>
    <w:rsid w:val="155D8DE5"/>
    <w:rsid w:val="15616259"/>
    <w:rsid w:val="15681C71"/>
    <w:rsid w:val="15767706"/>
    <w:rsid w:val="15769586"/>
    <w:rsid w:val="1584DDFC"/>
    <w:rsid w:val="15855D0F"/>
    <w:rsid w:val="1588C4EB"/>
    <w:rsid w:val="1594CA00"/>
    <w:rsid w:val="159DD462"/>
    <w:rsid w:val="15AAFE9C"/>
    <w:rsid w:val="15BDF541"/>
    <w:rsid w:val="15BFAD3B"/>
    <w:rsid w:val="15C57E2A"/>
    <w:rsid w:val="15CB8C2F"/>
    <w:rsid w:val="15DEC323"/>
    <w:rsid w:val="15E1B18C"/>
    <w:rsid w:val="15E936A1"/>
    <w:rsid w:val="15EC5748"/>
    <w:rsid w:val="15F39A72"/>
    <w:rsid w:val="15F80A71"/>
    <w:rsid w:val="15F924CF"/>
    <w:rsid w:val="160095FA"/>
    <w:rsid w:val="1604CF8B"/>
    <w:rsid w:val="160999B0"/>
    <w:rsid w:val="160EE704"/>
    <w:rsid w:val="1621F76C"/>
    <w:rsid w:val="163263F7"/>
    <w:rsid w:val="163B5779"/>
    <w:rsid w:val="163BFDDD"/>
    <w:rsid w:val="1640ADF8"/>
    <w:rsid w:val="1643D182"/>
    <w:rsid w:val="16441CCE"/>
    <w:rsid w:val="1647B14A"/>
    <w:rsid w:val="16480158"/>
    <w:rsid w:val="1665F3C0"/>
    <w:rsid w:val="166B202F"/>
    <w:rsid w:val="1673F056"/>
    <w:rsid w:val="16807B02"/>
    <w:rsid w:val="1688BA60"/>
    <w:rsid w:val="16B428E6"/>
    <w:rsid w:val="16B76B78"/>
    <w:rsid w:val="16BB5EC4"/>
    <w:rsid w:val="16C0D0C9"/>
    <w:rsid w:val="16CBDDE0"/>
    <w:rsid w:val="16E2CA26"/>
    <w:rsid w:val="16E4AC47"/>
    <w:rsid w:val="16E707AF"/>
    <w:rsid w:val="16EB2AD1"/>
    <w:rsid w:val="17031F39"/>
    <w:rsid w:val="1706EA02"/>
    <w:rsid w:val="170A06E3"/>
    <w:rsid w:val="1722D4C4"/>
    <w:rsid w:val="172FD367"/>
    <w:rsid w:val="17336269"/>
    <w:rsid w:val="17478DD2"/>
    <w:rsid w:val="174B935F"/>
    <w:rsid w:val="1756CE3E"/>
    <w:rsid w:val="175DFEB4"/>
    <w:rsid w:val="176140D6"/>
    <w:rsid w:val="176A5912"/>
    <w:rsid w:val="176AEFFC"/>
    <w:rsid w:val="176B7646"/>
    <w:rsid w:val="1779D420"/>
    <w:rsid w:val="1792D2FF"/>
    <w:rsid w:val="1795DC57"/>
    <w:rsid w:val="179C000B"/>
    <w:rsid w:val="179EA8BB"/>
    <w:rsid w:val="17A9DE85"/>
    <w:rsid w:val="17AC599F"/>
    <w:rsid w:val="17AC802A"/>
    <w:rsid w:val="17B231D4"/>
    <w:rsid w:val="17BBECCA"/>
    <w:rsid w:val="17C031D1"/>
    <w:rsid w:val="17CF61D5"/>
    <w:rsid w:val="17D27605"/>
    <w:rsid w:val="17D2E45F"/>
    <w:rsid w:val="17D401F1"/>
    <w:rsid w:val="17DF14AF"/>
    <w:rsid w:val="17E90597"/>
    <w:rsid w:val="17EC84E1"/>
    <w:rsid w:val="17ECCD7C"/>
    <w:rsid w:val="17F9571A"/>
    <w:rsid w:val="1802AE00"/>
    <w:rsid w:val="1805BB23"/>
    <w:rsid w:val="18465253"/>
    <w:rsid w:val="184704D1"/>
    <w:rsid w:val="186AF696"/>
    <w:rsid w:val="1879C40F"/>
    <w:rsid w:val="1883C47A"/>
    <w:rsid w:val="18864B6A"/>
    <w:rsid w:val="18886155"/>
    <w:rsid w:val="188CABEB"/>
    <w:rsid w:val="188CD146"/>
    <w:rsid w:val="189C0471"/>
    <w:rsid w:val="189E97C8"/>
    <w:rsid w:val="18A135DC"/>
    <w:rsid w:val="18ADD171"/>
    <w:rsid w:val="18AFAACA"/>
    <w:rsid w:val="18B7F9F4"/>
    <w:rsid w:val="18C036E8"/>
    <w:rsid w:val="18C2C396"/>
    <w:rsid w:val="18D24C1D"/>
    <w:rsid w:val="18E6974A"/>
    <w:rsid w:val="18E8B3D2"/>
    <w:rsid w:val="18EA4907"/>
    <w:rsid w:val="18EF0926"/>
    <w:rsid w:val="18F13A37"/>
    <w:rsid w:val="18FA8AA8"/>
    <w:rsid w:val="190570C5"/>
    <w:rsid w:val="190A80E0"/>
    <w:rsid w:val="190E957D"/>
    <w:rsid w:val="190EE554"/>
    <w:rsid w:val="19151289"/>
    <w:rsid w:val="19265C9C"/>
    <w:rsid w:val="19273B51"/>
    <w:rsid w:val="193383B8"/>
    <w:rsid w:val="1937ABFF"/>
    <w:rsid w:val="1937FE50"/>
    <w:rsid w:val="193D5C6A"/>
    <w:rsid w:val="19412505"/>
    <w:rsid w:val="194512F6"/>
    <w:rsid w:val="194FA938"/>
    <w:rsid w:val="1954BF69"/>
    <w:rsid w:val="1964B84C"/>
    <w:rsid w:val="1968929A"/>
    <w:rsid w:val="1970C7D0"/>
    <w:rsid w:val="1987774E"/>
    <w:rsid w:val="1998CA9E"/>
    <w:rsid w:val="19AAC4F8"/>
    <w:rsid w:val="19B8CD0E"/>
    <w:rsid w:val="19B94797"/>
    <w:rsid w:val="19C347DF"/>
    <w:rsid w:val="19D2C63F"/>
    <w:rsid w:val="19D87C7C"/>
    <w:rsid w:val="19E98826"/>
    <w:rsid w:val="19ECF531"/>
    <w:rsid w:val="19EDE90D"/>
    <w:rsid w:val="19EE39FD"/>
    <w:rsid w:val="1A08D1AE"/>
    <w:rsid w:val="1A0F54A6"/>
    <w:rsid w:val="1A183BD6"/>
    <w:rsid w:val="1A1A58BB"/>
    <w:rsid w:val="1A1B8F90"/>
    <w:rsid w:val="1A1EF63A"/>
    <w:rsid w:val="1A289E55"/>
    <w:rsid w:val="1A2F17D0"/>
    <w:rsid w:val="1A3FDD66"/>
    <w:rsid w:val="1A43EF31"/>
    <w:rsid w:val="1A46A450"/>
    <w:rsid w:val="1A4ACA7F"/>
    <w:rsid w:val="1A503268"/>
    <w:rsid w:val="1A67FF80"/>
    <w:rsid w:val="1A6EC6DF"/>
    <w:rsid w:val="1A7ABEAF"/>
    <w:rsid w:val="1A7C40AB"/>
    <w:rsid w:val="1A7CCC60"/>
    <w:rsid w:val="1A805864"/>
    <w:rsid w:val="1A81F6DA"/>
    <w:rsid w:val="1A9BCED2"/>
    <w:rsid w:val="1AB84E63"/>
    <w:rsid w:val="1ABDF182"/>
    <w:rsid w:val="1ABE72C1"/>
    <w:rsid w:val="1AC51BC6"/>
    <w:rsid w:val="1ACD9938"/>
    <w:rsid w:val="1AD02E80"/>
    <w:rsid w:val="1AD0B396"/>
    <w:rsid w:val="1ADF5DC2"/>
    <w:rsid w:val="1AE7B97F"/>
    <w:rsid w:val="1AE7C517"/>
    <w:rsid w:val="1AFF65A4"/>
    <w:rsid w:val="1B03EFFE"/>
    <w:rsid w:val="1B0ED5B1"/>
    <w:rsid w:val="1B11831C"/>
    <w:rsid w:val="1B197FB5"/>
    <w:rsid w:val="1B20970F"/>
    <w:rsid w:val="1B225B92"/>
    <w:rsid w:val="1B2979A5"/>
    <w:rsid w:val="1B2DC702"/>
    <w:rsid w:val="1B333427"/>
    <w:rsid w:val="1B36CE9E"/>
    <w:rsid w:val="1B3E6157"/>
    <w:rsid w:val="1B403C86"/>
    <w:rsid w:val="1B446755"/>
    <w:rsid w:val="1B4A530B"/>
    <w:rsid w:val="1B52FF19"/>
    <w:rsid w:val="1B553228"/>
    <w:rsid w:val="1B5675D0"/>
    <w:rsid w:val="1B6048BA"/>
    <w:rsid w:val="1B76DCEC"/>
    <w:rsid w:val="1B842799"/>
    <w:rsid w:val="1B86994F"/>
    <w:rsid w:val="1B8D4E25"/>
    <w:rsid w:val="1B97CB5D"/>
    <w:rsid w:val="1BA2B4CF"/>
    <w:rsid w:val="1BB51C1A"/>
    <w:rsid w:val="1BC33719"/>
    <w:rsid w:val="1BE2CFE6"/>
    <w:rsid w:val="1BE49E4E"/>
    <w:rsid w:val="1BE5C063"/>
    <w:rsid w:val="1BEBC457"/>
    <w:rsid w:val="1BEF097C"/>
    <w:rsid w:val="1BF24CE5"/>
    <w:rsid w:val="1BF32BF7"/>
    <w:rsid w:val="1BFC80C0"/>
    <w:rsid w:val="1C049527"/>
    <w:rsid w:val="1C12E189"/>
    <w:rsid w:val="1C1C194E"/>
    <w:rsid w:val="1C22740E"/>
    <w:rsid w:val="1C29B671"/>
    <w:rsid w:val="1C30CE53"/>
    <w:rsid w:val="1C32B844"/>
    <w:rsid w:val="1C3C4FD9"/>
    <w:rsid w:val="1C485229"/>
    <w:rsid w:val="1C7C0E49"/>
    <w:rsid w:val="1C9ACF4E"/>
    <w:rsid w:val="1C9CA1CD"/>
    <w:rsid w:val="1CC1D6A7"/>
    <w:rsid w:val="1CCC583C"/>
    <w:rsid w:val="1CD004B9"/>
    <w:rsid w:val="1CE62EF9"/>
    <w:rsid w:val="1CEB2062"/>
    <w:rsid w:val="1CF34831"/>
    <w:rsid w:val="1CF3DFB8"/>
    <w:rsid w:val="1CF99BA1"/>
    <w:rsid w:val="1CFBFB5F"/>
    <w:rsid w:val="1D00261D"/>
    <w:rsid w:val="1D05869C"/>
    <w:rsid w:val="1D1DD50E"/>
    <w:rsid w:val="1D20254C"/>
    <w:rsid w:val="1D24745C"/>
    <w:rsid w:val="1D29CC82"/>
    <w:rsid w:val="1D2E217B"/>
    <w:rsid w:val="1D36A079"/>
    <w:rsid w:val="1D4D2018"/>
    <w:rsid w:val="1D5D7D1D"/>
    <w:rsid w:val="1D6164FA"/>
    <w:rsid w:val="1D6769DF"/>
    <w:rsid w:val="1D67D257"/>
    <w:rsid w:val="1D687ACF"/>
    <w:rsid w:val="1D6B7D47"/>
    <w:rsid w:val="1D7A4E68"/>
    <w:rsid w:val="1D7ACF30"/>
    <w:rsid w:val="1D86C04E"/>
    <w:rsid w:val="1D9468B4"/>
    <w:rsid w:val="1D97BF31"/>
    <w:rsid w:val="1D9DBFC5"/>
    <w:rsid w:val="1D9FADD9"/>
    <w:rsid w:val="1DAC3825"/>
    <w:rsid w:val="1DB17D0C"/>
    <w:rsid w:val="1DB58914"/>
    <w:rsid w:val="1DE932AB"/>
    <w:rsid w:val="1DED1282"/>
    <w:rsid w:val="1DF4F80A"/>
    <w:rsid w:val="1DFB1061"/>
    <w:rsid w:val="1E04993B"/>
    <w:rsid w:val="1E08308F"/>
    <w:rsid w:val="1E0940C2"/>
    <w:rsid w:val="1E10C093"/>
    <w:rsid w:val="1E14C479"/>
    <w:rsid w:val="1E19D4C1"/>
    <w:rsid w:val="1E25EEF4"/>
    <w:rsid w:val="1E2799CF"/>
    <w:rsid w:val="1E29210A"/>
    <w:rsid w:val="1E2DDA85"/>
    <w:rsid w:val="1E3C5A07"/>
    <w:rsid w:val="1E3D9FF5"/>
    <w:rsid w:val="1E46C4B7"/>
    <w:rsid w:val="1E61943E"/>
    <w:rsid w:val="1E626075"/>
    <w:rsid w:val="1E62AB3F"/>
    <w:rsid w:val="1E656992"/>
    <w:rsid w:val="1E6A767C"/>
    <w:rsid w:val="1E8D1140"/>
    <w:rsid w:val="1E93BA8B"/>
    <w:rsid w:val="1EA05628"/>
    <w:rsid w:val="1EA30617"/>
    <w:rsid w:val="1EA64AAC"/>
    <w:rsid w:val="1EB5883E"/>
    <w:rsid w:val="1ECEC602"/>
    <w:rsid w:val="1ED2F86B"/>
    <w:rsid w:val="1EDE4337"/>
    <w:rsid w:val="1EE5A6F8"/>
    <w:rsid w:val="1EE8ADBE"/>
    <w:rsid w:val="1EF1C0FA"/>
    <w:rsid w:val="1EF9C9D9"/>
    <w:rsid w:val="1EFA4984"/>
    <w:rsid w:val="1EFBC259"/>
    <w:rsid w:val="1F14FFF8"/>
    <w:rsid w:val="1F2CCA18"/>
    <w:rsid w:val="1F56758E"/>
    <w:rsid w:val="1F69EF18"/>
    <w:rsid w:val="1F71EE2B"/>
    <w:rsid w:val="1F7AA2C4"/>
    <w:rsid w:val="1F7C962A"/>
    <w:rsid w:val="1F84C675"/>
    <w:rsid w:val="1F8FDD56"/>
    <w:rsid w:val="1F9465E7"/>
    <w:rsid w:val="1F94F7C9"/>
    <w:rsid w:val="1F951BE0"/>
    <w:rsid w:val="1F9972C5"/>
    <w:rsid w:val="1F9CD1CF"/>
    <w:rsid w:val="1FAD65E8"/>
    <w:rsid w:val="1FB3587C"/>
    <w:rsid w:val="1FB9EE6D"/>
    <w:rsid w:val="1FBD2D8E"/>
    <w:rsid w:val="1FBF301F"/>
    <w:rsid w:val="1FC7741E"/>
    <w:rsid w:val="1FC9CEC7"/>
    <w:rsid w:val="1FD80E3B"/>
    <w:rsid w:val="1FDA77E4"/>
    <w:rsid w:val="1FDDBFED"/>
    <w:rsid w:val="1FE454C8"/>
    <w:rsid w:val="1FE7418A"/>
    <w:rsid w:val="1FEC82CF"/>
    <w:rsid w:val="1FF3E8A0"/>
    <w:rsid w:val="2001C031"/>
    <w:rsid w:val="2001C79F"/>
    <w:rsid w:val="200852A3"/>
    <w:rsid w:val="2008FC94"/>
    <w:rsid w:val="2011491E"/>
    <w:rsid w:val="201D2C41"/>
    <w:rsid w:val="202A9864"/>
    <w:rsid w:val="202CD003"/>
    <w:rsid w:val="203B5F0A"/>
    <w:rsid w:val="204BC518"/>
    <w:rsid w:val="2056A1A5"/>
    <w:rsid w:val="205CE89A"/>
    <w:rsid w:val="20695E62"/>
    <w:rsid w:val="207451FE"/>
    <w:rsid w:val="2075C5BA"/>
    <w:rsid w:val="2078279B"/>
    <w:rsid w:val="207BA3BC"/>
    <w:rsid w:val="2088A643"/>
    <w:rsid w:val="208B619E"/>
    <w:rsid w:val="209E3984"/>
    <w:rsid w:val="20A4D5E3"/>
    <w:rsid w:val="20AC5424"/>
    <w:rsid w:val="20B73189"/>
    <w:rsid w:val="20C441C5"/>
    <w:rsid w:val="20CD57CD"/>
    <w:rsid w:val="20D04D16"/>
    <w:rsid w:val="20D2CA69"/>
    <w:rsid w:val="20D30365"/>
    <w:rsid w:val="20E34D3F"/>
    <w:rsid w:val="20FD94D7"/>
    <w:rsid w:val="20FF531E"/>
    <w:rsid w:val="2109FE66"/>
    <w:rsid w:val="2111779C"/>
    <w:rsid w:val="2115C08F"/>
    <w:rsid w:val="2118E4AE"/>
    <w:rsid w:val="2118E5C3"/>
    <w:rsid w:val="213443E4"/>
    <w:rsid w:val="214797C8"/>
    <w:rsid w:val="215DBE2F"/>
    <w:rsid w:val="2161F974"/>
    <w:rsid w:val="219C2469"/>
    <w:rsid w:val="21A55B9A"/>
    <w:rsid w:val="21B6F03A"/>
    <w:rsid w:val="21B94AF4"/>
    <w:rsid w:val="21C33559"/>
    <w:rsid w:val="21C7657C"/>
    <w:rsid w:val="21C88CD7"/>
    <w:rsid w:val="21CE400F"/>
    <w:rsid w:val="21D46574"/>
    <w:rsid w:val="21D6AF7A"/>
    <w:rsid w:val="21E692A9"/>
    <w:rsid w:val="21F7C743"/>
    <w:rsid w:val="21F8685B"/>
    <w:rsid w:val="21FE5761"/>
    <w:rsid w:val="21FF2A8E"/>
    <w:rsid w:val="220803F8"/>
    <w:rsid w:val="220B43DF"/>
    <w:rsid w:val="22172469"/>
    <w:rsid w:val="221BFF26"/>
    <w:rsid w:val="22215839"/>
    <w:rsid w:val="2225EF1E"/>
    <w:rsid w:val="222DEBF3"/>
    <w:rsid w:val="22337F4F"/>
    <w:rsid w:val="223DD2B8"/>
    <w:rsid w:val="22493B3E"/>
    <w:rsid w:val="225793E7"/>
    <w:rsid w:val="22657B6D"/>
    <w:rsid w:val="2269242C"/>
    <w:rsid w:val="2281D335"/>
    <w:rsid w:val="2291C3B8"/>
    <w:rsid w:val="22935DB1"/>
    <w:rsid w:val="229C39E7"/>
    <w:rsid w:val="229F9053"/>
    <w:rsid w:val="22D430DD"/>
    <w:rsid w:val="22EDA874"/>
    <w:rsid w:val="230AAFCB"/>
    <w:rsid w:val="2320A3E2"/>
    <w:rsid w:val="232393BE"/>
    <w:rsid w:val="232D21F0"/>
    <w:rsid w:val="2331C137"/>
    <w:rsid w:val="23326D61"/>
    <w:rsid w:val="233E97DE"/>
    <w:rsid w:val="2347B09F"/>
    <w:rsid w:val="234BBFB5"/>
    <w:rsid w:val="23705AD1"/>
    <w:rsid w:val="237EE81D"/>
    <w:rsid w:val="2381B91D"/>
    <w:rsid w:val="23A11825"/>
    <w:rsid w:val="23A43158"/>
    <w:rsid w:val="23BEE844"/>
    <w:rsid w:val="23CF6DBF"/>
    <w:rsid w:val="23D43509"/>
    <w:rsid w:val="23D6C1F7"/>
    <w:rsid w:val="23E2678D"/>
    <w:rsid w:val="23ED90E0"/>
    <w:rsid w:val="23EFBA90"/>
    <w:rsid w:val="23F7F92D"/>
    <w:rsid w:val="24119696"/>
    <w:rsid w:val="242C3279"/>
    <w:rsid w:val="24300D33"/>
    <w:rsid w:val="24376475"/>
    <w:rsid w:val="2447A2FA"/>
    <w:rsid w:val="24592DBF"/>
    <w:rsid w:val="24749931"/>
    <w:rsid w:val="247BB7CF"/>
    <w:rsid w:val="248D4CD8"/>
    <w:rsid w:val="24959775"/>
    <w:rsid w:val="2495F8CE"/>
    <w:rsid w:val="249CC3DC"/>
    <w:rsid w:val="24A0E09D"/>
    <w:rsid w:val="24A5CB76"/>
    <w:rsid w:val="24AAFCE6"/>
    <w:rsid w:val="24AECB54"/>
    <w:rsid w:val="24C0BBED"/>
    <w:rsid w:val="24D69005"/>
    <w:rsid w:val="24F17A7E"/>
    <w:rsid w:val="24FC4F79"/>
    <w:rsid w:val="24FFCF56"/>
    <w:rsid w:val="25036C62"/>
    <w:rsid w:val="250F0CD1"/>
    <w:rsid w:val="250FA980"/>
    <w:rsid w:val="251F60AE"/>
    <w:rsid w:val="25218D3E"/>
    <w:rsid w:val="2538C83F"/>
    <w:rsid w:val="253D5D8A"/>
    <w:rsid w:val="2543EC88"/>
    <w:rsid w:val="25598EE3"/>
    <w:rsid w:val="255B4648"/>
    <w:rsid w:val="2562F092"/>
    <w:rsid w:val="2565D7AD"/>
    <w:rsid w:val="2567A9E1"/>
    <w:rsid w:val="256ADB0B"/>
    <w:rsid w:val="256F00E2"/>
    <w:rsid w:val="25758739"/>
    <w:rsid w:val="2576C38D"/>
    <w:rsid w:val="258640EF"/>
    <w:rsid w:val="258EC09B"/>
    <w:rsid w:val="25ACA75C"/>
    <w:rsid w:val="25AECCC4"/>
    <w:rsid w:val="25B9562F"/>
    <w:rsid w:val="25BE0C0C"/>
    <w:rsid w:val="25C0A2F5"/>
    <w:rsid w:val="25C6DF7C"/>
    <w:rsid w:val="25C82EB9"/>
    <w:rsid w:val="25DAEB16"/>
    <w:rsid w:val="25DD47E8"/>
    <w:rsid w:val="25E261E3"/>
    <w:rsid w:val="25EEE51B"/>
    <w:rsid w:val="25EF9F82"/>
    <w:rsid w:val="25F90130"/>
    <w:rsid w:val="25FC1957"/>
    <w:rsid w:val="2608FE09"/>
    <w:rsid w:val="260DEFE4"/>
    <w:rsid w:val="261036E6"/>
    <w:rsid w:val="261A5044"/>
    <w:rsid w:val="261FAC69"/>
    <w:rsid w:val="2620395F"/>
    <w:rsid w:val="26218913"/>
    <w:rsid w:val="262951F1"/>
    <w:rsid w:val="265B177C"/>
    <w:rsid w:val="2660B539"/>
    <w:rsid w:val="26689CEF"/>
    <w:rsid w:val="26746201"/>
    <w:rsid w:val="2676D10B"/>
    <w:rsid w:val="267B81E5"/>
    <w:rsid w:val="267FBF49"/>
    <w:rsid w:val="2687B125"/>
    <w:rsid w:val="268E770B"/>
    <w:rsid w:val="2692ECF4"/>
    <w:rsid w:val="269DDF0D"/>
    <w:rsid w:val="26B7596A"/>
    <w:rsid w:val="26BF7C04"/>
    <w:rsid w:val="26C8A93F"/>
    <w:rsid w:val="26D68C08"/>
    <w:rsid w:val="26DB0B1C"/>
    <w:rsid w:val="26E5FDBE"/>
    <w:rsid w:val="26EE832C"/>
    <w:rsid w:val="26F687DA"/>
    <w:rsid w:val="270DE3CE"/>
    <w:rsid w:val="27103954"/>
    <w:rsid w:val="27192F16"/>
    <w:rsid w:val="271A057F"/>
    <w:rsid w:val="272527B3"/>
    <w:rsid w:val="273B0187"/>
    <w:rsid w:val="274D53B8"/>
    <w:rsid w:val="27521937"/>
    <w:rsid w:val="275375AE"/>
    <w:rsid w:val="27581726"/>
    <w:rsid w:val="276F820B"/>
    <w:rsid w:val="2776F2DB"/>
    <w:rsid w:val="2777FEBC"/>
    <w:rsid w:val="277BB42A"/>
    <w:rsid w:val="278384B4"/>
    <w:rsid w:val="27864249"/>
    <w:rsid w:val="278D3216"/>
    <w:rsid w:val="278F023D"/>
    <w:rsid w:val="27935744"/>
    <w:rsid w:val="2796F814"/>
    <w:rsid w:val="279ABD5D"/>
    <w:rsid w:val="279CAE2A"/>
    <w:rsid w:val="27A260A0"/>
    <w:rsid w:val="27B8A927"/>
    <w:rsid w:val="27C931E1"/>
    <w:rsid w:val="27D42138"/>
    <w:rsid w:val="27DE067D"/>
    <w:rsid w:val="27E83411"/>
    <w:rsid w:val="27EAA1D6"/>
    <w:rsid w:val="27F021C5"/>
    <w:rsid w:val="27F1CEB9"/>
    <w:rsid w:val="27F2233F"/>
    <w:rsid w:val="27F5A5B9"/>
    <w:rsid w:val="2802DA02"/>
    <w:rsid w:val="28046013"/>
    <w:rsid w:val="2809C412"/>
    <w:rsid w:val="281F362D"/>
    <w:rsid w:val="282D379C"/>
    <w:rsid w:val="283C31C7"/>
    <w:rsid w:val="283D129E"/>
    <w:rsid w:val="28510668"/>
    <w:rsid w:val="285C282C"/>
    <w:rsid w:val="286A0263"/>
    <w:rsid w:val="28755E32"/>
    <w:rsid w:val="28763AB9"/>
    <w:rsid w:val="28785E82"/>
    <w:rsid w:val="287E881E"/>
    <w:rsid w:val="28804968"/>
    <w:rsid w:val="2886CA99"/>
    <w:rsid w:val="288915CA"/>
    <w:rsid w:val="288C2E0D"/>
    <w:rsid w:val="2890C744"/>
    <w:rsid w:val="289D10B0"/>
    <w:rsid w:val="28B61D9E"/>
    <w:rsid w:val="28C4A456"/>
    <w:rsid w:val="28DA1492"/>
    <w:rsid w:val="28E0981B"/>
    <w:rsid w:val="28E1ABE4"/>
    <w:rsid w:val="28E7DF22"/>
    <w:rsid w:val="28EE8650"/>
    <w:rsid w:val="28EEE918"/>
    <w:rsid w:val="28F393AB"/>
    <w:rsid w:val="28FADBE1"/>
    <w:rsid w:val="28FE8AD2"/>
    <w:rsid w:val="29095CDB"/>
    <w:rsid w:val="291EA046"/>
    <w:rsid w:val="2939B8A9"/>
    <w:rsid w:val="294066F0"/>
    <w:rsid w:val="294903E6"/>
    <w:rsid w:val="294C8794"/>
    <w:rsid w:val="295029F5"/>
    <w:rsid w:val="295354F9"/>
    <w:rsid w:val="29667A6D"/>
    <w:rsid w:val="29733C03"/>
    <w:rsid w:val="2981166A"/>
    <w:rsid w:val="2997D67B"/>
    <w:rsid w:val="299C167C"/>
    <w:rsid w:val="29A49E8C"/>
    <w:rsid w:val="29A9989A"/>
    <w:rsid w:val="29BF6E7B"/>
    <w:rsid w:val="29C41C07"/>
    <w:rsid w:val="29C78F95"/>
    <w:rsid w:val="29D24376"/>
    <w:rsid w:val="29E2A6DC"/>
    <w:rsid w:val="29ED30B0"/>
    <w:rsid w:val="29FE2311"/>
    <w:rsid w:val="2A03B760"/>
    <w:rsid w:val="2A0473E7"/>
    <w:rsid w:val="2A10E7BD"/>
    <w:rsid w:val="2A12AB7C"/>
    <w:rsid w:val="2A13016B"/>
    <w:rsid w:val="2A13CA2E"/>
    <w:rsid w:val="2A207DCE"/>
    <w:rsid w:val="2A21C8F1"/>
    <w:rsid w:val="2A288A0D"/>
    <w:rsid w:val="2A320024"/>
    <w:rsid w:val="2A390876"/>
    <w:rsid w:val="2A414D7A"/>
    <w:rsid w:val="2A4B7F47"/>
    <w:rsid w:val="2A5D8F11"/>
    <w:rsid w:val="2A68B052"/>
    <w:rsid w:val="2A6B4AB6"/>
    <w:rsid w:val="2A85DDBB"/>
    <w:rsid w:val="2A929A3C"/>
    <w:rsid w:val="2A98BF20"/>
    <w:rsid w:val="2AAA6FCC"/>
    <w:rsid w:val="2AB307E9"/>
    <w:rsid w:val="2AB4D967"/>
    <w:rsid w:val="2ACA4D23"/>
    <w:rsid w:val="2ACF154F"/>
    <w:rsid w:val="2AD340AC"/>
    <w:rsid w:val="2ADB8B43"/>
    <w:rsid w:val="2AEF926E"/>
    <w:rsid w:val="2AF29F9F"/>
    <w:rsid w:val="2AF53358"/>
    <w:rsid w:val="2B004BEF"/>
    <w:rsid w:val="2B0667FE"/>
    <w:rsid w:val="2B0A79E7"/>
    <w:rsid w:val="2B0C6680"/>
    <w:rsid w:val="2B10C454"/>
    <w:rsid w:val="2B1AAD8C"/>
    <w:rsid w:val="2B26511D"/>
    <w:rsid w:val="2B58ACAB"/>
    <w:rsid w:val="2B5F11FF"/>
    <w:rsid w:val="2B646040"/>
    <w:rsid w:val="2B671910"/>
    <w:rsid w:val="2B72D095"/>
    <w:rsid w:val="2B7A128B"/>
    <w:rsid w:val="2B7ACF9B"/>
    <w:rsid w:val="2B7E2A84"/>
    <w:rsid w:val="2B8A0D92"/>
    <w:rsid w:val="2B96F272"/>
    <w:rsid w:val="2B9D88A9"/>
    <w:rsid w:val="2B9E26EB"/>
    <w:rsid w:val="2BAAB2CC"/>
    <w:rsid w:val="2BAB9F9F"/>
    <w:rsid w:val="2BBCAEC3"/>
    <w:rsid w:val="2BC6AFA4"/>
    <w:rsid w:val="2BCFE4F9"/>
    <w:rsid w:val="2BD77603"/>
    <w:rsid w:val="2BE3F8E4"/>
    <w:rsid w:val="2BE824A3"/>
    <w:rsid w:val="2BED14FD"/>
    <w:rsid w:val="2BFAD8B4"/>
    <w:rsid w:val="2BFF69AD"/>
    <w:rsid w:val="2C0625CA"/>
    <w:rsid w:val="2C07B246"/>
    <w:rsid w:val="2C0A415B"/>
    <w:rsid w:val="2C162055"/>
    <w:rsid w:val="2C172FB3"/>
    <w:rsid w:val="2C1C4925"/>
    <w:rsid w:val="2C1C6395"/>
    <w:rsid w:val="2C1E4D2B"/>
    <w:rsid w:val="2C2F92C5"/>
    <w:rsid w:val="2C3B99B9"/>
    <w:rsid w:val="2C40CCB6"/>
    <w:rsid w:val="2C428542"/>
    <w:rsid w:val="2C474659"/>
    <w:rsid w:val="2C489146"/>
    <w:rsid w:val="2C48A4B4"/>
    <w:rsid w:val="2C639FC9"/>
    <w:rsid w:val="2C7C57D1"/>
    <w:rsid w:val="2C7C9C5F"/>
    <w:rsid w:val="2C7D73F6"/>
    <w:rsid w:val="2C7DEA40"/>
    <w:rsid w:val="2C841113"/>
    <w:rsid w:val="2C8AAD92"/>
    <w:rsid w:val="2C8AF051"/>
    <w:rsid w:val="2C97B817"/>
    <w:rsid w:val="2C98B568"/>
    <w:rsid w:val="2CA0B78B"/>
    <w:rsid w:val="2CA28BE1"/>
    <w:rsid w:val="2CA78DD6"/>
    <w:rsid w:val="2CABC1D2"/>
    <w:rsid w:val="2CAD165A"/>
    <w:rsid w:val="2CBC6F90"/>
    <w:rsid w:val="2CBE0C97"/>
    <w:rsid w:val="2CC5E918"/>
    <w:rsid w:val="2CC6A31F"/>
    <w:rsid w:val="2CC81060"/>
    <w:rsid w:val="2CC9FCBC"/>
    <w:rsid w:val="2CD4469C"/>
    <w:rsid w:val="2CE7A195"/>
    <w:rsid w:val="2D06E1DF"/>
    <w:rsid w:val="2D129132"/>
    <w:rsid w:val="2D150F42"/>
    <w:rsid w:val="2D193FE2"/>
    <w:rsid w:val="2D1BFDE5"/>
    <w:rsid w:val="2D1C3CBD"/>
    <w:rsid w:val="2D1C4EEE"/>
    <w:rsid w:val="2D275E41"/>
    <w:rsid w:val="2D2A373F"/>
    <w:rsid w:val="2D2C5D92"/>
    <w:rsid w:val="2D398C49"/>
    <w:rsid w:val="2D4B3BA7"/>
    <w:rsid w:val="2D621B82"/>
    <w:rsid w:val="2D698A75"/>
    <w:rsid w:val="2D6B6DDF"/>
    <w:rsid w:val="2D70B062"/>
    <w:rsid w:val="2D85040B"/>
    <w:rsid w:val="2D923991"/>
    <w:rsid w:val="2D92B24F"/>
    <w:rsid w:val="2DA0B06F"/>
    <w:rsid w:val="2DAD9B2F"/>
    <w:rsid w:val="2DB61F85"/>
    <w:rsid w:val="2DBD3F08"/>
    <w:rsid w:val="2DC1C9FE"/>
    <w:rsid w:val="2DD3FBC2"/>
    <w:rsid w:val="2DD74B90"/>
    <w:rsid w:val="2DF89BDD"/>
    <w:rsid w:val="2DF94231"/>
    <w:rsid w:val="2E078E99"/>
    <w:rsid w:val="2E417F68"/>
    <w:rsid w:val="2E475330"/>
    <w:rsid w:val="2E4E985A"/>
    <w:rsid w:val="2E4F0DA0"/>
    <w:rsid w:val="2E54E225"/>
    <w:rsid w:val="2E5A4C06"/>
    <w:rsid w:val="2E60AAC5"/>
    <w:rsid w:val="2E60B93A"/>
    <w:rsid w:val="2E667CA6"/>
    <w:rsid w:val="2E677087"/>
    <w:rsid w:val="2E6C4A1E"/>
    <w:rsid w:val="2E72BC4E"/>
    <w:rsid w:val="2E9C222A"/>
    <w:rsid w:val="2E9D8A66"/>
    <w:rsid w:val="2EA5C02D"/>
    <w:rsid w:val="2EB35EAF"/>
    <w:rsid w:val="2EC03C92"/>
    <w:rsid w:val="2EC7EA10"/>
    <w:rsid w:val="2EDB86E6"/>
    <w:rsid w:val="2EE1EDF0"/>
    <w:rsid w:val="2EF8DADB"/>
    <w:rsid w:val="2EFB932A"/>
    <w:rsid w:val="2F013058"/>
    <w:rsid w:val="2F1F4911"/>
    <w:rsid w:val="2F213771"/>
    <w:rsid w:val="2F25F234"/>
    <w:rsid w:val="2F2A2D9B"/>
    <w:rsid w:val="2F30BC7D"/>
    <w:rsid w:val="2F30C005"/>
    <w:rsid w:val="2F3B2C9B"/>
    <w:rsid w:val="2F3CDC07"/>
    <w:rsid w:val="2F4004CF"/>
    <w:rsid w:val="2F45AB82"/>
    <w:rsid w:val="2F4A3928"/>
    <w:rsid w:val="2F618300"/>
    <w:rsid w:val="2F645DD3"/>
    <w:rsid w:val="2F6D5CB7"/>
    <w:rsid w:val="2F892B56"/>
    <w:rsid w:val="2FC1FB20"/>
    <w:rsid w:val="2FD1F73C"/>
    <w:rsid w:val="2FE059D4"/>
    <w:rsid w:val="2FEF4C3B"/>
    <w:rsid w:val="2FF51AE0"/>
    <w:rsid w:val="2FF561F1"/>
    <w:rsid w:val="2FF5E227"/>
    <w:rsid w:val="2FFA286A"/>
    <w:rsid w:val="3004C2AB"/>
    <w:rsid w:val="30052EDE"/>
    <w:rsid w:val="30195CB5"/>
    <w:rsid w:val="301B4F88"/>
    <w:rsid w:val="30204A1F"/>
    <w:rsid w:val="303B152F"/>
    <w:rsid w:val="30422F57"/>
    <w:rsid w:val="3044BB9A"/>
    <w:rsid w:val="304E6081"/>
    <w:rsid w:val="3050B8D6"/>
    <w:rsid w:val="305515D9"/>
    <w:rsid w:val="306E15B7"/>
    <w:rsid w:val="308B1310"/>
    <w:rsid w:val="30919CDA"/>
    <w:rsid w:val="3097C27B"/>
    <w:rsid w:val="309E913F"/>
    <w:rsid w:val="30A3C53E"/>
    <w:rsid w:val="30B41B9F"/>
    <w:rsid w:val="30BADD6F"/>
    <w:rsid w:val="30BEDE69"/>
    <w:rsid w:val="30BEEA01"/>
    <w:rsid w:val="30C15831"/>
    <w:rsid w:val="30C6B16E"/>
    <w:rsid w:val="30ED19DF"/>
    <w:rsid w:val="30F19FB5"/>
    <w:rsid w:val="30F28253"/>
    <w:rsid w:val="30F3A84B"/>
    <w:rsid w:val="30F584EF"/>
    <w:rsid w:val="30F77742"/>
    <w:rsid w:val="30F913F5"/>
    <w:rsid w:val="3101B035"/>
    <w:rsid w:val="31037527"/>
    <w:rsid w:val="3119201E"/>
    <w:rsid w:val="3119634B"/>
    <w:rsid w:val="3122B23F"/>
    <w:rsid w:val="31234114"/>
    <w:rsid w:val="314F8EE2"/>
    <w:rsid w:val="3160DD98"/>
    <w:rsid w:val="3165F64D"/>
    <w:rsid w:val="31679DF0"/>
    <w:rsid w:val="3172618C"/>
    <w:rsid w:val="3179B256"/>
    <w:rsid w:val="3188398A"/>
    <w:rsid w:val="318AD031"/>
    <w:rsid w:val="31A28A69"/>
    <w:rsid w:val="31AABB70"/>
    <w:rsid w:val="31AC1291"/>
    <w:rsid w:val="31AC6121"/>
    <w:rsid w:val="31B3680A"/>
    <w:rsid w:val="31B40FE7"/>
    <w:rsid w:val="31D11059"/>
    <w:rsid w:val="31D8A99A"/>
    <w:rsid w:val="31E61F15"/>
    <w:rsid w:val="31EAF612"/>
    <w:rsid w:val="31F4B32C"/>
    <w:rsid w:val="320D9E75"/>
    <w:rsid w:val="3225BC6A"/>
    <w:rsid w:val="32460D7D"/>
    <w:rsid w:val="3246C5B1"/>
    <w:rsid w:val="32480468"/>
    <w:rsid w:val="3249C403"/>
    <w:rsid w:val="324D54F5"/>
    <w:rsid w:val="32500D2D"/>
    <w:rsid w:val="3258DCA8"/>
    <w:rsid w:val="32677723"/>
    <w:rsid w:val="32769294"/>
    <w:rsid w:val="328321AB"/>
    <w:rsid w:val="3284DFDD"/>
    <w:rsid w:val="32BE4B10"/>
    <w:rsid w:val="32BFFCD2"/>
    <w:rsid w:val="32C48E6B"/>
    <w:rsid w:val="32F8AFAD"/>
    <w:rsid w:val="3300A807"/>
    <w:rsid w:val="3302AE49"/>
    <w:rsid w:val="33088994"/>
    <w:rsid w:val="330F0FF6"/>
    <w:rsid w:val="33167E86"/>
    <w:rsid w:val="3318D82B"/>
    <w:rsid w:val="331C79C1"/>
    <w:rsid w:val="3322BF06"/>
    <w:rsid w:val="3322F56C"/>
    <w:rsid w:val="33247FA3"/>
    <w:rsid w:val="332C4B9C"/>
    <w:rsid w:val="332CF59A"/>
    <w:rsid w:val="332D6BD9"/>
    <w:rsid w:val="33304BD9"/>
    <w:rsid w:val="333EDBE2"/>
    <w:rsid w:val="334D6C0E"/>
    <w:rsid w:val="33585A89"/>
    <w:rsid w:val="337C6F95"/>
    <w:rsid w:val="339774E9"/>
    <w:rsid w:val="33A6056B"/>
    <w:rsid w:val="33C38A17"/>
    <w:rsid w:val="33C6DEA5"/>
    <w:rsid w:val="33CC0D6F"/>
    <w:rsid w:val="33D662D0"/>
    <w:rsid w:val="33D743EB"/>
    <w:rsid w:val="33DBF75B"/>
    <w:rsid w:val="33EDA996"/>
    <w:rsid w:val="33F0F194"/>
    <w:rsid w:val="33F7A688"/>
    <w:rsid w:val="33FCFBF4"/>
    <w:rsid w:val="3401504D"/>
    <w:rsid w:val="340C1851"/>
    <w:rsid w:val="341A1C38"/>
    <w:rsid w:val="341CA849"/>
    <w:rsid w:val="3423635B"/>
    <w:rsid w:val="34288322"/>
    <w:rsid w:val="342F1226"/>
    <w:rsid w:val="343BC037"/>
    <w:rsid w:val="3443F8E5"/>
    <w:rsid w:val="34511E34"/>
    <w:rsid w:val="3456C9CC"/>
    <w:rsid w:val="346DAF12"/>
    <w:rsid w:val="348C85BB"/>
    <w:rsid w:val="3492AC01"/>
    <w:rsid w:val="3497910C"/>
    <w:rsid w:val="349C5229"/>
    <w:rsid w:val="34A03594"/>
    <w:rsid w:val="34ACE0C6"/>
    <w:rsid w:val="34AD60DD"/>
    <w:rsid w:val="34BB1D1F"/>
    <w:rsid w:val="34C7A5C4"/>
    <w:rsid w:val="34CAE077"/>
    <w:rsid w:val="34E304DC"/>
    <w:rsid w:val="34FCA82A"/>
    <w:rsid w:val="350A657C"/>
    <w:rsid w:val="3510DC5C"/>
    <w:rsid w:val="3511C871"/>
    <w:rsid w:val="3517CCAA"/>
    <w:rsid w:val="351970D2"/>
    <w:rsid w:val="35205105"/>
    <w:rsid w:val="35384E1C"/>
    <w:rsid w:val="3539BEB5"/>
    <w:rsid w:val="355374DB"/>
    <w:rsid w:val="35591A85"/>
    <w:rsid w:val="355A994B"/>
    <w:rsid w:val="356A3639"/>
    <w:rsid w:val="357CFD66"/>
    <w:rsid w:val="35841153"/>
    <w:rsid w:val="358A7B04"/>
    <w:rsid w:val="3599AF21"/>
    <w:rsid w:val="35A6BBDC"/>
    <w:rsid w:val="35B3BA9E"/>
    <w:rsid w:val="35BA3C7E"/>
    <w:rsid w:val="35BB1C2D"/>
    <w:rsid w:val="35DD0960"/>
    <w:rsid w:val="3609DFA3"/>
    <w:rsid w:val="360B387C"/>
    <w:rsid w:val="360EBC04"/>
    <w:rsid w:val="360F2E35"/>
    <w:rsid w:val="3628E4F4"/>
    <w:rsid w:val="362CB732"/>
    <w:rsid w:val="362D18F5"/>
    <w:rsid w:val="362D2695"/>
    <w:rsid w:val="363001F2"/>
    <w:rsid w:val="36380C2D"/>
    <w:rsid w:val="364EFA54"/>
    <w:rsid w:val="36594DD9"/>
    <w:rsid w:val="3665DA2F"/>
    <w:rsid w:val="3668A41F"/>
    <w:rsid w:val="366F0D91"/>
    <w:rsid w:val="367E09FA"/>
    <w:rsid w:val="3684E1D1"/>
    <w:rsid w:val="3696E2FE"/>
    <w:rsid w:val="36BA9564"/>
    <w:rsid w:val="36C0E02C"/>
    <w:rsid w:val="36C79D27"/>
    <w:rsid w:val="36E29301"/>
    <w:rsid w:val="36E5C1D7"/>
    <w:rsid w:val="36FB6E2C"/>
    <w:rsid w:val="3702B699"/>
    <w:rsid w:val="3707A3A4"/>
    <w:rsid w:val="3708CB14"/>
    <w:rsid w:val="37126FA1"/>
    <w:rsid w:val="37127EAA"/>
    <w:rsid w:val="3722EACB"/>
    <w:rsid w:val="37259CD1"/>
    <w:rsid w:val="3728BC89"/>
    <w:rsid w:val="37536F7C"/>
    <w:rsid w:val="3759C01F"/>
    <w:rsid w:val="3761FBDA"/>
    <w:rsid w:val="376F79C1"/>
    <w:rsid w:val="3774DBDB"/>
    <w:rsid w:val="377892C7"/>
    <w:rsid w:val="377F5D78"/>
    <w:rsid w:val="37826F5A"/>
    <w:rsid w:val="3794734F"/>
    <w:rsid w:val="37A6DDD0"/>
    <w:rsid w:val="37A7F922"/>
    <w:rsid w:val="37AC85A6"/>
    <w:rsid w:val="37B405C2"/>
    <w:rsid w:val="37CFEDE8"/>
    <w:rsid w:val="37D1399E"/>
    <w:rsid w:val="37DB40AE"/>
    <w:rsid w:val="37DEC572"/>
    <w:rsid w:val="37DF83B5"/>
    <w:rsid w:val="37E4D9C8"/>
    <w:rsid w:val="37E5ED7F"/>
    <w:rsid w:val="37FDB6D3"/>
    <w:rsid w:val="38001B23"/>
    <w:rsid w:val="380454C8"/>
    <w:rsid w:val="3806FC08"/>
    <w:rsid w:val="38086314"/>
    <w:rsid w:val="38118E00"/>
    <w:rsid w:val="3816EF76"/>
    <w:rsid w:val="381DDBF7"/>
    <w:rsid w:val="381E58BD"/>
    <w:rsid w:val="38200764"/>
    <w:rsid w:val="3820F7F4"/>
    <w:rsid w:val="382A6BBB"/>
    <w:rsid w:val="382B00A3"/>
    <w:rsid w:val="383E3E40"/>
    <w:rsid w:val="384B053D"/>
    <w:rsid w:val="385175D1"/>
    <w:rsid w:val="3859D661"/>
    <w:rsid w:val="38640946"/>
    <w:rsid w:val="38653119"/>
    <w:rsid w:val="3885930F"/>
    <w:rsid w:val="3890E380"/>
    <w:rsid w:val="38A22EF2"/>
    <w:rsid w:val="38A298BE"/>
    <w:rsid w:val="38A7A6CA"/>
    <w:rsid w:val="38B18C31"/>
    <w:rsid w:val="38B46241"/>
    <w:rsid w:val="38B65DEB"/>
    <w:rsid w:val="38B87D3C"/>
    <w:rsid w:val="38BAE06E"/>
    <w:rsid w:val="38C532FC"/>
    <w:rsid w:val="38CCECE3"/>
    <w:rsid w:val="38E4AD09"/>
    <w:rsid w:val="38EB5FF2"/>
    <w:rsid w:val="38EC94B1"/>
    <w:rsid w:val="38F6DC9C"/>
    <w:rsid w:val="390051BD"/>
    <w:rsid w:val="390AC898"/>
    <w:rsid w:val="390B4902"/>
    <w:rsid w:val="3914A4B7"/>
    <w:rsid w:val="392D0BE5"/>
    <w:rsid w:val="3933F74C"/>
    <w:rsid w:val="395FEF9F"/>
    <w:rsid w:val="3961B1F7"/>
    <w:rsid w:val="3966CD1A"/>
    <w:rsid w:val="39689A64"/>
    <w:rsid w:val="396D02B8"/>
    <w:rsid w:val="39739797"/>
    <w:rsid w:val="397497DC"/>
    <w:rsid w:val="397EFE59"/>
    <w:rsid w:val="3980504B"/>
    <w:rsid w:val="399CA43F"/>
    <w:rsid w:val="399F7C09"/>
    <w:rsid w:val="399F928B"/>
    <w:rsid w:val="39A1DA18"/>
    <w:rsid w:val="39AACAB1"/>
    <w:rsid w:val="39AD5707"/>
    <w:rsid w:val="39B07EFA"/>
    <w:rsid w:val="39B1876D"/>
    <w:rsid w:val="39BDC24D"/>
    <w:rsid w:val="39BFEE06"/>
    <w:rsid w:val="39C40DE5"/>
    <w:rsid w:val="39D9FE42"/>
    <w:rsid w:val="39E466D1"/>
    <w:rsid w:val="39E53240"/>
    <w:rsid w:val="39E7596A"/>
    <w:rsid w:val="39E97FD9"/>
    <w:rsid w:val="39EBA155"/>
    <w:rsid w:val="39EC899E"/>
    <w:rsid w:val="39EDACE7"/>
    <w:rsid w:val="39EF5E93"/>
    <w:rsid w:val="39FBE16A"/>
    <w:rsid w:val="3A013B91"/>
    <w:rsid w:val="3A03B010"/>
    <w:rsid w:val="3A0CE27E"/>
    <w:rsid w:val="3A14A2B1"/>
    <w:rsid w:val="3A216597"/>
    <w:rsid w:val="3A33C218"/>
    <w:rsid w:val="3A3B1FED"/>
    <w:rsid w:val="3A499036"/>
    <w:rsid w:val="3A4ABC19"/>
    <w:rsid w:val="3A4F78CA"/>
    <w:rsid w:val="3A58919B"/>
    <w:rsid w:val="3A5E79F8"/>
    <w:rsid w:val="3A71E597"/>
    <w:rsid w:val="3A78958F"/>
    <w:rsid w:val="3A7A66BB"/>
    <w:rsid w:val="3A7BA7D3"/>
    <w:rsid w:val="3A8E2E25"/>
    <w:rsid w:val="3A8EF9D7"/>
    <w:rsid w:val="3A933B6A"/>
    <w:rsid w:val="3AA5A24D"/>
    <w:rsid w:val="3AB017A6"/>
    <w:rsid w:val="3AD00678"/>
    <w:rsid w:val="3ADE7042"/>
    <w:rsid w:val="3ADFA8D1"/>
    <w:rsid w:val="3AEA253C"/>
    <w:rsid w:val="3B028EFB"/>
    <w:rsid w:val="3B04DD33"/>
    <w:rsid w:val="3B121F85"/>
    <w:rsid w:val="3B175B24"/>
    <w:rsid w:val="3B1792A7"/>
    <w:rsid w:val="3B357CA8"/>
    <w:rsid w:val="3B53FE77"/>
    <w:rsid w:val="3B614BF5"/>
    <w:rsid w:val="3B62FD84"/>
    <w:rsid w:val="3B63F13F"/>
    <w:rsid w:val="3B7EF2BD"/>
    <w:rsid w:val="3B85AF73"/>
    <w:rsid w:val="3B86EBB8"/>
    <w:rsid w:val="3B89D5E2"/>
    <w:rsid w:val="3B8A7CD2"/>
    <w:rsid w:val="3B8DB344"/>
    <w:rsid w:val="3B99D5D2"/>
    <w:rsid w:val="3B9FC930"/>
    <w:rsid w:val="3BA58345"/>
    <w:rsid w:val="3BACC57D"/>
    <w:rsid w:val="3BB98265"/>
    <w:rsid w:val="3BBCBAFA"/>
    <w:rsid w:val="3BC22BDD"/>
    <w:rsid w:val="3BC4D791"/>
    <w:rsid w:val="3BC5154A"/>
    <w:rsid w:val="3BC66794"/>
    <w:rsid w:val="3BD7B408"/>
    <w:rsid w:val="3BE2A3E9"/>
    <w:rsid w:val="3BE8D20E"/>
    <w:rsid w:val="3BFE4944"/>
    <w:rsid w:val="3C02182B"/>
    <w:rsid w:val="3C0ED287"/>
    <w:rsid w:val="3C0F5D80"/>
    <w:rsid w:val="3C1B0256"/>
    <w:rsid w:val="3C38D981"/>
    <w:rsid w:val="3C3FB7AD"/>
    <w:rsid w:val="3C448BB5"/>
    <w:rsid w:val="3C453FE7"/>
    <w:rsid w:val="3C666D61"/>
    <w:rsid w:val="3C739374"/>
    <w:rsid w:val="3C79ABD1"/>
    <w:rsid w:val="3C7D57AB"/>
    <w:rsid w:val="3C7DF7BB"/>
    <w:rsid w:val="3C8B8694"/>
    <w:rsid w:val="3C8BA258"/>
    <w:rsid w:val="3C8C5319"/>
    <w:rsid w:val="3CA70826"/>
    <w:rsid w:val="3CC0EF5E"/>
    <w:rsid w:val="3CC91F19"/>
    <w:rsid w:val="3CCA314A"/>
    <w:rsid w:val="3CCBB325"/>
    <w:rsid w:val="3CCD527C"/>
    <w:rsid w:val="3CD3DB5F"/>
    <w:rsid w:val="3CD8810A"/>
    <w:rsid w:val="3CE12C5F"/>
    <w:rsid w:val="3CF65B05"/>
    <w:rsid w:val="3CF7CC1C"/>
    <w:rsid w:val="3D045DFF"/>
    <w:rsid w:val="3D051B9D"/>
    <w:rsid w:val="3D07CC69"/>
    <w:rsid w:val="3D08BA00"/>
    <w:rsid w:val="3D10EA77"/>
    <w:rsid w:val="3D1D7444"/>
    <w:rsid w:val="3D261399"/>
    <w:rsid w:val="3D2A5F97"/>
    <w:rsid w:val="3D31159F"/>
    <w:rsid w:val="3D37FA7E"/>
    <w:rsid w:val="3D39DB00"/>
    <w:rsid w:val="3D4CF882"/>
    <w:rsid w:val="3D5E51C4"/>
    <w:rsid w:val="3D5EFB08"/>
    <w:rsid w:val="3D68A4CE"/>
    <w:rsid w:val="3D701F9E"/>
    <w:rsid w:val="3D85703E"/>
    <w:rsid w:val="3D9182C9"/>
    <w:rsid w:val="3D9B30AE"/>
    <w:rsid w:val="3DACC421"/>
    <w:rsid w:val="3DB1A197"/>
    <w:rsid w:val="3DB1FA86"/>
    <w:rsid w:val="3DBA9DEA"/>
    <w:rsid w:val="3DC6057B"/>
    <w:rsid w:val="3DCB9721"/>
    <w:rsid w:val="3DCC82A7"/>
    <w:rsid w:val="3DCC87CD"/>
    <w:rsid w:val="3DCFD9CD"/>
    <w:rsid w:val="3DD6757E"/>
    <w:rsid w:val="3DD8662F"/>
    <w:rsid w:val="3DDE8707"/>
    <w:rsid w:val="3DF81536"/>
    <w:rsid w:val="3DFA88D6"/>
    <w:rsid w:val="3DFD7573"/>
    <w:rsid w:val="3E0BE3B2"/>
    <w:rsid w:val="3E0BE51D"/>
    <w:rsid w:val="3E0DD13A"/>
    <w:rsid w:val="3E1863B4"/>
    <w:rsid w:val="3E1BF841"/>
    <w:rsid w:val="3E20196A"/>
    <w:rsid w:val="3E2120BF"/>
    <w:rsid w:val="3E21E8FD"/>
    <w:rsid w:val="3E3B0FD3"/>
    <w:rsid w:val="3E44ADF7"/>
    <w:rsid w:val="3E563D82"/>
    <w:rsid w:val="3E604524"/>
    <w:rsid w:val="3E6326AE"/>
    <w:rsid w:val="3E6DB118"/>
    <w:rsid w:val="3E7699AD"/>
    <w:rsid w:val="3E7EA104"/>
    <w:rsid w:val="3E7F85A3"/>
    <w:rsid w:val="3E80279C"/>
    <w:rsid w:val="3E81148F"/>
    <w:rsid w:val="3E8CBE5C"/>
    <w:rsid w:val="3E8DF75C"/>
    <w:rsid w:val="3E8F642A"/>
    <w:rsid w:val="3E93C042"/>
    <w:rsid w:val="3E961768"/>
    <w:rsid w:val="3E983FE2"/>
    <w:rsid w:val="3E9C4B81"/>
    <w:rsid w:val="3EA11E6B"/>
    <w:rsid w:val="3EA26F32"/>
    <w:rsid w:val="3EA8289E"/>
    <w:rsid w:val="3EBB06D1"/>
    <w:rsid w:val="3EBC9E53"/>
    <w:rsid w:val="3EC0C0BA"/>
    <w:rsid w:val="3ECA3C1F"/>
    <w:rsid w:val="3ECBB129"/>
    <w:rsid w:val="3EDBB6F9"/>
    <w:rsid w:val="3EDCC52C"/>
    <w:rsid w:val="3EDFB67C"/>
    <w:rsid w:val="3EE1B029"/>
    <w:rsid w:val="3EF1E2CF"/>
    <w:rsid w:val="3F04C9D6"/>
    <w:rsid w:val="3F09F8F1"/>
    <w:rsid w:val="3F12F549"/>
    <w:rsid w:val="3F1C6212"/>
    <w:rsid w:val="3F3A6331"/>
    <w:rsid w:val="3F3F2BDB"/>
    <w:rsid w:val="3F52F0FA"/>
    <w:rsid w:val="3F56DC71"/>
    <w:rsid w:val="3F5F1E85"/>
    <w:rsid w:val="3F62162B"/>
    <w:rsid w:val="3F658A9B"/>
    <w:rsid w:val="3F6684CB"/>
    <w:rsid w:val="3F6E06BC"/>
    <w:rsid w:val="3F6EFD23"/>
    <w:rsid w:val="3F777478"/>
    <w:rsid w:val="3F85F8F7"/>
    <w:rsid w:val="3FA720D5"/>
    <w:rsid w:val="3FB67D68"/>
    <w:rsid w:val="3FC462A9"/>
    <w:rsid w:val="3FCB51BF"/>
    <w:rsid w:val="3FDA3805"/>
    <w:rsid w:val="3FE0F2D0"/>
    <w:rsid w:val="3FEC0BD0"/>
    <w:rsid w:val="3FF0AEC5"/>
    <w:rsid w:val="3FF21669"/>
    <w:rsid w:val="3FF855E8"/>
    <w:rsid w:val="3FFCC42D"/>
    <w:rsid w:val="401227CF"/>
    <w:rsid w:val="4017EF14"/>
    <w:rsid w:val="40189B76"/>
    <w:rsid w:val="402B1BB3"/>
    <w:rsid w:val="402DBF94"/>
    <w:rsid w:val="402EFD5D"/>
    <w:rsid w:val="403648EB"/>
    <w:rsid w:val="4038F01D"/>
    <w:rsid w:val="403F6FA9"/>
    <w:rsid w:val="404FB020"/>
    <w:rsid w:val="40516397"/>
    <w:rsid w:val="40583A87"/>
    <w:rsid w:val="405DAF08"/>
    <w:rsid w:val="4073B0ED"/>
    <w:rsid w:val="408543F0"/>
    <w:rsid w:val="4088072B"/>
    <w:rsid w:val="40B228DF"/>
    <w:rsid w:val="40BE0145"/>
    <w:rsid w:val="40DD4BBD"/>
    <w:rsid w:val="40E89BD4"/>
    <w:rsid w:val="40FB11C2"/>
    <w:rsid w:val="40FCC8D4"/>
    <w:rsid w:val="40FE87B8"/>
    <w:rsid w:val="40FF5297"/>
    <w:rsid w:val="410CA3C5"/>
    <w:rsid w:val="410CF8E9"/>
    <w:rsid w:val="4122B767"/>
    <w:rsid w:val="41234C6F"/>
    <w:rsid w:val="412A51D0"/>
    <w:rsid w:val="413C6D2F"/>
    <w:rsid w:val="413E85C4"/>
    <w:rsid w:val="4144062A"/>
    <w:rsid w:val="414AF8F7"/>
    <w:rsid w:val="415567EA"/>
    <w:rsid w:val="4155A9AE"/>
    <w:rsid w:val="4168DC69"/>
    <w:rsid w:val="416AB972"/>
    <w:rsid w:val="416F78C5"/>
    <w:rsid w:val="417730C6"/>
    <w:rsid w:val="41A1E147"/>
    <w:rsid w:val="41AA4F2E"/>
    <w:rsid w:val="41BAEB78"/>
    <w:rsid w:val="41C12751"/>
    <w:rsid w:val="41CC668F"/>
    <w:rsid w:val="41D5743C"/>
    <w:rsid w:val="41E44B0C"/>
    <w:rsid w:val="41E69474"/>
    <w:rsid w:val="41E8079B"/>
    <w:rsid w:val="41F8D899"/>
    <w:rsid w:val="41FEEFE3"/>
    <w:rsid w:val="42026663"/>
    <w:rsid w:val="42040107"/>
    <w:rsid w:val="42111ED9"/>
    <w:rsid w:val="4218E41B"/>
    <w:rsid w:val="422A960C"/>
    <w:rsid w:val="4231FA66"/>
    <w:rsid w:val="42343335"/>
    <w:rsid w:val="42343860"/>
    <w:rsid w:val="423AED68"/>
    <w:rsid w:val="423EAFC7"/>
    <w:rsid w:val="4240B6D2"/>
    <w:rsid w:val="4242D310"/>
    <w:rsid w:val="425B4D8A"/>
    <w:rsid w:val="426D6B8E"/>
    <w:rsid w:val="427B8896"/>
    <w:rsid w:val="427C1083"/>
    <w:rsid w:val="427E795F"/>
    <w:rsid w:val="4286F3E5"/>
    <w:rsid w:val="4288F1F9"/>
    <w:rsid w:val="4297E2DD"/>
    <w:rsid w:val="42AD578C"/>
    <w:rsid w:val="42BD4ABA"/>
    <w:rsid w:val="42E6AF0E"/>
    <w:rsid w:val="42EC4B37"/>
    <w:rsid w:val="42EDB9D6"/>
    <w:rsid w:val="431ABF6C"/>
    <w:rsid w:val="431FDBAB"/>
    <w:rsid w:val="432AA052"/>
    <w:rsid w:val="433E7E0D"/>
    <w:rsid w:val="433EB220"/>
    <w:rsid w:val="433EBCD4"/>
    <w:rsid w:val="434B4974"/>
    <w:rsid w:val="43512FE2"/>
    <w:rsid w:val="43640C9F"/>
    <w:rsid w:val="43674C2B"/>
    <w:rsid w:val="4371C063"/>
    <w:rsid w:val="4373BB2B"/>
    <w:rsid w:val="437B07AC"/>
    <w:rsid w:val="43815A58"/>
    <w:rsid w:val="438C8F1D"/>
    <w:rsid w:val="438EDEA3"/>
    <w:rsid w:val="439A7CB2"/>
    <w:rsid w:val="43A92C10"/>
    <w:rsid w:val="43AA035A"/>
    <w:rsid w:val="43AF7ACD"/>
    <w:rsid w:val="43B3DE73"/>
    <w:rsid w:val="43BEB62D"/>
    <w:rsid w:val="43D25346"/>
    <w:rsid w:val="43E51F79"/>
    <w:rsid w:val="43E73B6F"/>
    <w:rsid w:val="43FAA21B"/>
    <w:rsid w:val="440585EF"/>
    <w:rsid w:val="4411D0FE"/>
    <w:rsid w:val="44349EC2"/>
    <w:rsid w:val="44375843"/>
    <w:rsid w:val="443BC27A"/>
    <w:rsid w:val="44434CD8"/>
    <w:rsid w:val="444BA110"/>
    <w:rsid w:val="444E0F75"/>
    <w:rsid w:val="4454961C"/>
    <w:rsid w:val="445D9E68"/>
    <w:rsid w:val="445E99FD"/>
    <w:rsid w:val="445F3120"/>
    <w:rsid w:val="44690E54"/>
    <w:rsid w:val="446CEE08"/>
    <w:rsid w:val="446F0956"/>
    <w:rsid w:val="4475A544"/>
    <w:rsid w:val="447BC95F"/>
    <w:rsid w:val="44814EC6"/>
    <w:rsid w:val="4483A683"/>
    <w:rsid w:val="4485AAA3"/>
    <w:rsid w:val="4485D422"/>
    <w:rsid w:val="448D3D15"/>
    <w:rsid w:val="448F1271"/>
    <w:rsid w:val="4490FC9E"/>
    <w:rsid w:val="44919978"/>
    <w:rsid w:val="4491ECC2"/>
    <w:rsid w:val="44A074CF"/>
    <w:rsid w:val="44AA1AB9"/>
    <w:rsid w:val="44AE570B"/>
    <w:rsid w:val="44B9F4A6"/>
    <w:rsid w:val="44C4604E"/>
    <w:rsid w:val="44CB1B2F"/>
    <w:rsid w:val="44CB94FC"/>
    <w:rsid w:val="44CF64E9"/>
    <w:rsid w:val="44E389B5"/>
    <w:rsid w:val="44EBB13C"/>
    <w:rsid w:val="44F3B967"/>
    <w:rsid w:val="44FA53D4"/>
    <w:rsid w:val="450351C7"/>
    <w:rsid w:val="45185A44"/>
    <w:rsid w:val="45392B9C"/>
    <w:rsid w:val="453E9F39"/>
    <w:rsid w:val="4551E273"/>
    <w:rsid w:val="457145E4"/>
    <w:rsid w:val="4575CA69"/>
    <w:rsid w:val="457FA9C5"/>
    <w:rsid w:val="45837175"/>
    <w:rsid w:val="4586785E"/>
    <w:rsid w:val="458A4299"/>
    <w:rsid w:val="458D4EA6"/>
    <w:rsid w:val="4594A25B"/>
    <w:rsid w:val="45B1DA1B"/>
    <w:rsid w:val="45B3755D"/>
    <w:rsid w:val="45B42107"/>
    <w:rsid w:val="45B719BB"/>
    <w:rsid w:val="45C13640"/>
    <w:rsid w:val="45C6309B"/>
    <w:rsid w:val="45CD6EAC"/>
    <w:rsid w:val="45DCBDD4"/>
    <w:rsid w:val="45F3ECB9"/>
    <w:rsid w:val="45F64ABF"/>
    <w:rsid w:val="45F819A4"/>
    <w:rsid w:val="45FB5140"/>
    <w:rsid w:val="46035FA3"/>
    <w:rsid w:val="461A9BD6"/>
    <w:rsid w:val="4620B19D"/>
    <w:rsid w:val="46254DB1"/>
    <w:rsid w:val="462C0737"/>
    <w:rsid w:val="462EF448"/>
    <w:rsid w:val="4633C9AC"/>
    <w:rsid w:val="4636ACC2"/>
    <w:rsid w:val="46379B1F"/>
    <w:rsid w:val="463B1241"/>
    <w:rsid w:val="46418728"/>
    <w:rsid w:val="46447A44"/>
    <w:rsid w:val="4653A48B"/>
    <w:rsid w:val="465EAFA1"/>
    <w:rsid w:val="467740E2"/>
    <w:rsid w:val="467FBE52"/>
    <w:rsid w:val="468FC25F"/>
    <w:rsid w:val="46979B02"/>
    <w:rsid w:val="469906A7"/>
    <w:rsid w:val="46995BD1"/>
    <w:rsid w:val="46BFC5B2"/>
    <w:rsid w:val="46C41191"/>
    <w:rsid w:val="46C7356A"/>
    <w:rsid w:val="46CA948B"/>
    <w:rsid w:val="46CFE738"/>
    <w:rsid w:val="46DA90C2"/>
    <w:rsid w:val="46E6ED73"/>
    <w:rsid w:val="46F0BA85"/>
    <w:rsid w:val="46F5C67D"/>
    <w:rsid w:val="46F61114"/>
    <w:rsid w:val="46F66741"/>
    <w:rsid w:val="46F8ABD8"/>
    <w:rsid w:val="46FCF9CA"/>
    <w:rsid w:val="4701134F"/>
    <w:rsid w:val="47130648"/>
    <w:rsid w:val="4715CE5F"/>
    <w:rsid w:val="471EE973"/>
    <w:rsid w:val="47215A17"/>
    <w:rsid w:val="47233C17"/>
    <w:rsid w:val="472DC7E2"/>
    <w:rsid w:val="4733C9AF"/>
    <w:rsid w:val="47399104"/>
    <w:rsid w:val="473CB239"/>
    <w:rsid w:val="4745947B"/>
    <w:rsid w:val="475A52C6"/>
    <w:rsid w:val="475E3B01"/>
    <w:rsid w:val="47634E0F"/>
    <w:rsid w:val="4772DC43"/>
    <w:rsid w:val="479453B0"/>
    <w:rsid w:val="479E9660"/>
    <w:rsid w:val="479FCD08"/>
    <w:rsid w:val="47A7462F"/>
    <w:rsid w:val="47A77961"/>
    <w:rsid w:val="47AB3597"/>
    <w:rsid w:val="47AC2504"/>
    <w:rsid w:val="47B4923A"/>
    <w:rsid w:val="47B55E5D"/>
    <w:rsid w:val="47C04545"/>
    <w:rsid w:val="47C3DA6A"/>
    <w:rsid w:val="47D082AF"/>
    <w:rsid w:val="47D9583E"/>
    <w:rsid w:val="47DA93AF"/>
    <w:rsid w:val="47E26B97"/>
    <w:rsid w:val="47EAC6B1"/>
    <w:rsid w:val="47F01FFC"/>
    <w:rsid w:val="47FC3E06"/>
    <w:rsid w:val="47FFF6EB"/>
    <w:rsid w:val="48002714"/>
    <w:rsid w:val="4808565F"/>
    <w:rsid w:val="480992B1"/>
    <w:rsid w:val="48109339"/>
    <w:rsid w:val="48129660"/>
    <w:rsid w:val="481A6C4E"/>
    <w:rsid w:val="4820FADE"/>
    <w:rsid w:val="483509E8"/>
    <w:rsid w:val="4837468F"/>
    <w:rsid w:val="483762BB"/>
    <w:rsid w:val="48435DC6"/>
    <w:rsid w:val="4846D2E0"/>
    <w:rsid w:val="484A4A0C"/>
    <w:rsid w:val="484D2C39"/>
    <w:rsid w:val="4856A816"/>
    <w:rsid w:val="48679DC3"/>
    <w:rsid w:val="487FE89C"/>
    <w:rsid w:val="48836A97"/>
    <w:rsid w:val="48C22B67"/>
    <w:rsid w:val="48CA5EFF"/>
    <w:rsid w:val="48CA7C20"/>
    <w:rsid w:val="48E10C12"/>
    <w:rsid w:val="48E160E2"/>
    <w:rsid w:val="48E64B7C"/>
    <w:rsid w:val="48ED1476"/>
    <w:rsid w:val="48EF5A3B"/>
    <w:rsid w:val="4910E849"/>
    <w:rsid w:val="4913CFF5"/>
    <w:rsid w:val="49145DBF"/>
    <w:rsid w:val="4916FBD9"/>
    <w:rsid w:val="491CB8E9"/>
    <w:rsid w:val="49289359"/>
    <w:rsid w:val="4941943E"/>
    <w:rsid w:val="4944E6C9"/>
    <w:rsid w:val="4949B5B2"/>
    <w:rsid w:val="494B31EB"/>
    <w:rsid w:val="495DFC0F"/>
    <w:rsid w:val="49639446"/>
    <w:rsid w:val="4963C158"/>
    <w:rsid w:val="496F3B03"/>
    <w:rsid w:val="497A1F4D"/>
    <w:rsid w:val="497F6DDC"/>
    <w:rsid w:val="498B1755"/>
    <w:rsid w:val="498E64A0"/>
    <w:rsid w:val="4996FE03"/>
    <w:rsid w:val="4997E831"/>
    <w:rsid w:val="499C0C85"/>
    <w:rsid w:val="499C6B6B"/>
    <w:rsid w:val="49AD273C"/>
    <w:rsid w:val="49B84483"/>
    <w:rsid w:val="49BF0858"/>
    <w:rsid w:val="49C5E07B"/>
    <w:rsid w:val="49C624A7"/>
    <w:rsid w:val="49C7884A"/>
    <w:rsid w:val="49CB7450"/>
    <w:rsid w:val="49CEF131"/>
    <w:rsid w:val="49D3590C"/>
    <w:rsid w:val="49DF72A5"/>
    <w:rsid w:val="49E1C8DA"/>
    <w:rsid w:val="49EEF78D"/>
    <w:rsid w:val="49F4E2DC"/>
    <w:rsid w:val="49F8E0BF"/>
    <w:rsid w:val="49FD0DC4"/>
    <w:rsid w:val="4A098DA3"/>
    <w:rsid w:val="4A0C78AA"/>
    <w:rsid w:val="4A284C0E"/>
    <w:rsid w:val="4A3BB981"/>
    <w:rsid w:val="4A3DEAC3"/>
    <w:rsid w:val="4A422326"/>
    <w:rsid w:val="4A455BBD"/>
    <w:rsid w:val="4A50344F"/>
    <w:rsid w:val="4A554721"/>
    <w:rsid w:val="4A564B0B"/>
    <w:rsid w:val="4A576233"/>
    <w:rsid w:val="4A5CD67F"/>
    <w:rsid w:val="4A6593AD"/>
    <w:rsid w:val="4A693AF1"/>
    <w:rsid w:val="4A89DC04"/>
    <w:rsid w:val="4A98CF25"/>
    <w:rsid w:val="4A9D1695"/>
    <w:rsid w:val="4AB98884"/>
    <w:rsid w:val="4ABB37C2"/>
    <w:rsid w:val="4AC1129B"/>
    <w:rsid w:val="4AC87931"/>
    <w:rsid w:val="4AD61664"/>
    <w:rsid w:val="4AD99D5E"/>
    <w:rsid w:val="4AE337EE"/>
    <w:rsid w:val="4AE92893"/>
    <w:rsid w:val="4AF8C1A4"/>
    <w:rsid w:val="4AFA3B1B"/>
    <w:rsid w:val="4B0470CB"/>
    <w:rsid w:val="4B07C142"/>
    <w:rsid w:val="4B08A53E"/>
    <w:rsid w:val="4B0B06AC"/>
    <w:rsid w:val="4B168FB0"/>
    <w:rsid w:val="4B3344B9"/>
    <w:rsid w:val="4B439A6A"/>
    <w:rsid w:val="4B4F8CBD"/>
    <w:rsid w:val="4B59AE13"/>
    <w:rsid w:val="4B661C4E"/>
    <w:rsid w:val="4B66723D"/>
    <w:rsid w:val="4B68D843"/>
    <w:rsid w:val="4B6B7625"/>
    <w:rsid w:val="4B6BCDF1"/>
    <w:rsid w:val="4B6FFF04"/>
    <w:rsid w:val="4B74B31B"/>
    <w:rsid w:val="4B9718A3"/>
    <w:rsid w:val="4BA3203B"/>
    <w:rsid w:val="4BB469DB"/>
    <w:rsid w:val="4BB8C3EC"/>
    <w:rsid w:val="4BBBFBDB"/>
    <w:rsid w:val="4BBC3B60"/>
    <w:rsid w:val="4BCB116A"/>
    <w:rsid w:val="4BE52473"/>
    <w:rsid w:val="4BECE9D1"/>
    <w:rsid w:val="4BF193C5"/>
    <w:rsid w:val="4BF6DD65"/>
    <w:rsid w:val="4BF7E13D"/>
    <w:rsid w:val="4BF7FECE"/>
    <w:rsid w:val="4BF81E25"/>
    <w:rsid w:val="4BF961F8"/>
    <w:rsid w:val="4BFD4CC3"/>
    <w:rsid w:val="4BFDFC0A"/>
    <w:rsid w:val="4C22F22E"/>
    <w:rsid w:val="4C2715ED"/>
    <w:rsid w:val="4C284BA3"/>
    <w:rsid w:val="4C2D63C5"/>
    <w:rsid w:val="4C3940ED"/>
    <w:rsid w:val="4C4126D4"/>
    <w:rsid w:val="4C4B99D7"/>
    <w:rsid w:val="4C5D745E"/>
    <w:rsid w:val="4C5DD503"/>
    <w:rsid w:val="4C621B72"/>
    <w:rsid w:val="4C6F6D46"/>
    <w:rsid w:val="4C758781"/>
    <w:rsid w:val="4C7660CE"/>
    <w:rsid w:val="4C784122"/>
    <w:rsid w:val="4C7CF0DD"/>
    <w:rsid w:val="4C7D5905"/>
    <w:rsid w:val="4C84F4D5"/>
    <w:rsid w:val="4C942160"/>
    <w:rsid w:val="4C971645"/>
    <w:rsid w:val="4C9FC367"/>
    <w:rsid w:val="4CA5E535"/>
    <w:rsid w:val="4CAF1D43"/>
    <w:rsid w:val="4CB4A987"/>
    <w:rsid w:val="4CB64E65"/>
    <w:rsid w:val="4CB7E6ED"/>
    <w:rsid w:val="4D1731E3"/>
    <w:rsid w:val="4D1C6D81"/>
    <w:rsid w:val="4D25BEA4"/>
    <w:rsid w:val="4D2D2EBA"/>
    <w:rsid w:val="4D46A33F"/>
    <w:rsid w:val="4D4B6678"/>
    <w:rsid w:val="4D5221D0"/>
    <w:rsid w:val="4D5675D0"/>
    <w:rsid w:val="4D58E8D5"/>
    <w:rsid w:val="4D59BEF2"/>
    <w:rsid w:val="4D6CF2F7"/>
    <w:rsid w:val="4D6FA5A9"/>
    <w:rsid w:val="4D7D3EB7"/>
    <w:rsid w:val="4D7F3BBD"/>
    <w:rsid w:val="4D91C43D"/>
    <w:rsid w:val="4D957715"/>
    <w:rsid w:val="4D9811D3"/>
    <w:rsid w:val="4D9A3C33"/>
    <w:rsid w:val="4D9BE25A"/>
    <w:rsid w:val="4DAF7DEC"/>
    <w:rsid w:val="4DB73521"/>
    <w:rsid w:val="4DBD439A"/>
    <w:rsid w:val="4DBD8928"/>
    <w:rsid w:val="4DC33182"/>
    <w:rsid w:val="4DCC3B21"/>
    <w:rsid w:val="4DD43D48"/>
    <w:rsid w:val="4DDEC42F"/>
    <w:rsid w:val="4DE5D369"/>
    <w:rsid w:val="4DFF7154"/>
    <w:rsid w:val="4E062CAD"/>
    <w:rsid w:val="4E07BAA3"/>
    <w:rsid w:val="4E07D6DC"/>
    <w:rsid w:val="4E0D256F"/>
    <w:rsid w:val="4E121728"/>
    <w:rsid w:val="4E178F79"/>
    <w:rsid w:val="4E18909D"/>
    <w:rsid w:val="4E1B041E"/>
    <w:rsid w:val="4E203818"/>
    <w:rsid w:val="4E247129"/>
    <w:rsid w:val="4E2CE94E"/>
    <w:rsid w:val="4E2D1630"/>
    <w:rsid w:val="4E320204"/>
    <w:rsid w:val="4E3649BF"/>
    <w:rsid w:val="4E40D553"/>
    <w:rsid w:val="4E4635FC"/>
    <w:rsid w:val="4E4A0DDC"/>
    <w:rsid w:val="4E58F079"/>
    <w:rsid w:val="4E606700"/>
    <w:rsid w:val="4E67F5BC"/>
    <w:rsid w:val="4E6B1246"/>
    <w:rsid w:val="4E6CC84E"/>
    <w:rsid w:val="4E8F07EF"/>
    <w:rsid w:val="4EB54E47"/>
    <w:rsid w:val="4EB7DEAA"/>
    <w:rsid w:val="4EBAC92B"/>
    <w:rsid w:val="4EC52AD7"/>
    <w:rsid w:val="4EC82C77"/>
    <w:rsid w:val="4EC8D379"/>
    <w:rsid w:val="4ED2202A"/>
    <w:rsid w:val="4EE1535F"/>
    <w:rsid w:val="4EE5703C"/>
    <w:rsid w:val="4EEF832D"/>
    <w:rsid w:val="4F05570E"/>
    <w:rsid w:val="4F0739C7"/>
    <w:rsid w:val="4F13B317"/>
    <w:rsid w:val="4F189717"/>
    <w:rsid w:val="4F1C1D29"/>
    <w:rsid w:val="4F23A2E5"/>
    <w:rsid w:val="4F26969E"/>
    <w:rsid w:val="4F2E6132"/>
    <w:rsid w:val="4F37012D"/>
    <w:rsid w:val="4F4AED61"/>
    <w:rsid w:val="4F513F4C"/>
    <w:rsid w:val="4F52142F"/>
    <w:rsid w:val="4F54EAC4"/>
    <w:rsid w:val="4F5E532C"/>
    <w:rsid w:val="4F6577F0"/>
    <w:rsid w:val="4F8772E3"/>
    <w:rsid w:val="4F9503E3"/>
    <w:rsid w:val="4F95B3DD"/>
    <w:rsid w:val="4FA210AC"/>
    <w:rsid w:val="4FA9613C"/>
    <w:rsid w:val="4FADC235"/>
    <w:rsid w:val="4FAFC709"/>
    <w:rsid w:val="4FB33E09"/>
    <w:rsid w:val="4FCCF78D"/>
    <w:rsid w:val="4FCFE694"/>
    <w:rsid w:val="4FD6A250"/>
    <w:rsid w:val="4FEBA43D"/>
    <w:rsid w:val="4FF2300F"/>
    <w:rsid w:val="4FF782CB"/>
    <w:rsid w:val="50021B25"/>
    <w:rsid w:val="5002DEDB"/>
    <w:rsid w:val="500EBB8B"/>
    <w:rsid w:val="50111C7B"/>
    <w:rsid w:val="50127281"/>
    <w:rsid w:val="501C6BCD"/>
    <w:rsid w:val="502B5E29"/>
    <w:rsid w:val="502B802A"/>
    <w:rsid w:val="502BB703"/>
    <w:rsid w:val="503A153A"/>
    <w:rsid w:val="504B93AA"/>
    <w:rsid w:val="5051E774"/>
    <w:rsid w:val="505C146A"/>
    <w:rsid w:val="5065D328"/>
    <w:rsid w:val="5075603A"/>
    <w:rsid w:val="5082E055"/>
    <w:rsid w:val="5085E5B6"/>
    <w:rsid w:val="508655D2"/>
    <w:rsid w:val="50868E44"/>
    <w:rsid w:val="508AD4D1"/>
    <w:rsid w:val="508ED895"/>
    <w:rsid w:val="50902453"/>
    <w:rsid w:val="5092BA71"/>
    <w:rsid w:val="5097893B"/>
    <w:rsid w:val="5099FCF4"/>
    <w:rsid w:val="509A013F"/>
    <w:rsid w:val="50A07FFE"/>
    <w:rsid w:val="50A38A91"/>
    <w:rsid w:val="50A85AD2"/>
    <w:rsid w:val="50AA2082"/>
    <w:rsid w:val="50B0AC3F"/>
    <w:rsid w:val="50B7E9C4"/>
    <w:rsid w:val="50C69DEB"/>
    <w:rsid w:val="50CC9E42"/>
    <w:rsid w:val="50D0B9BF"/>
    <w:rsid w:val="50DCD2BA"/>
    <w:rsid w:val="50E354CC"/>
    <w:rsid w:val="50EE3D6F"/>
    <w:rsid w:val="50F3FC66"/>
    <w:rsid w:val="50FECB4B"/>
    <w:rsid w:val="51015E56"/>
    <w:rsid w:val="510CB7B3"/>
    <w:rsid w:val="51110587"/>
    <w:rsid w:val="5115AD84"/>
    <w:rsid w:val="51299436"/>
    <w:rsid w:val="5134B97A"/>
    <w:rsid w:val="5137B54A"/>
    <w:rsid w:val="51489669"/>
    <w:rsid w:val="51497619"/>
    <w:rsid w:val="514F4167"/>
    <w:rsid w:val="516175F1"/>
    <w:rsid w:val="51656A70"/>
    <w:rsid w:val="516AC290"/>
    <w:rsid w:val="5174CCDE"/>
    <w:rsid w:val="51789C15"/>
    <w:rsid w:val="51899828"/>
    <w:rsid w:val="518BD56F"/>
    <w:rsid w:val="51933106"/>
    <w:rsid w:val="51954FD0"/>
    <w:rsid w:val="519699EF"/>
    <w:rsid w:val="51B561A6"/>
    <w:rsid w:val="51B66717"/>
    <w:rsid w:val="51C9D97E"/>
    <w:rsid w:val="51CB4F79"/>
    <w:rsid w:val="51D36B5D"/>
    <w:rsid w:val="51D43F7C"/>
    <w:rsid w:val="51E3EEA4"/>
    <w:rsid w:val="51E730BD"/>
    <w:rsid w:val="51F17308"/>
    <w:rsid w:val="52048600"/>
    <w:rsid w:val="5209B7E7"/>
    <w:rsid w:val="52134830"/>
    <w:rsid w:val="522A0CBD"/>
    <w:rsid w:val="5231A76F"/>
    <w:rsid w:val="52354930"/>
    <w:rsid w:val="52482F0E"/>
    <w:rsid w:val="5256C7FE"/>
    <w:rsid w:val="5257A9DD"/>
    <w:rsid w:val="525F9BBE"/>
    <w:rsid w:val="52742127"/>
    <w:rsid w:val="527F9A89"/>
    <w:rsid w:val="528A2DC7"/>
    <w:rsid w:val="529747F0"/>
    <w:rsid w:val="529DB1DE"/>
    <w:rsid w:val="52B18454"/>
    <w:rsid w:val="52CD3184"/>
    <w:rsid w:val="52D27E66"/>
    <w:rsid w:val="52E00E65"/>
    <w:rsid w:val="52E30703"/>
    <w:rsid w:val="52E84551"/>
    <w:rsid w:val="52E8E6B4"/>
    <w:rsid w:val="52EECBE5"/>
    <w:rsid w:val="52F4EB68"/>
    <w:rsid w:val="52FA471B"/>
    <w:rsid w:val="5301F93C"/>
    <w:rsid w:val="5307F5AE"/>
    <w:rsid w:val="53082193"/>
    <w:rsid w:val="530BC564"/>
    <w:rsid w:val="531284CA"/>
    <w:rsid w:val="5312AFA6"/>
    <w:rsid w:val="5316E783"/>
    <w:rsid w:val="532C9B7E"/>
    <w:rsid w:val="5331DE00"/>
    <w:rsid w:val="5336CAB4"/>
    <w:rsid w:val="53374AC6"/>
    <w:rsid w:val="53401170"/>
    <w:rsid w:val="5355803D"/>
    <w:rsid w:val="53564309"/>
    <w:rsid w:val="53564A1D"/>
    <w:rsid w:val="535AB23C"/>
    <w:rsid w:val="53733B7B"/>
    <w:rsid w:val="5373A18D"/>
    <w:rsid w:val="53784DBE"/>
    <w:rsid w:val="538F776D"/>
    <w:rsid w:val="53B6BA9E"/>
    <w:rsid w:val="53BD4115"/>
    <w:rsid w:val="53BDF7FC"/>
    <w:rsid w:val="53D35215"/>
    <w:rsid w:val="53D8636A"/>
    <w:rsid w:val="53DC5F3C"/>
    <w:rsid w:val="53DD76F9"/>
    <w:rsid w:val="53DDFC31"/>
    <w:rsid w:val="53EBEE37"/>
    <w:rsid w:val="540CADDA"/>
    <w:rsid w:val="540D1359"/>
    <w:rsid w:val="5422FB5D"/>
    <w:rsid w:val="542409F2"/>
    <w:rsid w:val="5424F154"/>
    <w:rsid w:val="542BD2D2"/>
    <w:rsid w:val="542D03D9"/>
    <w:rsid w:val="543AFBAC"/>
    <w:rsid w:val="543DE757"/>
    <w:rsid w:val="544131E8"/>
    <w:rsid w:val="5441D898"/>
    <w:rsid w:val="5454A1C3"/>
    <w:rsid w:val="545C99C1"/>
    <w:rsid w:val="547312EC"/>
    <w:rsid w:val="54735194"/>
    <w:rsid w:val="5486AFC0"/>
    <w:rsid w:val="5487C6EF"/>
    <w:rsid w:val="5494A7A7"/>
    <w:rsid w:val="5495111B"/>
    <w:rsid w:val="54A1423D"/>
    <w:rsid w:val="54A9708C"/>
    <w:rsid w:val="54AB2462"/>
    <w:rsid w:val="54B7A168"/>
    <w:rsid w:val="54CEE490"/>
    <w:rsid w:val="54D2329E"/>
    <w:rsid w:val="54E842F3"/>
    <w:rsid w:val="54F353E9"/>
    <w:rsid w:val="54FC8882"/>
    <w:rsid w:val="55035E09"/>
    <w:rsid w:val="5505939E"/>
    <w:rsid w:val="5505C449"/>
    <w:rsid w:val="5505CDFB"/>
    <w:rsid w:val="5508F170"/>
    <w:rsid w:val="551925C3"/>
    <w:rsid w:val="551FAE1D"/>
    <w:rsid w:val="5522B518"/>
    <w:rsid w:val="552374E6"/>
    <w:rsid w:val="55237562"/>
    <w:rsid w:val="5533B9D9"/>
    <w:rsid w:val="554026B9"/>
    <w:rsid w:val="55496171"/>
    <w:rsid w:val="55669558"/>
    <w:rsid w:val="556E48EE"/>
    <w:rsid w:val="5573229C"/>
    <w:rsid w:val="558FA893"/>
    <w:rsid w:val="558FC83F"/>
    <w:rsid w:val="5595E206"/>
    <w:rsid w:val="55AE06E9"/>
    <w:rsid w:val="55CAA52A"/>
    <w:rsid w:val="55CCD675"/>
    <w:rsid w:val="55CF6091"/>
    <w:rsid w:val="55D1A1B2"/>
    <w:rsid w:val="55F4D7C6"/>
    <w:rsid w:val="55F7FD91"/>
    <w:rsid w:val="55FA86E2"/>
    <w:rsid w:val="55FC0997"/>
    <w:rsid w:val="560E96DD"/>
    <w:rsid w:val="561F0453"/>
    <w:rsid w:val="56460B58"/>
    <w:rsid w:val="564FDDF7"/>
    <w:rsid w:val="566E0220"/>
    <w:rsid w:val="566E91C7"/>
    <w:rsid w:val="56713A04"/>
    <w:rsid w:val="5674759D"/>
    <w:rsid w:val="5674B3F6"/>
    <w:rsid w:val="56890E1E"/>
    <w:rsid w:val="56A90EB0"/>
    <w:rsid w:val="56A92CC9"/>
    <w:rsid w:val="56B67BDD"/>
    <w:rsid w:val="56C14009"/>
    <w:rsid w:val="56E71489"/>
    <w:rsid w:val="56F737E2"/>
    <w:rsid w:val="571BEA7E"/>
    <w:rsid w:val="571CE72D"/>
    <w:rsid w:val="572C8A97"/>
    <w:rsid w:val="572E9C1D"/>
    <w:rsid w:val="572F93C6"/>
    <w:rsid w:val="573BDE9C"/>
    <w:rsid w:val="57410F7B"/>
    <w:rsid w:val="574862D8"/>
    <w:rsid w:val="5751A912"/>
    <w:rsid w:val="575A03DF"/>
    <w:rsid w:val="576BC6DE"/>
    <w:rsid w:val="5771BD87"/>
    <w:rsid w:val="577F706A"/>
    <w:rsid w:val="578CEFDD"/>
    <w:rsid w:val="57952674"/>
    <w:rsid w:val="57990108"/>
    <w:rsid w:val="579C89DF"/>
    <w:rsid w:val="57A510F7"/>
    <w:rsid w:val="57C7AB4D"/>
    <w:rsid w:val="57DE5B56"/>
    <w:rsid w:val="57E6E7D1"/>
    <w:rsid w:val="57EF0383"/>
    <w:rsid w:val="5810E500"/>
    <w:rsid w:val="581B6C06"/>
    <w:rsid w:val="58293BAD"/>
    <w:rsid w:val="583C8D85"/>
    <w:rsid w:val="58434B16"/>
    <w:rsid w:val="584D9052"/>
    <w:rsid w:val="5850B3DF"/>
    <w:rsid w:val="5858ECEB"/>
    <w:rsid w:val="585F4CDF"/>
    <w:rsid w:val="58621430"/>
    <w:rsid w:val="586C98E7"/>
    <w:rsid w:val="586E1D54"/>
    <w:rsid w:val="587487AF"/>
    <w:rsid w:val="587682CF"/>
    <w:rsid w:val="5876F5CA"/>
    <w:rsid w:val="587812C7"/>
    <w:rsid w:val="587D7FCF"/>
    <w:rsid w:val="587DF8F7"/>
    <w:rsid w:val="588A0921"/>
    <w:rsid w:val="58985F2F"/>
    <w:rsid w:val="58998965"/>
    <w:rsid w:val="58A782B4"/>
    <w:rsid w:val="58A8C38E"/>
    <w:rsid w:val="58B847A8"/>
    <w:rsid w:val="58B98D26"/>
    <w:rsid w:val="58C04811"/>
    <w:rsid w:val="58C5BEAA"/>
    <w:rsid w:val="58C6498A"/>
    <w:rsid w:val="58C9DC53"/>
    <w:rsid w:val="58CCB0BA"/>
    <w:rsid w:val="58D321A2"/>
    <w:rsid w:val="58DC8BB1"/>
    <w:rsid w:val="58F57537"/>
    <w:rsid w:val="5905829A"/>
    <w:rsid w:val="5907BB85"/>
    <w:rsid w:val="590BEF93"/>
    <w:rsid w:val="591F4482"/>
    <w:rsid w:val="591F62B2"/>
    <w:rsid w:val="5927B994"/>
    <w:rsid w:val="592EB0CD"/>
    <w:rsid w:val="5945B26E"/>
    <w:rsid w:val="594CF035"/>
    <w:rsid w:val="595F0E53"/>
    <w:rsid w:val="596F9B57"/>
    <w:rsid w:val="597142EA"/>
    <w:rsid w:val="597364C4"/>
    <w:rsid w:val="5975E57A"/>
    <w:rsid w:val="5989BF09"/>
    <w:rsid w:val="5994DCB2"/>
    <w:rsid w:val="59A029B2"/>
    <w:rsid w:val="59A3CB84"/>
    <w:rsid w:val="59AF0E40"/>
    <w:rsid w:val="59B665BF"/>
    <w:rsid w:val="59BA4C93"/>
    <w:rsid w:val="59C04ACB"/>
    <w:rsid w:val="59C12ACB"/>
    <w:rsid w:val="59CD8E30"/>
    <w:rsid w:val="59DCE3EE"/>
    <w:rsid w:val="59E2C18C"/>
    <w:rsid w:val="59E426F7"/>
    <w:rsid w:val="59E74EFF"/>
    <w:rsid w:val="59F78563"/>
    <w:rsid w:val="59F9A980"/>
    <w:rsid w:val="59FB4315"/>
    <w:rsid w:val="5A056562"/>
    <w:rsid w:val="5A08425D"/>
    <w:rsid w:val="5A221C20"/>
    <w:rsid w:val="5A28441D"/>
    <w:rsid w:val="5A30AEC0"/>
    <w:rsid w:val="5A3D1194"/>
    <w:rsid w:val="5A4C6E4B"/>
    <w:rsid w:val="5A567C68"/>
    <w:rsid w:val="5A6F683F"/>
    <w:rsid w:val="5A7424C4"/>
    <w:rsid w:val="5A75F39B"/>
    <w:rsid w:val="5A77060B"/>
    <w:rsid w:val="5A7A310E"/>
    <w:rsid w:val="5A7B15F0"/>
    <w:rsid w:val="5A88EE51"/>
    <w:rsid w:val="5A8B4D09"/>
    <w:rsid w:val="5A8E0AE6"/>
    <w:rsid w:val="5A9F33EF"/>
    <w:rsid w:val="5AA416D1"/>
    <w:rsid w:val="5AAF81F8"/>
    <w:rsid w:val="5AB32ECD"/>
    <w:rsid w:val="5ABC2FF7"/>
    <w:rsid w:val="5AC96697"/>
    <w:rsid w:val="5AE2D2F4"/>
    <w:rsid w:val="5AE9452F"/>
    <w:rsid w:val="5AEBE689"/>
    <w:rsid w:val="5AF73BE3"/>
    <w:rsid w:val="5B0C2309"/>
    <w:rsid w:val="5B2063CC"/>
    <w:rsid w:val="5B250F27"/>
    <w:rsid w:val="5B269FE8"/>
    <w:rsid w:val="5B2E7815"/>
    <w:rsid w:val="5B2F0DD6"/>
    <w:rsid w:val="5B345336"/>
    <w:rsid w:val="5B392AD7"/>
    <w:rsid w:val="5B3B862A"/>
    <w:rsid w:val="5B3C8A9C"/>
    <w:rsid w:val="5B3E106D"/>
    <w:rsid w:val="5B3E2D24"/>
    <w:rsid w:val="5B419CF7"/>
    <w:rsid w:val="5B427541"/>
    <w:rsid w:val="5B4D8C6E"/>
    <w:rsid w:val="5B575093"/>
    <w:rsid w:val="5B5FCDB0"/>
    <w:rsid w:val="5B73E99E"/>
    <w:rsid w:val="5B8DF719"/>
    <w:rsid w:val="5B8DFC2A"/>
    <w:rsid w:val="5B9156B4"/>
    <w:rsid w:val="5B93AFC0"/>
    <w:rsid w:val="5B979830"/>
    <w:rsid w:val="5BB21A03"/>
    <w:rsid w:val="5BCC4DAE"/>
    <w:rsid w:val="5BCDB6B7"/>
    <w:rsid w:val="5BCEF6F1"/>
    <w:rsid w:val="5BF3657D"/>
    <w:rsid w:val="5BF515E3"/>
    <w:rsid w:val="5C03050C"/>
    <w:rsid w:val="5C04214F"/>
    <w:rsid w:val="5C05E20C"/>
    <w:rsid w:val="5C0F9D1A"/>
    <w:rsid w:val="5C152139"/>
    <w:rsid w:val="5C1EAEFF"/>
    <w:rsid w:val="5C1F1186"/>
    <w:rsid w:val="5C295C85"/>
    <w:rsid w:val="5C2CD2D1"/>
    <w:rsid w:val="5C2E2CF0"/>
    <w:rsid w:val="5C3C139D"/>
    <w:rsid w:val="5C43831F"/>
    <w:rsid w:val="5C440998"/>
    <w:rsid w:val="5C643544"/>
    <w:rsid w:val="5C6C3BA5"/>
    <w:rsid w:val="5C6E2A1C"/>
    <w:rsid w:val="5C7EBFBF"/>
    <w:rsid w:val="5C7FD812"/>
    <w:rsid w:val="5C8B3F82"/>
    <w:rsid w:val="5C971030"/>
    <w:rsid w:val="5C9909CB"/>
    <w:rsid w:val="5CAA2482"/>
    <w:rsid w:val="5CC3EF3F"/>
    <w:rsid w:val="5CC55437"/>
    <w:rsid w:val="5CCB953B"/>
    <w:rsid w:val="5CCC2B38"/>
    <w:rsid w:val="5CDB93C3"/>
    <w:rsid w:val="5CDC51D8"/>
    <w:rsid w:val="5CDFD0CC"/>
    <w:rsid w:val="5CE43187"/>
    <w:rsid w:val="5CE9B3B8"/>
    <w:rsid w:val="5CEBFB17"/>
    <w:rsid w:val="5CECFCD2"/>
    <w:rsid w:val="5CFDE06E"/>
    <w:rsid w:val="5D03F8E7"/>
    <w:rsid w:val="5D16950F"/>
    <w:rsid w:val="5D1B4128"/>
    <w:rsid w:val="5D273DD7"/>
    <w:rsid w:val="5D37FB30"/>
    <w:rsid w:val="5D3B8979"/>
    <w:rsid w:val="5D597D2F"/>
    <w:rsid w:val="5D6086D6"/>
    <w:rsid w:val="5D72A602"/>
    <w:rsid w:val="5D800DC5"/>
    <w:rsid w:val="5D86E206"/>
    <w:rsid w:val="5D92051F"/>
    <w:rsid w:val="5D9787E2"/>
    <w:rsid w:val="5D9CDB3E"/>
    <w:rsid w:val="5DADCA06"/>
    <w:rsid w:val="5DB80203"/>
    <w:rsid w:val="5DCAF923"/>
    <w:rsid w:val="5DF35E3A"/>
    <w:rsid w:val="5E0033AB"/>
    <w:rsid w:val="5E0CDB6A"/>
    <w:rsid w:val="5E1002D2"/>
    <w:rsid w:val="5E19A784"/>
    <w:rsid w:val="5E22EF18"/>
    <w:rsid w:val="5E341D6D"/>
    <w:rsid w:val="5E466879"/>
    <w:rsid w:val="5E4C7A95"/>
    <w:rsid w:val="5E4E6059"/>
    <w:rsid w:val="5E4FF61B"/>
    <w:rsid w:val="5E50079C"/>
    <w:rsid w:val="5E537351"/>
    <w:rsid w:val="5E5A2344"/>
    <w:rsid w:val="5E5A86FE"/>
    <w:rsid w:val="5E5CE1A6"/>
    <w:rsid w:val="5E5ECBA3"/>
    <w:rsid w:val="5E694C82"/>
    <w:rsid w:val="5E731F5A"/>
    <w:rsid w:val="5E771A2A"/>
    <w:rsid w:val="5E845484"/>
    <w:rsid w:val="5E87B5A1"/>
    <w:rsid w:val="5E8B9FD2"/>
    <w:rsid w:val="5E8CDD2A"/>
    <w:rsid w:val="5E910918"/>
    <w:rsid w:val="5E945144"/>
    <w:rsid w:val="5E972113"/>
    <w:rsid w:val="5EAF7DD8"/>
    <w:rsid w:val="5EB48896"/>
    <w:rsid w:val="5EB6C5C8"/>
    <w:rsid w:val="5EBF8476"/>
    <w:rsid w:val="5ECFE0B9"/>
    <w:rsid w:val="5ED5854A"/>
    <w:rsid w:val="5EDC1FF9"/>
    <w:rsid w:val="5EF871B5"/>
    <w:rsid w:val="5F05A7EB"/>
    <w:rsid w:val="5F08435B"/>
    <w:rsid w:val="5F1DACCA"/>
    <w:rsid w:val="5F24ADF0"/>
    <w:rsid w:val="5F3532D8"/>
    <w:rsid w:val="5F3B7795"/>
    <w:rsid w:val="5F4FF21E"/>
    <w:rsid w:val="5F5BB0D7"/>
    <w:rsid w:val="5F6F87ED"/>
    <w:rsid w:val="5F7082B8"/>
    <w:rsid w:val="5F7E0952"/>
    <w:rsid w:val="5FA8AC87"/>
    <w:rsid w:val="5FAC69E2"/>
    <w:rsid w:val="5FB976BD"/>
    <w:rsid w:val="5FB9B237"/>
    <w:rsid w:val="5FE4F026"/>
    <w:rsid w:val="5FE85FED"/>
    <w:rsid w:val="5FFEEAA7"/>
    <w:rsid w:val="600713A3"/>
    <w:rsid w:val="60086C95"/>
    <w:rsid w:val="600908AB"/>
    <w:rsid w:val="6010C2A9"/>
    <w:rsid w:val="601D8727"/>
    <w:rsid w:val="601EFC68"/>
    <w:rsid w:val="6022BB2A"/>
    <w:rsid w:val="60260AD7"/>
    <w:rsid w:val="6028376C"/>
    <w:rsid w:val="603C1C96"/>
    <w:rsid w:val="6041069D"/>
    <w:rsid w:val="6046D3CD"/>
    <w:rsid w:val="605BEF87"/>
    <w:rsid w:val="605DFAD7"/>
    <w:rsid w:val="605EBF55"/>
    <w:rsid w:val="6062B73A"/>
    <w:rsid w:val="60646D6A"/>
    <w:rsid w:val="606DA21F"/>
    <w:rsid w:val="6071D55D"/>
    <w:rsid w:val="6072E124"/>
    <w:rsid w:val="60863C62"/>
    <w:rsid w:val="608E0CED"/>
    <w:rsid w:val="608FCBD3"/>
    <w:rsid w:val="60942F55"/>
    <w:rsid w:val="60AB5014"/>
    <w:rsid w:val="60B45CCA"/>
    <w:rsid w:val="60B83476"/>
    <w:rsid w:val="60B8FDFE"/>
    <w:rsid w:val="60BC48CD"/>
    <w:rsid w:val="60BD425A"/>
    <w:rsid w:val="60DB09D9"/>
    <w:rsid w:val="60E4E831"/>
    <w:rsid w:val="60E8B778"/>
    <w:rsid w:val="60EF2BEA"/>
    <w:rsid w:val="60FE898C"/>
    <w:rsid w:val="6114B812"/>
    <w:rsid w:val="611D6818"/>
    <w:rsid w:val="6125111A"/>
    <w:rsid w:val="6125B378"/>
    <w:rsid w:val="612FB624"/>
    <w:rsid w:val="61346763"/>
    <w:rsid w:val="6145B70C"/>
    <w:rsid w:val="6157FAD6"/>
    <w:rsid w:val="6160E6D3"/>
    <w:rsid w:val="61725026"/>
    <w:rsid w:val="61758735"/>
    <w:rsid w:val="6180617F"/>
    <w:rsid w:val="618CC9FF"/>
    <w:rsid w:val="6191E020"/>
    <w:rsid w:val="61AA21C2"/>
    <w:rsid w:val="61AB4A78"/>
    <w:rsid w:val="61B327CA"/>
    <w:rsid w:val="61BCABF5"/>
    <w:rsid w:val="61BE6CBA"/>
    <w:rsid w:val="61CDC898"/>
    <w:rsid w:val="61DF3DBE"/>
    <w:rsid w:val="621D1637"/>
    <w:rsid w:val="622A43E6"/>
    <w:rsid w:val="62339278"/>
    <w:rsid w:val="62395D29"/>
    <w:rsid w:val="624565E2"/>
    <w:rsid w:val="62484AA0"/>
    <w:rsid w:val="62566F22"/>
    <w:rsid w:val="625C1349"/>
    <w:rsid w:val="62612041"/>
    <w:rsid w:val="6266AF51"/>
    <w:rsid w:val="6273592C"/>
    <w:rsid w:val="62825948"/>
    <w:rsid w:val="628EA651"/>
    <w:rsid w:val="629A5CD4"/>
    <w:rsid w:val="62AAAEF7"/>
    <w:rsid w:val="62AFA81C"/>
    <w:rsid w:val="62B0EAA7"/>
    <w:rsid w:val="62B53236"/>
    <w:rsid w:val="62CEEFFA"/>
    <w:rsid w:val="62D469A9"/>
    <w:rsid w:val="62D75E2E"/>
    <w:rsid w:val="62D9413E"/>
    <w:rsid w:val="62DDCB56"/>
    <w:rsid w:val="62E2B097"/>
    <w:rsid w:val="62EABC7B"/>
    <w:rsid w:val="62F4357E"/>
    <w:rsid w:val="62F840FE"/>
    <w:rsid w:val="62F8FDE1"/>
    <w:rsid w:val="62F98F15"/>
    <w:rsid w:val="63067498"/>
    <w:rsid w:val="63191C5F"/>
    <w:rsid w:val="6319F953"/>
    <w:rsid w:val="631A55ED"/>
    <w:rsid w:val="631F77D0"/>
    <w:rsid w:val="633D9AA4"/>
    <w:rsid w:val="63615520"/>
    <w:rsid w:val="636AD21F"/>
    <w:rsid w:val="636D6BFB"/>
    <w:rsid w:val="6370ACF5"/>
    <w:rsid w:val="6374A200"/>
    <w:rsid w:val="63842E8C"/>
    <w:rsid w:val="638D9894"/>
    <w:rsid w:val="638DB1C5"/>
    <w:rsid w:val="63A6B834"/>
    <w:rsid w:val="63ACF2A2"/>
    <w:rsid w:val="63AD2971"/>
    <w:rsid w:val="63B2FBA8"/>
    <w:rsid w:val="63B921E0"/>
    <w:rsid w:val="63BFDAD1"/>
    <w:rsid w:val="63C95A75"/>
    <w:rsid w:val="63E4E01C"/>
    <w:rsid w:val="63E6D882"/>
    <w:rsid w:val="63F64B55"/>
    <w:rsid w:val="640D7F37"/>
    <w:rsid w:val="6411BE45"/>
    <w:rsid w:val="641ED484"/>
    <w:rsid w:val="6422EC5B"/>
    <w:rsid w:val="6430280D"/>
    <w:rsid w:val="644FDB83"/>
    <w:rsid w:val="64512390"/>
    <w:rsid w:val="645C7F87"/>
    <w:rsid w:val="64694FF0"/>
    <w:rsid w:val="64760E15"/>
    <w:rsid w:val="64829B05"/>
    <w:rsid w:val="6482DD04"/>
    <w:rsid w:val="64894549"/>
    <w:rsid w:val="649B1E2D"/>
    <w:rsid w:val="649B79A6"/>
    <w:rsid w:val="64A82C2A"/>
    <w:rsid w:val="64B4BDF9"/>
    <w:rsid w:val="64B4DE02"/>
    <w:rsid w:val="64BC698E"/>
    <w:rsid w:val="64C1F60A"/>
    <w:rsid w:val="64CA3314"/>
    <w:rsid w:val="64CB7C8B"/>
    <w:rsid w:val="64E35310"/>
    <w:rsid w:val="64FEAF44"/>
    <w:rsid w:val="65122035"/>
    <w:rsid w:val="6516F7AE"/>
    <w:rsid w:val="651CA41A"/>
    <w:rsid w:val="65374990"/>
    <w:rsid w:val="653D3899"/>
    <w:rsid w:val="653DB449"/>
    <w:rsid w:val="653FA9EF"/>
    <w:rsid w:val="65458C1B"/>
    <w:rsid w:val="65551605"/>
    <w:rsid w:val="655BB144"/>
    <w:rsid w:val="656DBC77"/>
    <w:rsid w:val="6572F048"/>
    <w:rsid w:val="657B03AF"/>
    <w:rsid w:val="657F62A9"/>
    <w:rsid w:val="65830C81"/>
    <w:rsid w:val="65979E3C"/>
    <w:rsid w:val="659CCCEE"/>
    <w:rsid w:val="659E0C37"/>
    <w:rsid w:val="65A689A1"/>
    <w:rsid w:val="65BC9A08"/>
    <w:rsid w:val="65C97831"/>
    <w:rsid w:val="65CC3157"/>
    <w:rsid w:val="65DC8830"/>
    <w:rsid w:val="65DDBC89"/>
    <w:rsid w:val="65E2A0F7"/>
    <w:rsid w:val="65E2F46D"/>
    <w:rsid w:val="65EB5AD4"/>
    <w:rsid w:val="65F96607"/>
    <w:rsid w:val="660F9D14"/>
    <w:rsid w:val="66123FA1"/>
    <w:rsid w:val="6616392E"/>
    <w:rsid w:val="661BA685"/>
    <w:rsid w:val="66205537"/>
    <w:rsid w:val="6620DF02"/>
    <w:rsid w:val="6629FDB6"/>
    <w:rsid w:val="662F0985"/>
    <w:rsid w:val="66374E30"/>
    <w:rsid w:val="663F591E"/>
    <w:rsid w:val="663FD5C9"/>
    <w:rsid w:val="66438166"/>
    <w:rsid w:val="6646ACB7"/>
    <w:rsid w:val="66634171"/>
    <w:rsid w:val="66724EF6"/>
    <w:rsid w:val="6674EA96"/>
    <w:rsid w:val="668FCB8E"/>
    <w:rsid w:val="66955036"/>
    <w:rsid w:val="66A2CC09"/>
    <w:rsid w:val="66B7E196"/>
    <w:rsid w:val="66CC4340"/>
    <w:rsid w:val="66E313B2"/>
    <w:rsid w:val="66E75BFB"/>
    <w:rsid w:val="66EDA0C7"/>
    <w:rsid w:val="66F9771C"/>
    <w:rsid w:val="670EDD77"/>
    <w:rsid w:val="671BD1E3"/>
    <w:rsid w:val="671C980A"/>
    <w:rsid w:val="671DC134"/>
    <w:rsid w:val="672D0936"/>
    <w:rsid w:val="6733CD73"/>
    <w:rsid w:val="6735B373"/>
    <w:rsid w:val="673837E1"/>
    <w:rsid w:val="67423EE3"/>
    <w:rsid w:val="6744F45C"/>
    <w:rsid w:val="6745D7F7"/>
    <w:rsid w:val="676EBE4C"/>
    <w:rsid w:val="6774AE7A"/>
    <w:rsid w:val="6776D285"/>
    <w:rsid w:val="67785276"/>
    <w:rsid w:val="67808AFB"/>
    <w:rsid w:val="67859058"/>
    <w:rsid w:val="67881A9F"/>
    <w:rsid w:val="67948389"/>
    <w:rsid w:val="679B864B"/>
    <w:rsid w:val="67B5267C"/>
    <w:rsid w:val="67C0B3B9"/>
    <w:rsid w:val="67CA62A3"/>
    <w:rsid w:val="67DBB42E"/>
    <w:rsid w:val="67DD6D4F"/>
    <w:rsid w:val="67E1C8F8"/>
    <w:rsid w:val="67E55679"/>
    <w:rsid w:val="67EC7529"/>
    <w:rsid w:val="67ED93C5"/>
    <w:rsid w:val="67FA2625"/>
    <w:rsid w:val="67FD3335"/>
    <w:rsid w:val="67FE9027"/>
    <w:rsid w:val="68048D76"/>
    <w:rsid w:val="6809C1F8"/>
    <w:rsid w:val="680D215C"/>
    <w:rsid w:val="68169302"/>
    <w:rsid w:val="681B4F5B"/>
    <w:rsid w:val="68219AA9"/>
    <w:rsid w:val="68299B12"/>
    <w:rsid w:val="683908C5"/>
    <w:rsid w:val="683A6335"/>
    <w:rsid w:val="683A7491"/>
    <w:rsid w:val="683BC92E"/>
    <w:rsid w:val="683D6267"/>
    <w:rsid w:val="68504037"/>
    <w:rsid w:val="685C759F"/>
    <w:rsid w:val="685DC9AC"/>
    <w:rsid w:val="6864510A"/>
    <w:rsid w:val="686E0F9C"/>
    <w:rsid w:val="687C2639"/>
    <w:rsid w:val="687FFCDC"/>
    <w:rsid w:val="6891D6B6"/>
    <w:rsid w:val="689E9B37"/>
    <w:rsid w:val="68A5402D"/>
    <w:rsid w:val="68B39DA5"/>
    <w:rsid w:val="68B86BE2"/>
    <w:rsid w:val="68BA39A3"/>
    <w:rsid w:val="68C3F11E"/>
    <w:rsid w:val="68CD6026"/>
    <w:rsid w:val="68DC5408"/>
    <w:rsid w:val="68DFD84D"/>
    <w:rsid w:val="68E0882E"/>
    <w:rsid w:val="68E24DF3"/>
    <w:rsid w:val="68F52463"/>
    <w:rsid w:val="68F5C2D7"/>
    <w:rsid w:val="6906BE1B"/>
    <w:rsid w:val="69091084"/>
    <w:rsid w:val="690E325B"/>
    <w:rsid w:val="690F9D3E"/>
    <w:rsid w:val="6916BB12"/>
    <w:rsid w:val="691E872B"/>
    <w:rsid w:val="692210C7"/>
    <w:rsid w:val="6926E439"/>
    <w:rsid w:val="692D5C15"/>
    <w:rsid w:val="692F2B86"/>
    <w:rsid w:val="693EDCA8"/>
    <w:rsid w:val="6951922F"/>
    <w:rsid w:val="695728E4"/>
    <w:rsid w:val="695AF9C4"/>
    <w:rsid w:val="695C689F"/>
    <w:rsid w:val="696F6128"/>
    <w:rsid w:val="697B804C"/>
    <w:rsid w:val="697FD62D"/>
    <w:rsid w:val="69842B86"/>
    <w:rsid w:val="698BBBFC"/>
    <w:rsid w:val="6997EF6E"/>
    <w:rsid w:val="69A34196"/>
    <w:rsid w:val="69A418D7"/>
    <w:rsid w:val="69A531C2"/>
    <w:rsid w:val="69A5CBFE"/>
    <w:rsid w:val="69AC4C3F"/>
    <w:rsid w:val="69B0E30E"/>
    <w:rsid w:val="69B7053C"/>
    <w:rsid w:val="69BF0B83"/>
    <w:rsid w:val="69C180E9"/>
    <w:rsid w:val="69D06227"/>
    <w:rsid w:val="69D42B64"/>
    <w:rsid w:val="69D50AB8"/>
    <w:rsid w:val="69DBE42B"/>
    <w:rsid w:val="69DC0C97"/>
    <w:rsid w:val="69E36C96"/>
    <w:rsid w:val="69EE7912"/>
    <w:rsid w:val="69F28303"/>
    <w:rsid w:val="6A00607B"/>
    <w:rsid w:val="6A0EDD4D"/>
    <w:rsid w:val="6A1455AC"/>
    <w:rsid w:val="6A2D55A2"/>
    <w:rsid w:val="6A41BACA"/>
    <w:rsid w:val="6A57C29D"/>
    <w:rsid w:val="6A58B9FC"/>
    <w:rsid w:val="6A662143"/>
    <w:rsid w:val="6A66F1CC"/>
    <w:rsid w:val="6A66FFF7"/>
    <w:rsid w:val="6A68AA91"/>
    <w:rsid w:val="6A69ACB5"/>
    <w:rsid w:val="6A6C8AD9"/>
    <w:rsid w:val="6A710172"/>
    <w:rsid w:val="6A8CFAC7"/>
    <w:rsid w:val="6A97D325"/>
    <w:rsid w:val="6A9A73CE"/>
    <w:rsid w:val="6AA5E58E"/>
    <w:rsid w:val="6AA719E1"/>
    <w:rsid w:val="6ABA45E6"/>
    <w:rsid w:val="6ABD0DF3"/>
    <w:rsid w:val="6ABDCCE1"/>
    <w:rsid w:val="6AC103D5"/>
    <w:rsid w:val="6AD06EAA"/>
    <w:rsid w:val="6AD8D0EC"/>
    <w:rsid w:val="6ADCBC97"/>
    <w:rsid w:val="6AE30D9E"/>
    <w:rsid w:val="6AE40370"/>
    <w:rsid w:val="6AEBA035"/>
    <w:rsid w:val="6AF23A09"/>
    <w:rsid w:val="6B0D687A"/>
    <w:rsid w:val="6B1470E5"/>
    <w:rsid w:val="6B18D815"/>
    <w:rsid w:val="6B33FEB6"/>
    <w:rsid w:val="6B581702"/>
    <w:rsid w:val="6B586211"/>
    <w:rsid w:val="6B5D06DB"/>
    <w:rsid w:val="6B60FAF6"/>
    <w:rsid w:val="6B7EE664"/>
    <w:rsid w:val="6B8AAC45"/>
    <w:rsid w:val="6B8E6459"/>
    <w:rsid w:val="6B96FDB9"/>
    <w:rsid w:val="6B9A44C1"/>
    <w:rsid w:val="6B9F67A4"/>
    <w:rsid w:val="6BA67A99"/>
    <w:rsid w:val="6BAA74B9"/>
    <w:rsid w:val="6BB465A3"/>
    <w:rsid w:val="6BB4E156"/>
    <w:rsid w:val="6BC5DBB6"/>
    <w:rsid w:val="6BCCCBD8"/>
    <w:rsid w:val="6BF43549"/>
    <w:rsid w:val="6BF7E6B6"/>
    <w:rsid w:val="6BF8C630"/>
    <w:rsid w:val="6BFD9D0A"/>
    <w:rsid w:val="6C0261D5"/>
    <w:rsid w:val="6C09756E"/>
    <w:rsid w:val="6C0C814D"/>
    <w:rsid w:val="6C217BD1"/>
    <w:rsid w:val="6C23BA81"/>
    <w:rsid w:val="6C24816A"/>
    <w:rsid w:val="6C2A5F45"/>
    <w:rsid w:val="6C316319"/>
    <w:rsid w:val="6C3A42F8"/>
    <w:rsid w:val="6C3B1959"/>
    <w:rsid w:val="6C40D8A8"/>
    <w:rsid w:val="6C4F598F"/>
    <w:rsid w:val="6C5EC40C"/>
    <w:rsid w:val="6C700AB8"/>
    <w:rsid w:val="6C78D026"/>
    <w:rsid w:val="6C7AEA94"/>
    <w:rsid w:val="6C8A9DE9"/>
    <w:rsid w:val="6C93DBEE"/>
    <w:rsid w:val="6C93E3CA"/>
    <w:rsid w:val="6C9FE004"/>
    <w:rsid w:val="6CA1F40E"/>
    <w:rsid w:val="6CAB9D40"/>
    <w:rsid w:val="6CB4F82C"/>
    <w:rsid w:val="6CC20EA7"/>
    <w:rsid w:val="6CC76BC5"/>
    <w:rsid w:val="6CC77B0D"/>
    <w:rsid w:val="6CCBD1F7"/>
    <w:rsid w:val="6CD0784A"/>
    <w:rsid w:val="6CD20923"/>
    <w:rsid w:val="6CE69269"/>
    <w:rsid w:val="6CF64F27"/>
    <w:rsid w:val="6CF64FD1"/>
    <w:rsid w:val="6CF6F187"/>
    <w:rsid w:val="6CF8DFCD"/>
    <w:rsid w:val="6CFA85AF"/>
    <w:rsid w:val="6CFF3527"/>
    <w:rsid w:val="6D050169"/>
    <w:rsid w:val="6D052C33"/>
    <w:rsid w:val="6D0B5256"/>
    <w:rsid w:val="6D11E38E"/>
    <w:rsid w:val="6D139D6D"/>
    <w:rsid w:val="6D16C056"/>
    <w:rsid w:val="6D186ABE"/>
    <w:rsid w:val="6D3E9C48"/>
    <w:rsid w:val="6D50CB35"/>
    <w:rsid w:val="6D5B1067"/>
    <w:rsid w:val="6D5E142B"/>
    <w:rsid w:val="6D625069"/>
    <w:rsid w:val="6D63548F"/>
    <w:rsid w:val="6D64A7F5"/>
    <w:rsid w:val="6D738BEB"/>
    <w:rsid w:val="6D744978"/>
    <w:rsid w:val="6D80B2BE"/>
    <w:rsid w:val="6D837732"/>
    <w:rsid w:val="6D9589B6"/>
    <w:rsid w:val="6D995B99"/>
    <w:rsid w:val="6DA388E8"/>
    <w:rsid w:val="6DB16D36"/>
    <w:rsid w:val="6DC1A733"/>
    <w:rsid w:val="6DE70E11"/>
    <w:rsid w:val="6DF1156F"/>
    <w:rsid w:val="6E021892"/>
    <w:rsid w:val="6E0852EF"/>
    <w:rsid w:val="6E0CBBB0"/>
    <w:rsid w:val="6E0D83E4"/>
    <w:rsid w:val="6E177A69"/>
    <w:rsid w:val="6E18F710"/>
    <w:rsid w:val="6E3105EA"/>
    <w:rsid w:val="6E41C493"/>
    <w:rsid w:val="6E4B092A"/>
    <w:rsid w:val="6E4D3F49"/>
    <w:rsid w:val="6E4DB3D7"/>
    <w:rsid w:val="6E4EEE07"/>
    <w:rsid w:val="6E50910D"/>
    <w:rsid w:val="6E55B988"/>
    <w:rsid w:val="6E58F022"/>
    <w:rsid w:val="6E5B744A"/>
    <w:rsid w:val="6E5CD5E6"/>
    <w:rsid w:val="6E6E3142"/>
    <w:rsid w:val="6E76AC20"/>
    <w:rsid w:val="6E7B13E3"/>
    <w:rsid w:val="6EA8BA62"/>
    <w:rsid w:val="6EB53B2A"/>
    <w:rsid w:val="6ECDE30A"/>
    <w:rsid w:val="6ED5463F"/>
    <w:rsid w:val="6EEAA26E"/>
    <w:rsid w:val="6EED181D"/>
    <w:rsid w:val="6EEED357"/>
    <w:rsid w:val="6EF3BC56"/>
    <w:rsid w:val="6EF5CB8B"/>
    <w:rsid w:val="6EF85A81"/>
    <w:rsid w:val="6EFD690C"/>
    <w:rsid w:val="6F161CCB"/>
    <w:rsid w:val="6F17863A"/>
    <w:rsid w:val="6F1B6978"/>
    <w:rsid w:val="6F1EB8E9"/>
    <w:rsid w:val="6F28D658"/>
    <w:rsid w:val="6F2C7077"/>
    <w:rsid w:val="6F348F1F"/>
    <w:rsid w:val="6F4094D6"/>
    <w:rsid w:val="6F46CB86"/>
    <w:rsid w:val="6F5CE688"/>
    <w:rsid w:val="6F5D3DB0"/>
    <w:rsid w:val="6F609E76"/>
    <w:rsid w:val="6F720A8D"/>
    <w:rsid w:val="6F765B97"/>
    <w:rsid w:val="6F7775EF"/>
    <w:rsid w:val="6F89BFA3"/>
    <w:rsid w:val="6F941847"/>
    <w:rsid w:val="6F946460"/>
    <w:rsid w:val="6F99E395"/>
    <w:rsid w:val="6FA97D18"/>
    <w:rsid w:val="6FBC47C6"/>
    <w:rsid w:val="6FC4826F"/>
    <w:rsid w:val="6FCEDA9C"/>
    <w:rsid w:val="6FD6BDBD"/>
    <w:rsid w:val="6FE70A19"/>
    <w:rsid w:val="6FE81AD2"/>
    <w:rsid w:val="6FEA43C9"/>
    <w:rsid w:val="6FEBAA49"/>
    <w:rsid w:val="6FF65620"/>
    <w:rsid w:val="6FFF0E09"/>
    <w:rsid w:val="700A52BC"/>
    <w:rsid w:val="701EC790"/>
    <w:rsid w:val="7023D3F5"/>
    <w:rsid w:val="7027EEEC"/>
    <w:rsid w:val="702D6E53"/>
    <w:rsid w:val="703004B9"/>
    <w:rsid w:val="703C74B1"/>
    <w:rsid w:val="70487551"/>
    <w:rsid w:val="70597BED"/>
    <w:rsid w:val="705D338F"/>
    <w:rsid w:val="706BD8CE"/>
    <w:rsid w:val="706F07A2"/>
    <w:rsid w:val="706FB2C1"/>
    <w:rsid w:val="7080AFE7"/>
    <w:rsid w:val="7088D6B8"/>
    <w:rsid w:val="708A17FD"/>
    <w:rsid w:val="708C7084"/>
    <w:rsid w:val="7092177A"/>
    <w:rsid w:val="7096ADE6"/>
    <w:rsid w:val="70B49D64"/>
    <w:rsid w:val="70B8373E"/>
    <w:rsid w:val="70BCC796"/>
    <w:rsid w:val="70C525A3"/>
    <w:rsid w:val="70CA20FD"/>
    <w:rsid w:val="70CE8EAD"/>
    <w:rsid w:val="70DB5FD0"/>
    <w:rsid w:val="70DC08FA"/>
    <w:rsid w:val="70E331A9"/>
    <w:rsid w:val="70E6E4B2"/>
    <w:rsid w:val="70E7DDFE"/>
    <w:rsid w:val="70E94EA2"/>
    <w:rsid w:val="70ED465F"/>
    <w:rsid w:val="70F3B164"/>
    <w:rsid w:val="71029490"/>
    <w:rsid w:val="71132B2F"/>
    <w:rsid w:val="71284A4B"/>
    <w:rsid w:val="71323023"/>
    <w:rsid w:val="713570AA"/>
    <w:rsid w:val="71357FE8"/>
    <w:rsid w:val="713DEC56"/>
    <w:rsid w:val="7142A2B8"/>
    <w:rsid w:val="7144B9CD"/>
    <w:rsid w:val="7149B1B8"/>
    <w:rsid w:val="714D2D35"/>
    <w:rsid w:val="714EA89F"/>
    <w:rsid w:val="71567644"/>
    <w:rsid w:val="715C3A37"/>
    <w:rsid w:val="71677743"/>
    <w:rsid w:val="7169A668"/>
    <w:rsid w:val="716C96DA"/>
    <w:rsid w:val="716EE5FF"/>
    <w:rsid w:val="7177D9FE"/>
    <w:rsid w:val="71787BCC"/>
    <w:rsid w:val="717C9BD2"/>
    <w:rsid w:val="71801C6A"/>
    <w:rsid w:val="71817651"/>
    <w:rsid w:val="71838D85"/>
    <w:rsid w:val="71851714"/>
    <w:rsid w:val="719C7935"/>
    <w:rsid w:val="71AF6A2B"/>
    <w:rsid w:val="71C3D230"/>
    <w:rsid w:val="71CA566A"/>
    <w:rsid w:val="71DAF994"/>
    <w:rsid w:val="71E467DD"/>
    <w:rsid w:val="71EBB2F5"/>
    <w:rsid w:val="71EDC5FB"/>
    <w:rsid w:val="71EFC9C0"/>
    <w:rsid w:val="72066601"/>
    <w:rsid w:val="720CCC2E"/>
    <w:rsid w:val="7225217F"/>
    <w:rsid w:val="72293190"/>
    <w:rsid w:val="7232B4B5"/>
    <w:rsid w:val="7233B44B"/>
    <w:rsid w:val="7253DB39"/>
    <w:rsid w:val="725F99A9"/>
    <w:rsid w:val="7260116A"/>
    <w:rsid w:val="72726414"/>
    <w:rsid w:val="7279C97F"/>
    <w:rsid w:val="727B0670"/>
    <w:rsid w:val="72851D30"/>
    <w:rsid w:val="7290E3C7"/>
    <w:rsid w:val="729678A6"/>
    <w:rsid w:val="729DE820"/>
    <w:rsid w:val="72BDD863"/>
    <w:rsid w:val="72C4C9F2"/>
    <w:rsid w:val="72D358ED"/>
    <w:rsid w:val="72D4629C"/>
    <w:rsid w:val="72D7EFC4"/>
    <w:rsid w:val="72D94330"/>
    <w:rsid w:val="72DC92B1"/>
    <w:rsid w:val="72E0B2FA"/>
    <w:rsid w:val="72E1D983"/>
    <w:rsid w:val="72E8F764"/>
    <w:rsid w:val="72F00ECA"/>
    <w:rsid w:val="730B1021"/>
    <w:rsid w:val="730B6DB6"/>
    <w:rsid w:val="730CE444"/>
    <w:rsid w:val="73283356"/>
    <w:rsid w:val="732BA9AC"/>
    <w:rsid w:val="732C33C3"/>
    <w:rsid w:val="7332A2A5"/>
    <w:rsid w:val="7342F5C0"/>
    <w:rsid w:val="734FFCAC"/>
    <w:rsid w:val="735AC2B3"/>
    <w:rsid w:val="7360CCE5"/>
    <w:rsid w:val="7362E1D0"/>
    <w:rsid w:val="736FBBD3"/>
    <w:rsid w:val="7370E80B"/>
    <w:rsid w:val="7372D5EB"/>
    <w:rsid w:val="73795E24"/>
    <w:rsid w:val="73820054"/>
    <w:rsid w:val="738816BE"/>
    <w:rsid w:val="738B6746"/>
    <w:rsid w:val="73939DD2"/>
    <w:rsid w:val="7397D4C8"/>
    <w:rsid w:val="739E3C1B"/>
    <w:rsid w:val="73A65B76"/>
    <w:rsid w:val="73ACDFA6"/>
    <w:rsid w:val="73B3D199"/>
    <w:rsid w:val="73B7CB50"/>
    <w:rsid w:val="73BA2022"/>
    <w:rsid w:val="73C42089"/>
    <w:rsid w:val="73C45E0F"/>
    <w:rsid w:val="73CAEE46"/>
    <w:rsid w:val="73CD5FF2"/>
    <w:rsid w:val="73D04682"/>
    <w:rsid w:val="73DEAB3E"/>
    <w:rsid w:val="73E15574"/>
    <w:rsid w:val="73E29392"/>
    <w:rsid w:val="73EA8E7B"/>
    <w:rsid w:val="73F5F500"/>
    <w:rsid w:val="73F656FE"/>
    <w:rsid w:val="740902D2"/>
    <w:rsid w:val="74172B39"/>
    <w:rsid w:val="74205B16"/>
    <w:rsid w:val="74207020"/>
    <w:rsid w:val="74236359"/>
    <w:rsid w:val="74236866"/>
    <w:rsid w:val="742966EB"/>
    <w:rsid w:val="742E235E"/>
    <w:rsid w:val="743EC1C4"/>
    <w:rsid w:val="744323A4"/>
    <w:rsid w:val="7445454C"/>
    <w:rsid w:val="744D11E6"/>
    <w:rsid w:val="745FBD7D"/>
    <w:rsid w:val="7463FDEC"/>
    <w:rsid w:val="7463FEEB"/>
    <w:rsid w:val="7469A1CC"/>
    <w:rsid w:val="74A890CC"/>
    <w:rsid w:val="74B6CAF4"/>
    <w:rsid w:val="74B747A1"/>
    <w:rsid w:val="74B8EDA8"/>
    <w:rsid w:val="74BC2E80"/>
    <w:rsid w:val="74CA80A1"/>
    <w:rsid w:val="74CAA6F7"/>
    <w:rsid w:val="74DA9BD5"/>
    <w:rsid w:val="74E8B497"/>
    <w:rsid w:val="74F35178"/>
    <w:rsid w:val="74F374E0"/>
    <w:rsid w:val="75025A25"/>
    <w:rsid w:val="75030484"/>
    <w:rsid w:val="750A6E49"/>
    <w:rsid w:val="7517E6BA"/>
    <w:rsid w:val="7520EF40"/>
    <w:rsid w:val="75249202"/>
    <w:rsid w:val="75269D6D"/>
    <w:rsid w:val="7531E3C0"/>
    <w:rsid w:val="753DD851"/>
    <w:rsid w:val="7546C556"/>
    <w:rsid w:val="754F6F65"/>
    <w:rsid w:val="7554F411"/>
    <w:rsid w:val="755731FC"/>
    <w:rsid w:val="7568023B"/>
    <w:rsid w:val="75693BB1"/>
    <w:rsid w:val="756AF84E"/>
    <w:rsid w:val="75799F6B"/>
    <w:rsid w:val="757D931C"/>
    <w:rsid w:val="7585D5F0"/>
    <w:rsid w:val="758CBE5B"/>
    <w:rsid w:val="7599C6CF"/>
    <w:rsid w:val="759C1D3D"/>
    <w:rsid w:val="759C62E1"/>
    <w:rsid w:val="75A38258"/>
    <w:rsid w:val="75C01557"/>
    <w:rsid w:val="75CF3A1A"/>
    <w:rsid w:val="75D0E4D9"/>
    <w:rsid w:val="75E5C71E"/>
    <w:rsid w:val="75EC92F9"/>
    <w:rsid w:val="75F0401F"/>
    <w:rsid w:val="75F0E3F5"/>
    <w:rsid w:val="75FA2502"/>
    <w:rsid w:val="76011788"/>
    <w:rsid w:val="760437E6"/>
    <w:rsid w:val="760C7B2F"/>
    <w:rsid w:val="761080C4"/>
    <w:rsid w:val="761C1F8F"/>
    <w:rsid w:val="761F9604"/>
    <w:rsid w:val="762326C6"/>
    <w:rsid w:val="762578FF"/>
    <w:rsid w:val="762D2CF4"/>
    <w:rsid w:val="763059E2"/>
    <w:rsid w:val="7632AC8A"/>
    <w:rsid w:val="7632B67D"/>
    <w:rsid w:val="7638BA29"/>
    <w:rsid w:val="7658967D"/>
    <w:rsid w:val="76686F52"/>
    <w:rsid w:val="766906BE"/>
    <w:rsid w:val="766D1AB7"/>
    <w:rsid w:val="766E9AA1"/>
    <w:rsid w:val="767422E2"/>
    <w:rsid w:val="767B1FC1"/>
    <w:rsid w:val="767BA6D7"/>
    <w:rsid w:val="767D3D7D"/>
    <w:rsid w:val="76836C86"/>
    <w:rsid w:val="768BA7C2"/>
    <w:rsid w:val="7690AE8F"/>
    <w:rsid w:val="769E2532"/>
    <w:rsid w:val="76B71085"/>
    <w:rsid w:val="76B7619D"/>
    <w:rsid w:val="76B99711"/>
    <w:rsid w:val="76CE639D"/>
    <w:rsid w:val="76D4F19E"/>
    <w:rsid w:val="76D78E0D"/>
    <w:rsid w:val="76DE1424"/>
    <w:rsid w:val="76DF5CDD"/>
    <w:rsid w:val="76EF6BF6"/>
    <w:rsid w:val="76F1BAC0"/>
    <w:rsid w:val="76F7755B"/>
    <w:rsid w:val="76F7CC7F"/>
    <w:rsid w:val="7703FD7C"/>
    <w:rsid w:val="77084CCF"/>
    <w:rsid w:val="770986BB"/>
    <w:rsid w:val="770AC676"/>
    <w:rsid w:val="770FA983"/>
    <w:rsid w:val="770FDECD"/>
    <w:rsid w:val="7711F444"/>
    <w:rsid w:val="7725ED66"/>
    <w:rsid w:val="772CEFE0"/>
    <w:rsid w:val="7738DB59"/>
    <w:rsid w:val="773C4812"/>
    <w:rsid w:val="77417A31"/>
    <w:rsid w:val="774FE7CE"/>
    <w:rsid w:val="77696B1C"/>
    <w:rsid w:val="777C5D70"/>
    <w:rsid w:val="7784EC19"/>
    <w:rsid w:val="7792A1E5"/>
    <w:rsid w:val="77A683D5"/>
    <w:rsid w:val="77AC6D28"/>
    <w:rsid w:val="77B56B56"/>
    <w:rsid w:val="77B672C5"/>
    <w:rsid w:val="77BF771A"/>
    <w:rsid w:val="77C9EC10"/>
    <w:rsid w:val="77D52E9D"/>
    <w:rsid w:val="7803EEDD"/>
    <w:rsid w:val="78080E20"/>
    <w:rsid w:val="78132834"/>
    <w:rsid w:val="7820050A"/>
    <w:rsid w:val="782A78D6"/>
    <w:rsid w:val="78359E6A"/>
    <w:rsid w:val="783A1787"/>
    <w:rsid w:val="783BB737"/>
    <w:rsid w:val="784C3E85"/>
    <w:rsid w:val="7853AA6F"/>
    <w:rsid w:val="78576F96"/>
    <w:rsid w:val="785773A0"/>
    <w:rsid w:val="78577941"/>
    <w:rsid w:val="7858AF54"/>
    <w:rsid w:val="785AF6C0"/>
    <w:rsid w:val="786A101D"/>
    <w:rsid w:val="786E47D6"/>
    <w:rsid w:val="7879F34E"/>
    <w:rsid w:val="78A20C53"/>
    <w:rsid w:val="78AB7580"/>
    <w:rsid w:val="78AE896B"/>
    <w:rsid w:val="78BC8864"/>
    <w:rsid w:val="78BDB05F"/>
    <w:rsid w:val="78CB020F"/>
    <w:rsid w:val="78CCE53C"/>
    <w:rsid w:val="78CDC7CF"/>
    <w:rsid w:val="78D97FBB"/>
    <w:rsid w:val="78DC34F4"/>
    <w:rsid w:val="78E49A23"/>
    <w:rsid w:val="78E8FD54"/>
    <w:rsid w:val="78FAB789"/>
    <w:rsid w:val="78FE1290"/>
    <w:rsid w:val="790320BD"/>
    <w:rsid w:val="7915CF36"/>
    <w:rsid w:val="792CEDAD"/>
    <w:rsid w:val="7938348D"/>
    <w:rsid w:val="7941C6FE"/>
    <w:rsid w:val="794C94E2"/>
    <w:rsid w:val="795209FC"/>
    <w:rsid w:val="795A6993"/>
    <w:rsid w:val="795DBA57"/>
    <w:rsid w:val="797187E2"/>
    <w:rsid w:val="79757BB9"/>
    <w:rsid w:val="79779C49"/>
    <w:rsid w:val="7981FB54"/>
    <w:rsid w:val="7983A524"/>
    <w:rsid w:val="79880835"/>
    <w:rsid w:val="798832DA"/>
    <w:rsid w:val="799D6DC7"/>
    <w:rsid w:val="79B3D96D"/>
    <w:rsid w:val="79B9F1C7"/>
    <w:rsid w:val="79C07640"/>
    <w:rsid w:val="79C1EF36"/>
    <w:rsid w:val="79CBAF8B"/>
    <w:rsid w:val="79CF2E32"/>
    <w:rsid w:val="79CFAE5A"/>
    <w:rsid w:val="79D55482"/>
    <w:rsid w:val="79D70F94"/>
    <w:rsid w:val="79E95124"/>
    <w:rsid w:val="79ECD833"/>
    <w:rsid w:val="79EE145A"/>
    <w:rsid w:val="79F23DBC"/>
    <w:rsid w:val="79F953B8"/>
    <w:rsid w:val="7A00DE80"/>
    <w:rsid w:val="7A081F6E"/>
    <w:rsid w:val="7A218E48"/>
    <w:rsid w:val="7A2BA493"/>
    <w:rsid w:val="7A2FBF93"/>
    <w:rsid w:val="7A4363DF"/>
    <w:rsid w:val="7A47BFF2"/>
    <w:rsid w:val="7A52503F"/>
    <w:rsid w:val="7A5E76C8"/>
    <w:rsid w:val="7A620BBA"/>
    <w:rsid w:val="7A680FB2"/>
    <w:rsid w:val="7A6DB1C9"/>
    <w:rsid w:val="7A73F4EA"/>
    <w:rsid w:val="7A756483"/>
    <w:rsid w:val="7A7883BB"/>
    <w:rsid w:val="7A792D9B"/>
    <w:rsid w:val="7A8EDF27"/>
    <w:rsid w:val="7A9C934D"/>
    <w:rsid w:val="7AA0171D"/>
    <w:rsid w:val="7AA469BC"/>
    <w:rsid w:val="7AAA2EAB"/>
    <w:rsid w:val="7AAE5854"/>
    <w:rsid w:val="7AB5B907"/>
    <w:rsid w:val="7AB7449E"/>
    <w:rsid w:val="7ABF478E"/>
    <w:rsid w:val="7AC5EC96"/>
    <w:rsid w:val="7AC8344B"/>
    <w:rsid w:val="7AD4C263"/>
    <w:rsid w:val="7AD77360"/>
    <w:rsid w:val="7ADD6760"/>
    <w:rsid w:val="7AE8A004"/>
    <w:rsid w:val="7AF471E5"/>
    <w:rsid w:val="7AF91EA4"/>
    <w:rsid w:val="7AF9EA73"/>
    <w:rsid w:val="7AFBE2CE"/>
    <w:rsid w:val="7B03544A"/>
    <w:rsid w:val="7B163898"/>
    <w:rsid w:val="7B223CF6"/>
    <w:rsid w:val="7B264D79"/>
    <w:rsid w:val="7B28555A"/>
    <w:rsid w:val="7B32C1C4"/>
    <w:rsid w:val="7B62A65A"/>
    <w:rsid w:val="7B64AD80"/>
    <w:rsid w:val="7B6938FE"/>
    <w:rsid w:val="7B6AE83F"/>
    <w:rsid w:val="7B7008AF"/>
    <w:rsid w:val="7B7E2897"/>
    <w:rsid w:val="7BBCDD75"/>
    <w:rsid w:val="7BC22CD7"/>
    <w:rsid w:val="7BCB3462"/>
    <w:rsid w:val="7BD07A85"/>
    <w:rsid w:val="7BD23BE6"/>
    <w:rsid w:val="7BDA9D36"/>
    <w:rsid w:val="7BDC03B3"/>
    <w:rsid w:val="7BE5D2B3"/>
    <w:rsid w:val="7BE7CF11"/>
    <w:rsid w:val="7BFB0D0F"/>
    <w:rsid w:val="7C02188F"/>
    <w:rsid w:val="7C093EC9"/>
    <w:rsid w:val="7C0AB6D3"/>
    <w:rsid w:val="7C3A7854"/>
    <w:rsid w:val="7C42B4A0"/>
    <w:rsid w:val="7C506C63"/>
    <w:rsid w:val="7C56C559"/>
    <w:rsid w:val="7C5BAD9E"/>
    <w:rsid w:val="7C6707A7"/>
    <w:rsid w:val="7C6A7609"/>
    <w:rsid w:val="7C870802"/>
    <w:rsid w:val="7C896149"/>
    <w:rsid w:val="7C8B6962"/>
    <w:rsid w:val="7C8F570E"/>
    <w:rsid w:val="7C8FCEA3"/>
    <w:rsid w:val="7C9281A0"/>
    <w:rsid w:val="7C95911B"/>
    <w:rsid w:val="7C9E84AF"/>
    <w:rsid w:val="7CA37548"/>
    <w:rsid w:val="7CA52513"/>
    <w:rsid w:val="7CA945C2"/>
    <w:rsid w:val="7CB175DF"/>
    <w:rsid w:val="7CCE93D7"/>
    <w:rsid w:val="7CD88869"/>
    <w:rsid w:val="7CE9BA7C"/>
    <w:rsid w:val="7CED9221"/>
    <w:rsid w:val="7D0306E6"/>
    <w:rsid w:val="7D07A214"/>
    <w:rsid w:val="7D0D7C8E"/>
    <w:rsid w:val="7D141A0C"/>
    <w:rsid w:val="7D170730"/>
    <w:rsid w:val="7D44EE1E"/>
    <w:rsid w:val="7D4FE016"/>
    <w:rsid w:val="7D6C159D"/>
    <w:rsid w:val="7D73C7B5"/>
    <w:rsid w:val="7D7928CA"/>
    <w:rsid w:val="7D837983"/>
    <w:rsid w:val="7D980B37"/>
    <w:rsid w:val="7DA636C8"/>
    <w:rsid w:val="7DAA4661"/>
    <w:rsid w:val="7DADDA4B"/>
    <w:rsid w:val="7DB51B5D"/>
    <w:rsid w:val="7DBEA6D4"/>
    <w:rsid w:val="7DC487C4"/>
    <w:rsid w:val="7DC9258D"/>
    <w:rsid w:val="7DCC75EB"/>
    <w:rsid w:val="7DD021F9"/>
    <w:rsid w:val="7DF01389"/>
    <w:rsid w:val="7DF42BA4"/>
    <w:rsid w:val="7DF99FB8"/>
    <w:rsid w:val="7DFA357E"/>
    <w:rsid w:val="7E0568CA"/>
    <w:rsid w:val="7E10E770"/>
    <w:rsid w:val="7E1CD360"/>
    <w:rsid w:val="7E2326A7"/>
    <w:rsid w:val="7E23CFC0"/>
    <w:rsid w:val="7E25CD6F"/>
    <w:rsid w:val="7E29E40B"/>
    <w:rsid w:val="7E33D354"/>
    <w:rsid w:val="7E342811"/>
    <w:rsid w:val="7E3F82C9"/>
    <w:rsid w:val="7E3FD501"/>
    <w:rsid w:val="7E46DFD3"/>
    <w:rsid w:val="7E4C3946"/>
    <w:rsid w:val="7E7F6B30"/>
    <w:rsid w:val="7E823EE5"/>
    <w:rsid w:val="7E870C49"/>
    <w:rsid w:val="7E9D33E2"/>
    <w:rsid w:val="7EA25B6A"/>
    <w:rsid w:val="7EA3612C"/>
    <w:rsid w:val="7EB609E0"/>
    <w:rsid w:val="7EBBAE56"/>
    <w:rsid w:val="7EBCB7A1"/>
    <w:rsid w:val="7ECF3D5B"/>
    <w:rsid w:val="7EE0C437"/>
    <w:rsid w:val="7EF2A49A"/>
    <w:rsid w:val="7EF38E31"/>
    <w:rsid w:val="7EF8D39C"/>
    <w:rsid w:val="7F18E851"/>
    <w:rsid w:val="7F1A258B"/>
    <w:rsid w:val="7F1D480C"/>
    <w:rsid w:val="7F20F8C5"/>
    <w:rsid w:val="7F217485"/>
    <w:rsid w:val="7F218975"/>
    <w:rsid w:val="7F2204D5"/>
    <w:rsid w:val="7F307F04"/>
    <w:rsid w:val="7F392D87"/>
    <w:rsid w:val="7F401E2F"/>
    <w:rsid w:val="7F40C019"/>
    <w:rsid w:val="7F41870D"/>
    <w:rsid w:val="7F46B802"/>
    <w:rsid w:val="7F5A1BB6"/>
    <w:rsid w:val="7F5B1F3B"/>
    <w:rsid w:val="7F5BF4A0"/>
    <w:rsid w:val="7F5E7EFE"/>
    <w:rsid w:val="7F6F6AAC"/>
    <w:rsid w:val="7F708DF0"/>
    <w:rsid w:val="7F717EC3"/>
    <w:rsid w:val="7F7AAF7C"/>
    <w:rsid w:val="7F80822A"/>
    <w:rsid w:val="7F8A3077"/>
    <w:rsid w:val="7F9548B0"/>
    <w:rsid w:val="7FAF5B31"/>
    <w:rsid w:val="7FB0C6EA"/>
    <w:rsid w:val="7FB75614"/>
    <w:rsid w:val="7FC2852E"/>
    <w:rsid w:val="7FC7618C"/>
    <w:rsid w:val="7FD46064"/>
    <w:rsid w:val="7FDFDE33"/>
    <w:rsid w:val="7FE483E9"/>
    <w:rsid w:val="7FEB253B"/>
    <w:rsid w:val="7FFF8F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65181"/>
  <w15:chartTrackingRefBased/>
  <w15:docId w15:val="{29C1A91C-2D60-4808-9FFC-A37CAA0C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DFC"/>
  </w:style>
  <w:style w:type="paragraph" w:styleId="Ttulo1">
    <w:name w:val="heading 1"/>
    <w:basedOn w:val="Normal"/>
    <w:next w:val="Normal"/>
    <w:link w:val="Ttulo1Car"/>
    <w:uiPriority w:val="9"/>
    <w:qFormat/>
    <w:rsid w:val="006653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B532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99621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9621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996214"/>
    <w:pPr>
      <w:keepNext/>
      <w:keepLines/>
      <w:spacing w:before="80" w:after="40"/>
      <w:outlineLvl w:val="4"/>
    </w:pPr>
    <w:rPr>
      <w:rFonts w:eastAsiaTheme="majorEastAsia"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F4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F43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43B3"/>
  </w:style>
  <w:style w:type="paragraph" w:styleId="Piedepgina">
    <w:name w:val="footer"/>
    <w:basedOn w:val="Normal"/>
    <w:link w:val="PiedepginaCar"/>
    <w:uiPriority w:val="99"/>
    <w:unhideWhenUsed/>
    <w:rsid w:val="003F43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43B3"/>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b1,Foot"/>
    <w:basedOn w:val="Normal"/>
    <w:link w:val="PrrafodelistaCar"/>
    <w:uiPriority w:val="34"/>
    <w:qFormat/>
    <w:rsid w:val="005965DF"/>
    <w:pPr>
      <w:ind w:left="720"/>
      <w:contextualSpacing/>
    </w:pPr>
  </w:style>
  <w:style w:type="character" w:styleId="Hipervnculo">
    <w:name w:val="Hyperlink"/>
    <w:basedOn w:val="Fuentedeprrafopredeter"/>
    <w:uiPriority w:val="99"/>
    <w:unhideWhenUsed/>
    <w:rsid w:val="0001117F"/>
    <w:rPr>
      <w:color w:val="0563C1" w:themeColor="hyperlink"/>
      <w:u w:val="single"/>
    </w:rPr>
  </w:style>
  <w:style w:type="character" w:customStyle="1" w:styleId="Mencinsinresolver1">
    <w:name w:val="Mención sin resolver1"/>
    <w:basedOn w:val="Fuentedeprrafopredeter"/>
    <w:uiPriority w:val="99"/>
    <w:semiHidden/>
    <w:unhideWhenUsed/>
    <w:rsid w:val="0001117F"/>
    <w:rPr>
      <w:color w:val="605E5C"/>
      <w:shd w:val="clear" w:color="auto" w:fill="E1DFDD"/>
    </w:rPr>
  </w:style>
  <w:style w:type="paragraph" w:styleId="Revisin">
    <w:name w:val="Revision"/>
    <w:hidden/>
    <w:uiPriority w:val="99"/>
    <w:semiHidden/>
    <w:rsid w:val="005867FD"/>
    <w:pPr>
      <w:spacing w:after="0" w:line="240" w:lineRule="auto"/>
    </w:pPr>
  </w:style>
  <w:style w:type="character" w:customStyle="1" w:styleId="CommentReference1">
    <w:name w:val="Comment Reference1"/>
    <w:basedOn w:val="Fuentedeprrafopredeter"/>
    <w:uiPriority w:val="99"/>
    <w:semiHidden/>
    <w:unhideWhenUsed/>
    <w:rsid w:val="00390815"/>
    <w:rPr>
      <w:sz w:val="16"/>
      <w:szCs w:val="16"/>
    </w:rPr>
  </w:style>
  <w:style w:type="character" w:customStyle="1" w:styleId="Mencinsinresolver2">
    <w:name w:val="Mención sin resolver2"/>
    <w:basedOn w:val="Fuentedeprrafopredeter"/>
    <w:uiPriority w:val="99"/>
    <w:semiHidden/>
    <w:unhideWhenUsed/>
    <w:rsid w:val="00337DF9"/>
    <w:rPr>
      <w:color w:val="605E5C"/>
      <w:shd w:val="clear" w:color="auto" w:fill="E1DFDD"/>
    </w:rPr>
  </w:style>
  <w:style w:type="character" w:styleId="Hipervnculovisitado">
    <w:name w:val="FollowedHyperlink"/>
    <w:basedOn w:val="Fuentedeprrafopredeter"/>
    <w:uiPriority w:val="99"/>
    <w:semiHidden/>
    <w:unhideWhenUsed/>
    <w:rsid w:val="008F3CE3"/>
    <w:rPr>
      <w:color w:val="954F72" w:themeColor="followedHyperlink"/>
      <w:u w:val="single"/>
    </w:rPr>
  </w:style>
  <w:style w:type="paragraph" w:styleId="Textodeglobo">
    <w:name w:val="Balloon Text"/>
    <w:basedOn w:val="Normal"/>
    <w:link w:val="TextodegloboCar"/>
    <w:uiPriority w:val="99"/>
    <w:semiHidden/>
    <w:unhideWhenUsed/>
    <w:rsid w:val="00FC44D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44D0"/>
    <w:rPr>
      <w:rFonts w:ascii="Segoe UI" w:hAnsi="Segoe UI" w:cs="Segoe UI"/>
      <w:sz w:val="18"/>
      <w:szCs w:val="18"/>
      <w:lang w:val="es-ES_tradnl"/>
    </w:rPr>
  </w:style>
  <w:style w:type="paragraph" w:styleId="Ttulo">
    <w:name w:val="Title"/>
    <w:basedOn w:val="Normal"/>
    <w:next w:val="Normal"/>
    <w:link w:val="TtuloCar"/>
    <w:uiPriority w:val="10"/>
    <w:qFormat/>
    <w:rsid w:val="00F84F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84F15"/>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665318"/>
    <w:rPr>
      <w:rFonts w:asciiTheme="majorHAnsi" w:eastAsiaTheme="majorEastAsia" w:hAnsiTheme="majorHAnsi" w:cstheme="majorBidi"/>
      <w:color w:val="2F5496" w:themeColor="accent1" w:themeShade="BF"/>
      <w:sz w:val="40"/>
      <w:szCs w:val="40"/>
    </w:rPr>
  </w:style>
  <w:style w:type="paragraph" w:styleId="TtuloTDC">
    <w:name w:val="TOC Heading"/>
    <w:basedOn w:val="Ttulo1"/>
    <w:next w:val="Normal"/>
    <w:uiPriority w:val="39"/>
    <w:unhideWhenUsed/>
    <w:qFormat/>
    <w:rsid w:val="00665318"/>
    <w:pPr>
      <w:spacing w:before="240" w:after="0"/>
      <w:outlineLvl w:val="9"/>
    </w:pPr>
    <w:rPr>
      <w:sz w:val="32"/>
      <w:szCs w:val="32"/>
    </w:rPr>
  </w:style>
  <w:style w:type="paragraph" w:styleId="TDC1">
    <w:name w:val="toc 1"/>
    <w:basedOn w:val="Normal"/>
    <w:next w:val="Normal"/>
    <w:autoRedefine/>
    <w:uiPriority w:val="39"/>
    <w:unhideWhenUsed/>
    <w:rsid w:val="00257B44"/>
    <w:pPr>
      <w:spacing w:after="100"/>
    </w:pPr>
  </w:style>
  <w:style w:type="character" w:customStyle="1" w:styleId="Ttulo2Car">
    <w:name w:val="Título 2 Car"/>
    <w:basedOn w:val="Fuentedeprrafopredeter"/>
    <w:link w:val="Ttulo2"/>
    <w:uiPriority w:val="9"/>
    <w:rsid w:val="00B532C3"/>
    <w:rPr>
      <w:rFonts w:asciiTheme="majorHAnsi" w:eastAsiaTheme="majorEastAsia" w:hAnsiTheme="majorHAnsi" w:cstheme="majorBidi"/>
      <w:color w:val="2F5496" w:themeColor="accent1" w:themeShade="BF"/>
      <w:sz w:val="32"/>
      <w:szCs w:val="32"/>
    </w:rPr>
  </w:style>
  <w:style w:type="paragraph" w:styleId="TDC2">
    <w:name w:val="toc 2"/>
    <w:basedOn w:val="Normal"/>
    <w:next w:val="Normal"/>
    <w:autoRedefine/>
    <w:uiPriority w:val="39"/>
    <w:unhideWhenUsed/>
    <w:rsid w:val="00CE168F"/>
    <w:pPr>
      <w:tabs>
        <w:tab w:val="left" w:pos="960"/>
        <w:tab w:val="right" w:leader="dot" w:pos="8828"/>
      </w:tabs>
      <w:spacing w:after="100"/>
      <w:ind w:left="220"/>
    </w:pPr>
    <w:rPr>
      <w:rFonts w:ascii="Verdana" w:hAnsi="Verdana"/>
      <w:bCs/>
      <w:noProof/>
      <w:color w:val="000000" w:themeColor="text1"/>
    </w:rPr>
  </w:style>
  <w:style w:type="character" w:customStyle="1" w:styleId="Mencinsinresolver3">
    <w:name w:val="Mención sin resolver3"/>
    <w:basedOn w:val="Fuentedeprrafopredeter"/>
    <w:uiPriority w:val="99"/>
    <w:semiHidden/>
    <w:unhideWhenUsed/>
    <w:rsid w:val="00610C50"/>
    <w:rPr>
      <w:color w:val="605E5C"/>
      <w:shd w:val="clear" w:color="auto" w:fill="E1DFDD"/>
    </w:rPr>
  </w:style>
  <w:style w:type="character" w:styleId="Refdenotaalpie">
    <w:name w:val="footnote reference"/>
    <w:basedOn w:val="Fuentedeprrafopredeter"/>
    <w:uiPriority w:val="99"/>
    <w:semiHidden/>
    <w:unhideWhenUsed/>
    <w:rsid w:val="000B1DA2"/>
    <w:rPr>
      <w:vertAlign w:val="superscript"/>
    </w:rPr>
  </w:style>
  <w:style w:type="character" w:customStyle="1" w:styleId="TextonotapieCar">
    <w:name w:val="Texto nota pie Car"/>
    <w:basedOn w:val="Fuentedeprrafopredeter"/>
    <w:link w:val="Textonotapie"/>
    <w:uiPriority w:val="99"/>
    <w:rsid w:val="000B1DA2"/>
    <w:rPr>
      <w:sz w:val="20"/>
      <w:szCs w:val="20"/>
    </w:rPr>
  </w:style>
  <w:style w:type="paragraph" w:styleId="Textonotapie">
    <w:name w:val="footnote text"/>
    <w:basedOn w:val="Normal"/>
    <w:link w:val="TextonotapieCar"/>
    <w:uiPriority w:val="99"/>
    <w:unhideWhenUsed/>
    <w:rsid w:val="000B1DA2"/>
    <w:pPr>
      <w:spacing w:after="0" w:line="240" w:lineRule="auto"/>
    </w:pPr>
    <w:rPr>
      <w:sz w:val="20"/>
      <w:szCs w:val="20"/>
    </w:rPr>
  </w:style>
  <w:style w:type="character" w:customStyle="1" w:styleId="TextonotapieCar1">
    <w:name w:val="Texto nota pie Car1"/>
    <w:basedOn w:val="Fuentedeprrafopredeter"/>
    <w:uiPriority w:val="99"/>
    <w:semiHidden/>
    <w:rsid w:val="000B1DA2"/>
    <w:rPr>
      <w:sz w:val="20"/>
      <w:szCs w:val="20"/>
      <w:lang w:val="es-ES_tradnl"/>
    </w:rPr>
  </w:style>
  <w:style w:type="character" w:customStyle="1" w:styleId="ui-provider">
    <w:name w:val="ui-provider"/>
    <w:basedOn w:val="Fuentedeprrafopredeter"/>
    <w:rsid w:val="000B1DA2"/>
  </w:style>
  <w:style w:type="paragraph" w:styleId="NormalWeb">
    <w:name w:val="Normal (Web)"/>
    <w:basedOn w:val="Normal"/>
    <w:uiPriority w:val="99"/>
    <w:unhideWhenUsed/>
    <w:rsid w:val="000B1DA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uiPriority w:val="9"/>
    <w:rsid w:val="0099621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9621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996214"/>
    <w:rPr>
      <w:rFonts w:eastAsiaTheme="majorEastAsia" w:cstheme="majorBidi"/>
      <w:color w:val="2F5496" w:themeColor="accent1" w:themeShade="BF"/>
    </w:rPr>
  </w:style>
  <w:style w:type="character" w:customStyle="1" w:styleId="Mencinsinresolver4">
    <w:name w:val="Mención sin resolver4"/>
    <w:basedOn w:val="Fuentedeprrafopredeter"/>
    <w:uiPriority w:val="99"/>
    <w:semiHidden/>
    <w:unhideWhenUsed/>
    <w:rsid w:val="00B51D25"/>
    <w:rPr>
      <w:color w:val="605E5C"/>
      <w:shd w:val="clear" w:color="auto" w:fill="E1DFDD"/>
    </w:rPr>
  </w:style>
  <w:style w:type="table" w:styleId="Tablaconcuadrcula1clara-nfasis4">
    <w:name w:val="Grid Table 1 Light Accent 4"/>
    <w:basedOn w:val="Tablanormal"/>
    <w:uiPriority w:val="46"/>
    <w:rsid w:val="00895CC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TDC3">
    <w:name w:val="toc 3"/>
    <w:basedOn w:val="Normal"/>
    <w:next w:val="Normal"/>
    <w:autoRedefine/>
    <w:uiPriority w:val="39"/>
    <w:unhideWhenUsed/>
    <w:rsid w:val="00F1375C"/>
    <w:pPr>
      <w:spacing w:after="100"/>
      <w:ind w:left="440"/>
    </w:pPr>
  </w:style>
  <w:style w:type="paragraph" w:styleId="Descripcin">
    <w:name w:val="caption"/>
    <w:basedOn w:val="Normal"/>
    <w:next w:val="Normal"/>
    <w:uiPriority w:val="35"/>
    <w:unhideWhenUsed/>
    <w:qFormat/>
    <w:rsid w:val="001F5294"/>
    <w:pPr>
      <w:spacing w:after="200" w:line="240" w:lineRule="auto"/>
    </w:pPr>
    <w:rPr>
      <w:i/>
      <w:iCs/>
      <w:color w:val="44546A" w:themeColor="text2"/>
      <w:sz w:val="18"/>
      <w:szCs w:val="18"/>
    </w:rPr>
  </w:style>
  <w:style w:type="paragraph" w:styleId="Tabladeilustraciones">
    <w:name w:val="table of figures"/>
    <w:basedOn w:val="Normal"/>
    <w:next w:val="Normal"/>
    <w:uiPriority w:val="99"/>
    <w:unhideWhenUsed/>
    <w:rsid w:val="009F6E4E"/>
    <w:pPr>
      <w:spacing w:after="0"/>
    </w:pPr>
  </w:style>
  <w:style w:type="character" w:styleId="Referenciasutil">
    <w:name w:val="Subtle Reference"/>
    <w:uiPriority w:val="31"/>
    <w:qFormat/>
    <w:rsid w:val="000D1B4F"/>
    <w:rPr>
      <w:color w:val="000000" w:themeColor="text1"/>
      <w:sz w:val="18"/>
      <w:szCs w:val="18"/>
    </w:r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b1 Car"/>
    <w:link w:val="Prrafodelista"/>
    <w:uiPriority w:val="34"/>
    <w:qFormat/>
    <w:locked/>
    <w:rsid w:val="00C47AC5"/>
  </w:style>
  <w:style w:type="paragraph" w:customStyle="1" w:styleId="CM18">
    <w:name w:val="CM18"/>
    <w:basedOn w:val="Normal"/>
    <w:next w:val="Normal"/>
    <w:uiPriority w:val="99"/>
    <w:rsid w:val="00C47AC5"/>
    <w:pPr>
      <w:autoSpaceDE w:val="0"/>
      <w:autoSpaceDN w:val="0"/>
      <w:adjustRightInd w:val="0"/>
      <w:spacing w:after="0" w:line="240" w:lineRule="auto"/>
    </w:pPr>
    <w:rPr>
      <w:rFonts w:ascii="Arial" w:eastAsia="Calibri" w:hAnsi="Arial" w:cs="Arial"/>
      <w:kern w:val="0"/>
      <w:sz w:val="24"/>
      <w:szCs w:val="24"/>
      <w:lang w:eastAsia="es-419"/>
      <w14:ligatures w14:val="none"/>
    </w:rPr>
  </w:style>
  <w:style w:type="character" w:styleId="Mencinsinresolver">
    <w:name w:val="Unresolved Mention"/>
    <w:basedOn w:val="Fuentedeprrafopredeter"/>
    <w:uiPriority w:val="99"/>
    <w:semiHidden/>
    <w:unhideWhenUsed/>
    <w:rsid w:val="008C3401"/>
    <w:rPr>
      <w:color w:val="605E5C"/>
      <w:shd w:val="clear" w:color="auto" w:fill="E1DFDD"/>
    </w:rPr>
  </w:style>
  <w:style w:type="character" w:styleId="Mencionar">
    <w:name w:val="Mention"/>
    <w:basedOn w:val="Fuentedeprrafopredeter"/>
    <w:uiPriority w:val="99"/>
    <w:unhideWhenUsed/>
    <w:rsid w:val="00785D8C"/>
    <w:rPr>
      <w:color w:val="2B579A"/>
      <w:shd w:val="clear" w:color="auto" w:fill="E1DFDD"/>
    </w:rPr>
  </w:style>
  <w:style w:type="character" w:styleId="Textoennegrita">
    <w:name w:val="Strong"/>
    <w:basedOn w:val="Fuentedeprrafopredeter"/>
    <w:uiPriority w:val="22"/>
    <w:qFormat/>
    <w:rsid w:val="003B3EF1"/>
    <w:rPr>
      <w:b/>
      <w:bCs/>
    </w:rPr>
  </w:style>
  <w:style w:type="character" w:customStyle="1" w:styleId="normaltextrun">
    <w:name w:val="normaltextrun"/>
    <w:basedOn w:val="Fuentedeprrafopredeter"/>
    <w:rsid w:val="00623C03"/>
  </w:style>
  <w:style w:type="character" w:customStyle="1" w:styleId="eop">
    <w:name w:val="eop"/>
    <w:basedOn w:val="Fuentedeprrafopredeter"/>
    <w:rsid w:val="00623C03"/>
  </w:style>
  <w:style w:type="paragraph" w:customStyle="1" w:styleId="paragraph">
    <w:name w:val="paragraph"/>
    <w:basedOn w:val="Normal"/>
    <w:rsid w:val="00623C03"/>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notaalfinal">
    <w:name w:val="endnote text"/>
    <w:basedOn w:val="Normal"/>
    <w:link w:val="TextonotaalfinalCar"/>
    <w:uiPriority w:val="99"/>
    <w:semiHidden/>
    <w:unhideWhenUsed/>
    <w:rsid w:val="009440A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440AB"/>
    <w:rPr>
      <w:sz w:val="20"/>
      <w:szCs w:val="20"/>
    </w:rPr>
  </w:style>
  <w:style w:type="character" w:styleId="Refdenotaalfinal">
    <w:name w:val="endnote reference"/>
    <w:basedOn w:val="Fuentedeprrafopredeter"/>
    <w:uiPriority w:val="99"/>
    <w:semiHidden/>
    <w:unhideWhenUsed/>
    <w:rsid w:val="009440AB"/>
    <w:rPr>
      <w:vertAlign w:val="superscript"/>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33AEA"/>
    <w:rPr>
      <w:b/>
      <w:bCs/>
    </w:rPr>
  </w:style>
  <w:style w:type="character" w:customStyle="1" w:styleId="AsuntodelcomentarioCar">
    <w:name w:val="Asunto del comentario Car"/>
    <w:basedOn w:val="TextocomentarioCar"/>
    <w:link w:val="Asuntodelcomentario"/>
    <w:uiPriority w:val="99"/>
    <w:semiHidden/>
    <w:rsid w:val="00D33A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042">
      <w:bodyDiv w:val="1"/>
      <w:marLeft w:val="0"/>
      <w:marRight w:val="0"/>
      <w:marTop w:val="0"/>
      <w:marBottom w:val="0"/>
      <w:divBdr>
        <w:top w:val="none" w:sz="0" w:space="0" w:color="auto"/>
        <w:left w:val="none" w:sz="0" w:space="0" w:color="auto"/>
        <w:bottom w:val="none" w:sz="0" w:space="0" w:color="auto"/>
        <w:right w:val="none" w:sz="0" w:space="0" w:color="auto"/>
      </w:divBdr>
    </w:div>
    <w:div w:id="23019363">
      <w:bodyDiv w:val="1"/>
      <w:marLeft w:val="0"/>
      <w:marRight w:val="0"/>
      <w:marTop w:val="0"/>
      <w:marBottom w:val="0"/>
      <w:divBdr>
        <w:top w:val="none" w:sz="0" w:space="0" w:color="auto"/>
        <w:left w:val="none" w:sz="0" w:space="0" w:color="auto"/>
        <w:bottom w:val="none" w:sz="0" w:space="0" w:color="auto"/>
        <w:right w:val="none" w:sz="0" w:space="0" w:color="auto"/>
      </w:divBdr>
    </w:div>
    <w:div w:id="55670442">
      <w:bodyDiv w:val="1"/>
      <w:marLeft w:val="0"/>
      <w:marRight w:val="0"/>
      <w:marTop w:val="0"/>
      <w:marBottom w:val="0"/>
      <w:divBdr>
        <w:top w:val="none" w:sz="0" w:space="0" w:color="auto"/>
        <w:left w:val="none" w:sz="0" w:space="0" w:color="auto"/>
        <w:bottom w:val="none" w:sz="0" w:space="0" w:color="auto"/>
        <w:right w:val="none" w:sz="0" w:space="0" w:color="auto"/>
      </w:divBdr>
      <w:divsChild>
        <w:div w:id="1140611115">
          <w:marLeft w:val="0"/>
          <w:marRight w:val="0"/>
          <w:marTop w:val="0"/>
          <w:marBottom w:val="0"/>
          <w:divBdr>
            <w:top w:val="none" w:sz="0" w:space="0" w:color="auto"/>
            <w:left w:val="none" w:sz="0" w:space="0" w:color="auto"/>
            <w:bottom w:val="none" w:sz="0" w:space="0" w:color="auto"/>
            <w:right w:val="none" w:sz="0" w:space="0" w:color="auto"/>
          </w:divBdr>
        </w:div>
        <w:div w:id="1547833504">
          <w:marLeft w:val="0"/>
          <w:marRight w:val="0"/>
          <w:marTop w:val="0"/>
          <w:marBottom w:val="0"/>
          <w:divBdr>
            <w:top w:val="none" w:sz="0" w:space="0" w:color="auto"/>
            <w:left w:val="none" w:sz="0" w:space="0" w:color="auto"/>
            <w:bottom w:val="none" w:sz="0" w:space="0" w:color="auto"/>
            <w:right w:val="none" w:sz="0" w:space="0" w:color="auto"/>
          </w:divBdr>
        </w:div>
        <w:div w:id="1567566276">
          <w:marLeft w:val="0"/>
          <w:marRight w:val="0"/>
          <w:marTop w:val="0"/>
          <w:marBottom w:val="0"/>
          <w:divBdr>
            <w:top w:val="none" w:sz="0" w:space="0" w:color="auto"/>
            <w:left w:val="none" w:sz="0" w:space="0" w:color="auto"/>
            <w:bottom w:val="none" w:sz="0" w:space="0" w:color="auto"/>
            <w:right w:val="none" w:sz="0" w:space="0" w:color="auto"/>
          </w:divBdr>
        </w:div>
      </w:divsChild>
    </w:div>
    <w:div w:id="61874632">
      <w:bodyDiv w:val="1"/>
      <w:marLeft w:val="0"/>
      <w:marRight w:val="0"/>
      <w:marTop w:val="0"/>
      <w:marBottom w:val="0"/>
      <w:divBdr>
        <w:top w:val="none" w:sz="0" w:space="0" w:color="auto"/>
        <w:left w:val="none" w:sz="0" w:space="0" w:color="auto"/>
        <w:bottom w:val="none" w:sz="0" w:space="0" w:color="auto"/>
        <w:right w:val="none" w:sz="0" w:space="0" w:color="auto"/>
      </w:divBdr>
    </w:div>
    <w:div w:id="86921938">
      <w:bodyDiv w:val="1"/>
      <w:marLeft w:val="0"/>
      <w:marRight w:val="0"/>
      <w:marTop w:val="0"/>
      <w:marBottom w:val="0"/>
      <w:divBdr>
        <w:top w:val="none" w:sz="0" w:space="0" w:color="auto"/>
        <w:left w:val="none" w:sz="0" w:space="0" w:color="auto"/>
        <w:bottom w:val="none" w:sz="0" w:space="0" w:color="auto"/>
        <w:right w:val="none" w:sz="0" w:space="0" w:color="auto"/>
      </w:divBdr>
      <w:divsChild>
        <w:div w:id="30233172">
          <w:marLeft w:val="0"/>
          <w:marRight w:val="0"/>
          <w:marTop w:val="0"/>
          <w:marBottom w:val="0"/>
          <w:divBdr>
            <w:top w:val="none" w:sz="0" w:space="0" w:color="auto"/>
            <w:left w:val="none" w:sz="0" w:space="0" w:color="auto"/>
            <w:bottom w:val="none" w:sz="0" w:space="0" w:color="auto"/>
            <w:right w:val="none" w:sz="0" w:space="0" w:color="auto"/>
          </w:divBdr>
        </w:div>
        <w:div w:id="120729173">
          <w:marLeft w:val="0"/>
          <w:marRight w:val="0"/>
          <w:marTop w:val="0"/>
          <w:marBottom w:val="0"/>
          <w:divBdr>
            <w:top w:val="none" w:sz="0" w:space="0" w:color="auto"/>
            <w:left w:val="none" w:sz="0" w:space="0" w:color="auto"/>
            <w:bottom w:val="none" w:sz="0" w:space="0" w:color="auto"/>
            <w:right w:val="none" w:sz="0" w:space="0" w:color="auto"/>
          </w:divBdr>
        </w:div>
      </w:divsChild>
    </w:div>
    <w:div w:id="88015731">
      <w:bodyDiv w:val="1"/>
      <w:marLeft w:val="0"/>
      <w:marRight w:val="0"/>
      <w:marTop w:val="0"/>
      <w:marBottom w:val="0"/>
      <w:divBdr>
        <w:top w:val="none" w:sz="0" w:space="0" w:color="auto"/>
        <w:left w:val="none" w:sz="0" w:space="0" w:color="auto"/>
        <w:bottom w:val="none" w:sz="0" w:space="0" w:color="auto"/>
        <w:right w:val="none" w:sz="0" w:space="0" w:color="auto"/>
      </w:divBdr>
    </w:div>
    <w:div w:id="89198909">
      <w:bodyDiv w:val="1"/>
      <w:marLeft w:val="0"/>
      <w:marRight w:val="0"/>
      <w:marTop w:val="0"/>
      <w:marBottom w:val="0"/>
      <w:divBdr>
        <w:top w:val="none" w:sz="0" w:space="0" w:color="auto"/>
        <w:left w:val="none" w:sz="0" w:space="0" w:color="auto"/>
        <w:bottom w:val="none" w:sz="0" w:space="0" w:color="auto"/>
        <w:right w:val="none" w:sz="0" w:space="0" w:color="auto"/>
      </w:divBdr>
    </w:div>
    <w:div w:id="99185611">
      <w:bodyDiv w:val="1"/>
      <w:marLeft w:val="0"/>
      <w:marRight w:val="0"/>
      <w:marTop w:val="0"/>
      <w:marBottom w:val="0"/>
      <w:divBdr>
        <w:top w:val="none" w:sz="0" w:space="0" w:color="auto"/>
        <w:left w:val="none" w:sz="0" w:space="0" w:color="auto"/>
        <w:bottom w:val="none" w:sz="0" w:space="0" w:color="auto"/>
        <w:right w:val="none" w:sz="0" w:space="0" w:color="auto"/>
      </w:divBdr>
    </w:div>
    <w:div w:id="106242983">
      <w:bodyDiv w:val="1"/>
      <w:marLeft w:val="0"/>
      <w:marRight w:val="0"/>
      <w:marTop w:val="0"/>
      <w:marBottom w:val="0"/>
      <w:divBdr>
        <w:top w:val="none" w:sz="0" w:space="0" w:color="auto"/>
        <w:left w:val="none" w:sz="0" w:space="0" w:color="auto"/>
        <w:bottom w:val="none" w:sz="0" w:space="0" w:color="auto"/>
        <w:right w:val="none" w:sz="0" w:space="0" w:color="auto"/>
      </w:divBdr>
      <w:divsChild>
        <w:div w:id="266736646">
          <w:marLeft w:val="0"/>
          <w:marRight w:val="0"/>
          <w:marTop w:val="0"/>
          <w:marBottom w:val="0"/>
          <w:divBdr>
            <w:top w:val="none" w:sz="0" w:space="0" w:color="auto"/>
            <w:left w:val="none" w:sz="0" w:space="0" w:color="auto"/>
            <w:bottom w:val="none" w:sz="0" w:space="0" w:color="auto"/>
            <w:right w:val="none" w:sz="0" w:space="0" w:color="auto"/>
          </w:divBdr>
        </w:div>
        <w:div w:id="636837676">
          <w:marLeft w:val="0"/>
          <w:marRight w:val="0"/>
          <w:marTop w:val="0"/>
          <w:marBottom w:val="0"/>
          <w:divBdr>
            <w:top w:val="none" w:sz="0" w:space="0" w:color="auto"/>
            <w:left w:val="none" w:sz="0" w:space="0" w:color="auto"/>
            <w:bottom w:val="none" w:sz="0" w:space="0" w:color="auto"/>
            <w:right w:val="none" w:sz="0" w:space="0" w:color="auto"/>
          </w:divBdr>
        </w:div>
        <w:div w:id="716853507">
          <w:marLeft w:val="0"/>
          <w:marRight w:val="0"/>
          <w:marTop w:val="0"/>
          <w:marBottom w:val="0"/>
          <w:divBdr>
            <w:top w:val="none" w:sz="0" w:space="0" w:color="auto"/>
            <w:left w:val="none" w:sz="0" w:space="0" w:color="auto"/>
            <w:bottom w:val="none" w:sz="0" w:space="0" w:color="auto"/>
            <w:right w:val="none" w:sz="0" w:space="0" w:color="auto"/>
          </w:divBdr>
        </w:div>
        <w:div w:id="1241521825">
          <w:marLeft w:val="0"/>
          <w:marRight w:val="0"/>
          <w:marTop w:val="0"/>
          <w:marBottom w:val="0"/>
          <w:divBdr>
            <w:top w:val="none" w:sz="0" w:space="0" w:color="auto"/>
            <w:left w:val="none" w:sz="0" w:space="0" w:color="auto"/>
            <w:bottom w:val="none" w:sz="0" w:space="0" w:color="auto"/>
            <w:right w:val="none" w:sz="0" w:space="0" w:color="auto"/>
          </w:divBdr>
        </w:div>
        <w:div w:id="1418745371">
          <w:marLeft w:val="0"/>
          <w:marRight w:val="0"/>
          <w:marTop w:val="0"/>
          <w:marBottom w:val="0"/>
          <w:divBdr>
            <w:top w:val="none" w:sz="0" w:space="0" w:color="auto"/>
            <w:left w:val="none" w:sz="0" w:space="0" w:color="auto"/>
            <w:bottom w:val="none" w:sz="0" w:space="0" w:color="auto"/>
            <w:right w:val="none" w:sz="0" w:space="0" w:color="auto"/>
          </w:divBdr>
        </w:div>
        <w:div w:id="1578200084">
          <w:marLeft w:val="0"/>
          <w:marRight w:val="0"/>
          <w:marTop w:val="0"/>
          <w:marBottom w:val="0"/>
          <w:divBdr>
            <w:top w:val="none" w:sz="0" w:space="0" w:color="auto"/>
            <w:left w:val="none" w:sz="0" w:space="0" w:color="auto"/>
            <w:bottom w:val="none" w:sz="0" w:space="0" w:color="auto"/>
            <w:right w:val="none" w:sz="0" w:space="0" w:color="auto"/>
          </w:divBdr>
        </w:div>
        <w:div w:id="1827548373">
          <w:marLeft w:val="0"/>
          <w:marRight w:val="0"/>
          <w:marTop w:val="0"/>
          <w:marBottom w:val="0"/>
          <w:divBdr>
            <w:top w:val="none" w:sz="0" w:space="0" w:color="auto"/>
            <w:left w:val="none" w:sz="0" w:space="0" w:color="auto"/>
            <w:bottom w:val="none" w:sz="0" w:space="0" w:color="auto"/>
            <w:right w:val="none" w:sz="0" w:space="0" w:color="auto"/>
          </w:divBdr>
        </w:div>
        <w:div w:id="1867130655">
          <w:marLeft w:val="0"/>
          <w:marRight w:val="0"/>
          <w:marTop w:val="0"/>
          <w:marBottom w:val="0"/>
          <w:divBdr>
            <w:top w:val="none" w:sz="0" w:space="0" w:color="auto"/>
            <w:left w:val="none" w:sz="0" w:space="0" w:color="auto"/>
            <w:bottom w:val="none" w:sz="0" w:space="0" w:color="auto"/>
            <w:right w:val="none" w:sz="0" w:space="0" w:color="auto"/>
          </w:divBdr>
        </w:div>
        <w:div w:id="1886212711">
          <w:marLeft w:val="0"/>
          <w:marRight w:val="0"/>
          <w:marTop w:val="0"/>
          <w:marBottom w:val="0"/>
          <w:divBdr>
            <w:top w:val="none" w:sz="0" w:space="0" w:color="auto"/>
            <w:left w:val="none" w:sz="0" w:space="0" w:color="auto"/>
            <w:bottom w:val="none" w:sz="0" w:space="0" w:color="auto"/>
            <w:right w:val="none" w:sz="0" w:space="0" w:color="auto"/>
          </w:divBdr>
        </w:div>
        <w:div w:id="2113284836">
          <w:marLeft w:val="0"/>
          <w:marRight w:val="0"/>
          <w:marTop w:val="0"/>
          <w:marBottom w:val="0"/>
          <w:divBdr>
            <w:top w:val="none" w:sz="0" w:space="0" w:color="auto"/>
            <w:left w:val="none" w:sz="0" w:space="0" w:color="auto"/>
            <w:bottom w:val="none" w:sz="0" w:space="0" w:color="auto"/>
            <w:right w:val="none" w:sz="0" w:space="0" w:color="auto"/>
          </w:divBdr>
        </w:div>
      </w:divsChild>
    </w:div>
    <w:div w:id="107553610">
      <w:bodyDiv w:val="1"/>
      <w:marLeft w:val="0"/>
      <w:marRight w:val="0"/>
      <w:marTop w:val="0"/>
      <w:marBottom w:val="0"/>
      <w:divBdr>
        <w:top w:val="none" w:sz="0" w:space="0" w:color="auto"/>
        <w:left w:val="none" w:sz="0" w:space="0" w:color="auto"/>
        <w:bottom w:val="none" w:sz="0" w:space="0" w:color="auto"/>
        <w:right w:val="none" w:sz="0" w:space="0" w:color="auto"/>
      </w:divBdr>
    </w:div>
    <w:div w:id="109983878">
      <w:bodyDiv w:val="1"/>
      <w:marLeft w:val="0"/>
      <w:marRight w:val="0"/>
      <w:marTop w:val="0"/>
      <w:marBottom w:val="0"/>
      <w:divBdr>
        <w:top w:val="none" w:sz="0" w:space="0" w:color="auto"/>
        <w:left w:val="none" w:sz="0" w:space="0" w:color="auto"/>
        <w:bottom w:val="none" w:sz="0" w:space="0" w:color="auto"/>
        <w:right w:val="none" w:sz="0" w:space="0" w:color="auto"/>
      </w:divBdr>
    </w:div>
    <w:div w:id="116025014">
      <w:bodyDiv w:val="1"/>
      <w:marLeft w:val="0"/>
      <w:marRight w:val="0"/>
      <w:marTop w:val="0"/>
      <w:marBottom w:val="0"/>
      <w:divBdr>
        <w:top w:val="none" w:sz="0" w:space="0" w:color="auto"/>
        <w:left w:val="none" w:sz="0" w:space="0" w:color="auto"/>
        <w:bottom w:val="none" w:sz="0" w:space="0" w:color="auto"/>
        <w:right w:val="none" w:sz="0" w:space="0" w:color="auto"/>
      </w:divBdr>
      <w:divsChild>
        <w:div w:id="1162427390">
          <w:marLeft w:val="0"/>
          <w:marRight w:val="0"/>
          <w:marTop w:val="0"/>
          <w:marBottom w:val="0"/>
          <w:divBdr>
            <w:top w:val="none" w:sz="0" w:space="0" w:color="auto"/>
            <w:left w:val="none" w:sz="0" w:space="0" w:color="auto"/>
            <w:bottom w:val="none" w:sz="0" w:space="0" w:color="auto"/>
            <w:right w:val="none" w:sz="0" w:space="0" w:color="auto"/>
          </w:divBdr>
          <w:divsChild>
            <w:div w:id="1104688620">
              <w:marLeft w:val="0"/>
              <w:marRight w:val="0"/>
              <w:marTop w:val="0"/>
              <w:marBottom w:val="0"/>
              <w:divBdr>
                <w:top w:val="none" w:sz="0" w:space="0" w:color="auto"/>
                <w:left w:val="none" w:sz="0" w:space="0" w:color="auto"/>
                <w:bottom w:val="none" w:sz="0" w:space="0" w:color="auto"/>
                <w:right w:val="none" w:sz="0" w:space="0" w:color="auto"/>
              </w:divBdr>
              <w:divsChild>
                <w:div w:id="1087505423">
                  <w:marLeft w:val="0"/>
                  <w:marRight w:val="0"/>
                  <w:marTop w:val="0"/>
                  <w:marBottom w:val="0"/>
                  <w:divBdr>
                    <w:top w:val="none" w:sz="0" w:space="0" w:color="auto"/>
                    <w:left w:val="none" w:sz="0" w:space="0" w:color="auto"/>
                    <w:bottom w:val="none" w:sz="0" w:space="0" w:color="auto"/>
                    <w:right w:val="none" w:sz="0" w:space="0" w:color="auto"/>
                  </w:divBdr>
                  <w:divsChild>
                    <w:div w:id="1171725045">
                      <w:marLeft w:val="0"/>
                      <w:marRight w:val="0"/>
                      <w:marTop w:val="0"/>
                      <w:marBottom w:val="0"/>
                      <w:divBdr>
                        <w:top w:val="none" w:sz="0" w:space="0" w:color="auto"/>
                        <w:left w:val="none" w:sz="0" w:space="0" w:color="auto"/>
                        <w:bottom w:val="none" w:sz="0" w:space="0" w:color="auto"/>
                        <w:right w:val="none" w:sz="0" w:space="0" w:color="auto"/>
                      </w:divBdr>
                      <w:divsChild>
                        <w:div w:id="1767727313">
                          <w:marLeft w:val="0"/>
                          <w:marRight w:val="0"/>
                          <w:marTop w:val="0"/>
                          <w:marBottom w:val="0"/>
                          <w:divBdr>
                            <w:top w:val="none" w:sz="0" w:space="0" w:color="auto"/>
                            <w:left w:val="none" w:sz="0" w:space="0" w:color="auto"/>
                            <w:bottom w:val="none" w:sz="0" w:space="0" w:color="auto"/>
                            <w:right w:val="none" w:sz="0" w:space="0" w:color="auto"/>
                          </w:divBdr>
                          <w:divsChild>
                            <w:div w:id="764152535">
                              <w:marLeft w:val="0"/>
                              <w:marRight w:val="0"/>
                              <w:marTop w:val="0"/>
                              <w:marBottom w:val="0"/>
                              <w:divBdr>
                                <w:top w:val="none" w:sz="0" w:space="0" w:color="auto"/>
                                <w:left w:val="none" w:sz="0" w:space="0" w:color="auto"/>
                                <w:bottom w:val="none" w:sz="0" w:space="0" w:color="auto"/>
                                <w:right w:val="none" w:sz="0" w:space="0" w:color="auto"/>
                              </w:divBdr>
                              <w:divsChild>
                                <w:div w:id="282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8857">
                          <w:marLeft w:val="0"/>
                          <w:marRight w:val="0"/>
                          <w:marTop w:val="0"/>
                          <w:marBottom w:val="0"/>
                          <w:divBdr>
                            <w:top w:val="none" w:sz="0" w:space="0" w:color="auto"/>
                            <w:left w:val="none" w:sz="0" w:space="0" w:color="auto"/>
                            <w:bottom w:val="none" w:sz="0" w:space="0" w:color="auto"/>
                            <w:right w:val="none" w:sz="0" w:space="0" w:color="auto"/>
                          </w:divBdr>
                          <w:divsChild>
                            <w:div w:id="870611139">
                              <w:marLeft w:val="0"/>
                              <w:marRight w:val="0"/>
                              <w:marTop w:val="0"/>
                              <w:marBottom w:val="0"/>
                              <w:divBdr>
                                <w:top w:val="none" w:sz="0" w:space="0" w:color="auto"/>
                                <w:left w:val="none" w:sz="0" w:space="0" w:color="auto"/>
                                <w:bottom w:val="none" w:sz="0" w:space="0" w:color="auto"/>
                                <w:right w:val="none" w:sz="0" w:space="0" w:color="auto"/>
                              </w:divBdr>
                              <w:divsChild>
                                <w:div w:id="1675958348">
                                  <w:marLeft w:val="0"/>
                                  <w:marRight w:val="0"/>
                                  <w:marTop w:val="0"/>
                                  <w:marBottom w:val="0"/>
                                  <w:divBdr>
                                    <w:top w:val="none" w:sz="0" w:space="0" w:color="auto"/>
                                    <w:left w:val="none" w:sz="0" w:space="0" w:color="auto"/>
                                    <w:bottom w:val="none" w:sz="0" w:space="0" w:color="auto"/>
                                    <w:right w:val="none" w:sz="0" w:space="0" w:color="auto"/>
                                  </w:divBdr>
                                  <w:divsChild>
                                    <w:div w:id="21070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871919">
      <w:bodyDiv w:val="1"/>
      <w:marLeft w:val="0"/>
      <w:marRight w:val="0"/>
      <w:marTop w:val="0"/>
      <w:marBottom w:val="0"/>
      <w:divBdr>
        <w:top w:val="none" w:sz="0" w:space="0" w:color="auto"/>
        <w:left w:val="none" w:sz="0" w:space="0" w:color="auto"/>
        <w:bottom w:val="none" w:sz="0" w:space="0" w:color="auto"/>
        <w:right w:val="none" w:sz="0" w:space="0" w:color="auto"/>
      </w:divBdr>
    </w:div>
    <w:div w:id="117644386">
      <w:bodyDiv w:val="1"/>
      <w:marLeft w:val="0"/>
      <w:marRight w:val="0"/>
      <w:marTop w:val="0"/>
      <w:marBottom w:val="0"/>
      <w:divBdr>
        <w:top w:val="none" w:sz="0" w:space="0" w:color="auto"/>
        <w:left w:val="none" w:sz="0" w:space="0" w:color="auto"/>
        <w:bottom w:val="none" w:sz="0" w:space="0" w:color="auto"/>
        <w:right w:val="none" w:sz="0" w:space="0" w:color="auto"/>
      </w:divBdr>
    </w:div>
    <w:div w:id="126969857">
      <w:bodyDiv w:val="1"/>
      <w:marLeft w:val="0"/>
      <w:marRight w:val="0"/>
      <w:marTop w:val="0"/>
      <w:marBottom w:val="0"/>
      <w:divBdr>
        <w:top w:val="none" w:sz="0" w:space="0" w:color="auto"/>
        <w:left w:val="none" w:sz="0" w:space="0" w:color="auto"/>
        <w:bottom w:val="none" w:sz="0" w:space="0" w:color="auto"/>
        <w:right w:val="none" w:sz="0" w:space="0" w:color="auto"/>
      </w:divBdr>
    </w:div>
    <w:div w:id="144666621">
      <w:bodyDiv w:val="1"/>
      <w:marLeft w:val="0"/>
      <w:marRight w:val="0"/>
      <w:marTop w:val="0"/>
      <w:marBottom w:val="0"/>
      <w:divBdr>
        <w:top w:val="none" w:sz="0" w:space="0" w:color="auto"/>
        <w:left w:val="none" w:sz="0" w:space="0" w:color="auto"/>
        <w:bottom w:val="none" w:sz="0" w:space="0" w:color="auto"/>
        <w:right w:val="none" w:sz="0" w:space="0" w:color="auto"/>
      </w:divBdr>
    </w:div>
    <w:div w:id="148521047">
      <w:bodyDiv w:val="1"/>
      <w:marLeft w:val="0"/>
      <w:marRight w:val="0"/>
      <w:marTop w:val="0"/>
      <w:marBottom w:val="0"/>
      <w:divBdr>
        <w:top w:val="none" w:sz="0" w:space="0" w:color="auto"/>
        <w:left w:val="none" w:sz="0" w:space="0" w:color="auto"/>
        <w:bottom w:val="none" w:sz="0" w:space="0" w:color="auto"/>
        <w:right w:val="none" w:sz="0" w:space="0" w:color="auto"/>
      </w:divBdr>
      <w:divsChild>
        <w:div w:id="379866876">
          <w:marLeft w:val="0"/>
          <w:marRight w:val="0"/>
          <w:marTop w:val="0"/>
          <w:marBottom w:val="0"/>
          <w:divBdr>
            <w:top w:val="none" w:sz="0" w:space="0" w:color="auto"/>
            <w:left w:val="none" w:sz="0" w:space="0" w:color="auto"/>
            <w:bottom w:val="none" w:sz="0" w:space="0" w:color="auto"/>
            <w:right w:val="none" w:sz="0" w:space="0" w:color="auto"/>
          </w:divBdr>
          <w:divsChild>
            <w:div w:id="566576147">
              <w:marLeft w:val="0"/>
              <w:marRight w:val="0"/>
              <w:marTop w:val="0"/>
              <w:marBottom w:val="0"/>
              <w:divBdr>
                <w:top w:val="none" w:sz="0" w:space="0" w:color="auto"/>
                <w:left w:val="none" w:sz="0" w:space="0" w:color="auto"/>
                <w:bottom w:val="none" w:sz="0" w:space="0" w:color="auto"/>
                <w:right w:val="none" w:sz="0" w:space="0" w:color="auto"/>
              </w:divBdr>
            </w:div>
          </w:divsChild>
        </w:div>
        <w:div w:id="381830810">
          <w:marLeft w:val="0"/>
          <w:marRight w:val="0"/>
          <w:marTop w:val="0"/>
          <w:marBottom w:val="0"/>
          <w:divBdr>
            <w:top w:val="none" w:sz="0" w:space="0" w:color="auto"/>
            <w:left w:val="none" w:sz="0" w:space="0" w:color="auto"/>
            <w:bottom w:val="none" w:sz="0" w:space="0" w:color="auto"/>
            <w:right w:val="none" w:sz="0" w:space="0" w:color="auto"/>
          </w:divBdr>
          <w:divsChild>
            <w:div w:id="98574108">
              <w:marLeft w:val="0"/>
              <w:marRight w:val="0"/>
              <w:marTop w:val="0"/>
              <w:marBottom w:val="0"/>
              <w:divBdr>
                <w:top w:val="none" w:sz="0" w:space="0" w:color="auto"/>
                <w:left w:val="none" w:sz="0" w:space="0" w:color="auto"/>
                <w:bottom w:val="none" w:sz="0" w:space="0" w:color="auto"/>
                <w:right w:val="none" w:sz="0" w:space="0" w:color="auto"/>
              </w:divBdr>
            </w:div>
            <w:div w:id="191960046">
              <w:marLeft w:val="0"/>
              <w:marRight w:val="0"/>
              <w:marTop w:val="0"/>
              <w:marBottom w:val="0"/>
              <w:divBdr>
                <w:top w:val="none" w:sz="0" w:space="0" w:color="auto"/>
                <w:left w:val="none" w:sz="0" w:space="0" w:color="auto"/>
                <w:bottom w:val="none" w:sz="0" w:space="0" w:color="auto"/>
                <w:right w:val="none" w:sz="0" w:space="0" w:color="auto"/>
              </w:divBdr>
            </w:div>
            <w:div w:id="210847396">
              <w:marLeft w:val="0"/>
              <w:marRight w:val="0"/>
              <w:marTop w:val="0"/>
              <w:marBottom w:val="0"/>
              <w:divBdr>
                <w:top w:val="none" w:sz="0" w:space="0" w:color="auto"/>
                <w:left w:val="none" w:sz="0" w:space="0" w:color="auto"/>
                <w:bottom w:val="none" w:sz="0" w:space="0" w:color="auto"/>
                <w:right w:val="none" w:sz="0" w:space="0" w:color="auto"/>
              </w:divBdr>
            </w:div>
            <w:div w:id="428278624">
              <w:marLeft w:val="0"/>
              <w:marRight w:val="0"/>
              <w:marTop w:val="0"/>
              <w:marBottom w:val="0"/>
              <w:divBdr>
                <w:top w:val="none" w:sz="0" w:space="0" w:color="auto"/>
                <w:left w:val="none" w:sz="0" w:space="0" w:color="auto"/>
                <w:bottom w:val="none" w:sz="0" w:space="0" w:color="auto"/>
                <w:right w:val="none" w:sz="0" w:space="0" w:color="auto"/>
              </w:divBdr>
            </w:div>
            <w:div w:id="853879381">
              <w:marLeft w:val="0"/>
              <w:marRight w:val="0"/>
              <w:marTop w:val="0"/>
              <w:marBottom w:val="0"/>
              <w:divBdr>
                <w:top w:val="none" w:sz="0" w:space="0" w:color="auto"/>
                <w:left w:val="none" w:sz="0" w:space="0" w:color="auto"/>
                <w:bottom w:val="none" w:sz="0" w:space="0" w:color="auto"/>
                <w:right w:val="none" w:sz="0" w:space="0" w:color="auto"/>
              </w:divBdr>
            </w:div>
            <w:div w:id="1709524837">
              <w:marLeft w:val="0"/>
              <w:marRight w:val="0"/>
              <w:marTop w:val="0"/>
              <w:marBottom w:val="0"/>
              <w:divBdr>
                <w:top w:val="none" w:sz="0" w:space="0" w:color="auto"/>
                <w:left w:val="none" w:sz="0" w:space="0" w:color="auto"/>
                <w:bottom w:val="none" w:sz="0" w:space="0" w:color="auto"/>
                <w:right w:val="none" w:sz="0" w:space="0" w:color="auto"/>
              </w:divBdr>
            </w:div>
            <w:div w:id="212063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8416">
      <w:bodyDiv w:val="1"/>
      <w:marLeft w:val="0"/>
      <w:marRight w:val="0"/>
      <w:marTop w:val="0"/>
      <w:marBottom w:val="0"/>
      <w:divBdr>
        <w:top w:val="none" w:sz="0" w:space="0" w:color="auto"/>
        <w:left w:val="none" w:sz="0" w:space="0" w:color="auto"/>
        <w:bottom w:val="none" w:sz="0" w:space="0" w:color="auto"/>
        <w:right w:val="none" w:sz="0" w:space="0" w:color="auto"/>
      </w:divBdr>
    </w:div>
    <w:div w:id="178323684">
      <w:bodyDiv w:val="1"/>
      <w:marLeft w:val="0"/>
      <w:marRight w:val="0"/>
      <w:marTop w:val="0"/>
      <w:marBottom w:val="0"/>
      <w:divBdr>
        <w:top w:val="none" w:sz="0" w:space="0" w:color="auto"/>
        <w:left w:val="none" w:sz="0" w:space="0" w:color="auto"/>
        <w:bottom w:val="none" w:sz="0" w:space="0" w:color="auto"/>
        <w:right w:val="none" w:sz="0" w:space="0" w:color="auto"/>
      </w:divBdr>
    </w:div>
    <w:div w:id="179589934">
      <w:bodyDiv w:val="1"/>
      <w:marLeft w:val="0"/>
      <w:marRight w:val="0"/>
      <w:marTop w:val="0"/>
      <w:marBottom w:val="0"/>
      <w:divBdr>
        <w:top w:val="none" w:sz="0" w:space="0" w:color="auto"/>
        <w:left w:val="none" w:sz="0" w:space="0" w:color="auto"/>
        <w:bottom w:val="none" w:sz="0" w:space="0" w:color="auto"/>
        <w:right w:val="none" w:sz="0" w:space="0" w:color="auto"/>
      </w:divBdr>
    </w:div>
    <w:div w:id="195121469">
      <w:bodyDiv w:val="1"/>
      <w:marLeft w:val="0"/>
      <w:marRight w:val="0"/>
      <w:marTop w:val="0"/>
      <w:marBottom w:val="0"/>
      <w:divBdr>
        <w:top w:val="none" w:sz="0" w:space="0" w:color="auto"/>
        <w:left w:val="none" w:sz="0" w:space="0" w:color="auto"/>
        <w:bottom w:val="none" w:sz="0" w:space="0" w:color="auto"/>
        <w:right w:val="none" w:sz="0" w:space="0" w:color="auto"/>
      </w:divBdr>
    </w:div>
    <w:div w:id="195625799">
      <w:bodyDiv w:val="1"/>
      <w:marLeft w:val="0"/>
      <w:marRight w:val="0"/>
      <w:marTop w:val="0"/>
      <w:marBottom w:val="0"/>
      <w:divBdr>
        <w:top w:val="none" w:sz="0" w:space="0" w:color="auto"/>
        <w:left w:val="none" w:sz="0" w:space="0" w:color="auto"/>
        <w:bottom w:val="none" w:sz="0" w:space="0" w:color="auto"/>
        <w:right w:val="none" w:sz="0" w:space="0" w:color="auto"/>
      </w:divBdr>
    </w:div>
    <w:div w:id="211581583">
      <w:bodyDiv w:val="1"/>
      <w:marLeft w:val="0"/>
      <w:marRight w:val="0"/>
      <w:marTop w:val="0"/>
      <w:marBottom w:val="0"/>
      <w:divBdr>
        <w:top w:val="none" w:sz="0" w:space="0" w:color="auto"/>
        <w:left w:val="none" w:sz="0" w:space="0" w:color="auto"/>
        <w:bottom w:val="none" w:sz="0" w:space="0" w:color="auto"/>
        <w:right w:val="none" w:sz="0" w:space="0" w:color="auto"/>
      </w:divBdr>
    </w:div>
    <w:div w:id="217476540">
      <w:bodyDiv w:val="1"/>
      <w:marLeft w:val="0"/>
      <w:marRight w:val="0"/>
      <w:marTop w:val="0"/>
      <w:marBottom w:val="0"/>
      <w:divBdr>
        <w:top w:val="none" w:sz="0" w:space="0" w:color="auto"/>
        <w:left w:val="none" w:sz="0" w:space="0" w:color="auto"/>
        <w:bottom w:val="none" w:sz="0" w:space="0" w:color="auto"/>
        <w:right w:val="none" w:sz="0" w:space="0" w:color="auto"/>
      </w:divBdr>
    </w:div>
    <w:div w:id="224295327">
      <w:bodyDiv w:val="1"/>
      <w:marLeft w:val="0"/>
      <w:marRight w:val="0"/>
      <w:marTop w:val="0"/>
      <w:marBottom w:val="0"/>
      <w:divBdr>
        <w:top w:val="none" w:sz="0" w:space="0" w:color="auto"/>
        <w:left w:val="none" w:sz="0" w:space="0" w:color="auto"/>
        <w:bottom w:val="none" w:sz="0" w:space="0" w:color="auto"/>
        <w:right w:val="none" w:sz="0" w:space="0" w:color="auto"/>
      </w:divBdr>
    </w:div>
    <w:div w:id="227033605">
      <w:bodyDiv w:val="1"/>
      <w:marLeft w:val="0"/>
      <w:marRight w:val="0"/>
      <w:marTop w:val="0"/>
      <w:marBottom w:val="0"/>
      <w:divBdr>
        <w:top w:val="none" w:sz="0" w:space="0" w:color="auto"/>
        <w:left w:val="none" w:sz="0" w:space="0" w:color="auto"/>
        <w:bottom w:val="none" w:sz="0" w:space="0" w:color="auto"/>
        <w:right w:val="none" w:sz="0" w:space="0" w:color="auto"/>
      </w:divBdr>
    </w:div>
    <w:div w:id="235171507">
      <w:bodyDiv w:val="1"/>
      <w:marLeft w:val="0"/>
      <w:marRight w:val="0"/>
      <w:marTop w:val="0"/>
      <w:marBottom w:val="0"/>
      <w:divBdr>
        <w:top w:val="none" w:sz="0" w:space="0" w:color="auto"/>
        <w:left w:val="none" w:sz="0" w:space="0" w:color="auto"/>
        <w:bottom w:val="none" w:sz="0" w:space="0" w:color="auto"/>
        <w:right w:val="none" w:sz="0" w:space="0" w:color="auto"/>
      </w:divBdr>
    </w:div>
    <w:div w:id="240143040">
      <w:bodyDiv w:val="1"/>
      <w:marLeft w:val="0"/>
      <w:marRight w:val="0"/>
      <w:marTop w:val="0"/>
      <w:marBottom w:val="0"/>
      <w:divBdr>
        <w:top w:val="none" w:sz="0" w:space="0" w:color="auto"/>
        <w:left w:val="none" w:sz="0" w:space="0" w:color="auto"/>
        <w:bottom w:val="none" w:sz="0" w:space="0" w:color="auto"/>
        <w:right w:val="none" w:sz="0" w:space="0" w:color="auto"/>
      </w:divBdr>
      <w:divsChild>
        <w:div w:id="569076910">
          <w:marLeft w:val="0"/>
          <w:marRight w:val="0"/>
          <w:marTop w:val="0"/>
          <w:marBottom w:val="0"/>
          <w:divBdr>
            <w:top w:val="none" w:sz="0" w:space="0" w:color="auto"/>
            <w:left w:val="none" w:sz="0" w:space="0" w:color="auto"/>
            <w:bottom w:val="none" w:sz="0" w:space="0" w:color="auto"/>
            <w:right w:val="none" w:sz="0" w:space="0" w:color="auto"/>
          </w:divBdr>
          <w:divsChild>
            <w:div w:id="1214151399">
              <w:marLeft w:val="0"/>
              <w:marRight w:val="0"/>
              <w:marTop w:val="0"/>
              <w:marBottom w:val="0"/>
              <w:divBdr>
                <w:top w:val="none" w:sz="0" w:space="0" w:color="auto"/>
                <w:left w:val="none" w:sz="0" w:space="0" w:color="auto"/>
                <w:bottom w:val="none" w:sz="0" w:space="0" w:color="auto"/>
                <w:right w:val="none" w:sz="0" w:space="0" w:color="auto"/>
              </w:divBdr>
            </w:div>
            <w:div w:id="146908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94853">
      <w:bodyDiv w:val="1"/>
      <w:marLeft w:val="0"/>
      <w:marRight w:val="0"/>
      <w:marTop w:val="0"/>
      <w:marBottom w:val="0"/>
      <w:divBdr>
        <w:top w:val="none" w:sz="0" w:space="0" w:color="auto"/>
        <w:left w:val="none" w:sz="0" w:space="0" w:color="auto"/>
        <w:bottom w:val="none" w:sz="0" w:space="0" w:color="auto"/>
        <w:right w:val="none" w:sz="0" w:space="0" w:color="auto"/>
      </w:divBdr>
      <w:divsChild>
        <w:div w:id="827601771">
          <w:marLeft w:val="0"/>
          <w:marRight w:val="0"/>
          <w:marTop w:val="0"/>
          <w:marBottom w:val="0"/>
          <w:divBdr>
            <w:top w:val="none" w:sz="0" w:space="0" w:color="auto"/>
            <w:left w:val="none" w:sz="0" w:space="0" w:color="auto"/>
            <w:bottom w:val="none" w:sz="0" w:space="0" w:color="auto"/>
            <w:right w:val="none" w:sz="0" w:space="0" w:color="auto"/>
          </w:divBdr>
          <w:divsChild>
            <w:div w:id="414325789">
              <w:marLeft w:val="0"/>
              <w:marRight w:val="0"/>
              <w:marTop w:val="0"/>
              <w:marBottom w:val="0"/>
              <w:divBdr>
                <w:top w:val="none" w:sz="0" w:space="0" w:color="auto"/>
                <w:left w:val="none" w:sz="0" w:space="0" w:color="auto"/>
                <w:bottom w:val="none" w:sz="0" w:space="0" w:color="auto"/>
                <w:right w:val="none" w:sz="0" w:space="0" w:color="auto"/>
              </w:divBdr>
            </w:div>
            <w:div w:id="1372993577">
              <w:marLeft w:val="0"/>
              <w:marRight w:val="0"/>
              <w:marTop w:val="0"/>
              <w:marBottom w:val="0"/>
              <w:divBdr>
                <w:top w:val="none" w:sz="0" w:space="0" w:color="auto"/>
                <w:left w:val="none" w:sz="0" w:space="0" w:color="auto"/>
                <w:bottom w:val="none" w:sz="0" w:space="0" w:color="auto"/>
                <w:right w:val="none" w:sz="0" w:space="0" w:color="auto"/>
              </w:divBdr>
            </w:div>
            <w:div w:id="1485128081">
              <w:marLeft w:val="0"/>
              <w:marRight w:val="0"/>
              <w:marTop w:val="0"/>
              <w:marBottom w:val="0"/>
              <w:divBdr>
                <w:top w:val="none" w:sz="0" w:space="0" w:color="auto"/>
                <w:left w:val="none" w:sz="0" w:space="0" w:color="auto"/>
                <w:bottom w:val="none" w:sz="0" w:space="0" w:color="auto"/>
                <w:right w:val="none" w:sz="0" w:space="0" w:color="auto"/>
              </w:divBdr>
            </w:div>
            <w:div w:id="2002659897">
              <w:marLeft w:val="0"/>
              <w:marRight w:val="0"/>
              <w:marTop w:val="0"/>
              <w:marBottom w:val="0"/>
              <w:divBdr>
                <w:top w:val="none" w:sz="0" w:space="0" w:color="auto"/>
                <w:left w:val="none" w:sz="0" w:space="0" w:color="auto"/>
                <w:bottom w:val="none" w:sz="0" w:space="0" w:color="auto"/>
                <w:right w:val="none" w:sz="0" w:space="0" w:color="auto"/>
              </w:divBdr>
            </w:div>
            <w:div w:id="2015570702">
              <w:marLeft w:val="0"/>
              <w:marRight w:val="0"/>
              <w:marTop w:val="0"/>
              <w:marBottom w:val="0"/>
              <w:divBdr>
                <w:top w:val="none" w:sz="0" w:space="0" w:color="auto"/>
                <w:left w:val="none" w:sz="0" w:space="0" w:color="auto"/>
                <w:bottom w:val="none" w:sz="0" w:space="0" w:color="auto"/>
                <w:right w:val="none" w:sz="0" w:space="0" w:color="auto"/>
              </w:divBdr>
            </w:div>
          </w:divsChild>
        </w:div>
        <w:div w:id="1091854992">
          <w:marLeft w:val="0"/>
          <w:marRight w:val="0"/>
          <w:marTop w:val="0"/>
          <w:marBottom w:val="0"/>
          <w:divBdr>
            <w:top w:val="none" w:sz="0" w:space="0" w:color="auto"/>
            <w:left w:val="none" w:sz="0" w:space="0" w:color="auto"/>
            <w:bottom w:val="none" w:sz="0" w:space="0" w:color="auto"/>
            <w:right w:val="none" w:sz="0" w:space="0" w:color="auto"/>
          </w:divBdr>
          <w:divsChild>
            <w:div w:id="720321221">
              <w:marLeft w:val="0"/>
              <w:marRight w:val="0"/>
              <w:marTop w:val="0"/>
              <w:marBottom w:val="0"/>
              <w:divBdr>
                <w:top w:val="none" w:sz="0" w:space="0" w:color="auto"/>
                <w:left w:val="none" w:sz="0" w:space="0" w:color="auto"/>
                <w:bottom w:val="none" w:sz="0" w:space="0" w:color="auto"/>
                <w:right w:val="none" w:sz="0" w:space="0" w:color="auto"/>
              </w:divBdr>
            </w:div>
            <w:div w:id="101083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3288">
      <w:bodyDiv w:val="1"/>
      <w:marLeft w:val="0"/>
      <w:marRight w:val="0"/>
      <w:marTop w:val="0"/>
      <w:marBottom w:val="0"/>
      <w:divBdr>
        <w:top w:val="none" w:sz="0" w:space="0" w:color="auto"/>
        <w:left w:val="none" w:sz="0" w:space="0" w:color="auto"/>
        <w:bottom w:val="none" w:sz="0" w:space="0" w:color="auto"/>
        <w:right w:val="none" w:sz="0" w:space="0" w:color="auto"/>
      </w:divBdr>
    </w:div>
    <w:div w:id="258174145">
      <w:bodyDiv w:val="1"/>
      <w:marLeft w:val="0"/>
      <w:marRight w:val="0"/>
      <w:marTop w:val="0"/>
      <w:marBottom w:val="0"/>
      <w:divBdr>
        <w:top w:val="none" w:sz="0" w:space="0" w:color="auto"/>
        <w:left w:val="none" w:sz="0" w:space="0" w:color="auto"/>
        <w:bottom w:val="none" w:sz="0" w:space="0" w:color="auto"/>
        <w:right w:val="none" w:sz="0" w:space="0" w:color="auto"/>
      </w:divBdr>
      <w:divsChild>
        <w:div w:id="263349414">
          <w:marLeft w:val="0"/>
          <w:marRight w:val="0"/>
          <w:marTop w:val="0"/>
          <w:marBottom w:val="0"/>
          <w:divBdr>
            <w:top w:val="none" w:sz="0" w:space="0" w:color="auto"/>
            <w:left w:val="none" w:sz="0" w:space="0" w:color="auto"/>
            <w:bottom w:val="none" w:sz="0" w:space="0" w:color="auto"/>
            <w:right w:val="none" w:sz="0" w:space="0" w:color="auto"/>
          </w:divBdr>
          <w:divsChild>
            <w:div w:id="277957437">
              <w:marLeft w:val="0"/>
              <w:marRight w:val="0"/>
              <w:marTop w:val="0"/>
              <w:marBottom w:val="0"/>
              <w:divBdr>
                <w:top w:val="none" w:sz="0" w:space="0" w:color="auto"/>
                <w:left w:val="none" w:sz="0" w:space="0" w:color="auto"/>
                <w:bottom w:val="none" w:sz="0" w:space="0" w:color="auto"/>
                <w:right w:val="none" w:sz="0" w:space="0" w:color="auto"/>
              </w:divBdr>
            </w:div>
          </w:divsChild>
        </w:div>
        <w:div w:id="1125539448">
          <w:marLeft w:val="0"/>
          <w:marRight w:val="0"/>
          <w:marTop w:val="0"/>
          <w:marBottom w:val="0"/>
          <w:divBdr>
            <w:top w:val="none" w:sz="0" w:space="0" w:color="auto"/>
            <w:left w:val="none" w:sz="0" w:space="0" w:color="auto"/>
            <w:bottom w:val="none" w:sz="0" w:space="0" w:color="auto"/>
            <w:right w:val="none" w:sz="0" w:space="0" w:color="auto"/>
          </w:divBdr>
          <w:divsChild>
            <w:div w:id="1200167456">
              <w:marLeft w:val="0"/>
              <w:marRight w:val="0"/>
              <w:marTop w:val="0"/>
              <w:marBottom w:val="0"/>
              <w:divBdr>
                <w:top w:val="none" w:sz="0" w:space="0" w:color="auto"/>
                <w:left w:val="none" w:sz="0" w:space="0" w:color="auto"/>
                <w:bottom w:val="none" w:sz="0" w:space="0" w:color="auto"/>
                <w:right w:val="none" w:sz="0" w:space="0" w:color="auto"/>
              </w:divBdr>
            </w:div>
          </w:divsChild>
        </w:div>
        <w:div w:id="1155099328">
          <w:marLeft w:val="0"/>
          <w:marRight w:val="0"/>
          <w:marTop w:val="0"/>
          <w:marBottom w:val="0"/>
          <w:divBdr>
            <w:top w:val="none" w:sz="0" w:space="0" w:color="auto"/>
            <w:left w:val="none" w:sz="0" w:space="0" w:color="auto"/>
            <w:bottom w:val="none" w:sz="0" w:space="0" w:color="auto"/>
            <w:right w:val="none" w:sz="0" w:space="0" w:color="auto"/>
          </w:divBdr>
          <w:divsChild>
            <w:div w:id="1107652431">
              <w:marLeft w:val="0"/>
              <w:marRight w:val="0"/>
              <w:marTop w:val="0"/>
              <w:marBottom w:val="0"/>
              <w:divBdr>
                <w:top w:val="none" w:sz="0" w:space="0" w:color="auto"/>
                <w:left w:val="none" w:sz="0" w:space="0" w:color="auto"/>
                <w:bottom w:val="none" w:sz="0" w:space="0" w:color="auto"/>
                <w:right w:val="none" w:sz="0" w:space="0" w:color="auto"/>
              </w:divBdr>
            </w:div>
          </w:divsChild>
        </w:div>
        <w:div w:id="1284389010">
          <w:marLeft w:val="0"/>
          <w:marRight w:val="0"/>
          <w:marTop w:val="0"/>
          <w:marBottom w:val="0"/>
          <w:divBdr>
            <w:top w:val="none" w:sz="0" w:space="0" w:color="auto"/>
            <w:left w:val="none" w:sz="0" w:space="0" w:color="auto"/>
            <w:bottom w:val="none" w:sz="0" w:space="0" w:color="auto"/>
            <w:right w:val="none" w:sz="0" w:space="0" w:color="auto"/>
          </w:divBdr>
          <w:divsChild>
            <w:div w:id="9242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829374">
      <w:bodyDiv w:val="1"/>
      <w:marLeft w:val="0"/>
      <w:marRight w:val="0"/>
      <w:marTop w:val="0"/>
      <w:marBottom w:val="0"/>
      <w:divBdr>
        <w:top w:val="none" w:sz="0" w:space="0" w:color="auto"/>
        <w:left w:val="none" w:sz="0" w:space="0" w:color="auto"/>
        <w:bottom w:val="none" w:sz="0" w:space="0" w:color="auto"/>
        <w:right w:val="none" w:sz="0" w:space="0" w:color="auto"/>
      </w:divBdr>
    </w:div>
    <w:div w:id="259681034">
      <w:bodyDiv w:val="1"/>
      <w:marLeft w:val="0"/>
      <w:marRight w:val="0"/>
      <w:marTop w:val="0"/>
      <w:marBottom w:val="0"/>
      <w:divBdr>
        <w:top w:val="none" w:sz="0" w:space="0" w:color="auto"/>
        <w:left w:val="none" w:sz="0" w:space="0" w:color="auto"/>
        <w:bottom w:val="none" w:sz="0" w:space="0" w:color="auto"/>
        <w:right w:val="none" w:sz="0" w:space="0" w:color="auto"/>
      </w:divBdr>
    </w:div>
    <w:div w:id="282230728">
      <w:bodyDiv w:val="1"/>
      <w:marLeft w:val="0"/>
      <w:marRight w:val="0"/>
      <w:marTop w:val="0"/>
      <w:marBottom w:val="0"/>
      <w:divBdr>
        <w:top w:val="none" w:sz="0" w:space="0" w:color="auto"/>
        <w:left w:val="none" w:sz="0" w:space="0" w:color="auto"/>
        <w:bottom w:val="none" w:sz="0" w:space="0" w:color="auto"/>
        <w:right w:val="none" w:sz="0" w:space="0" w:color="auto"/>
      </w:divBdr>
    </w:div>
    <w:div w:id="297884526">
      <w:bodyDiv w:val="1"/>
      <w:marLeft w:val="0"/>
      <w:marRight w:val="0"/>
      <w:marTop w:val="0"/>
      <w:marBottom w:val="0"/>
      <w:divBdr>
        <w:top w:val="none" w:sz="0" w:space="0" w:color="auto"/>
        <w:left w:val="none" w:sz="0" w:space="0" w:color="auto"/>
        <w:bottom w:val="none" w:sz="0" w:space="0" w:color="auto"/>
        <w:right w:val="none" w:sz="0" w:space="0" w:color="auto"/>
      </w:divBdr>
      <w:divsChild>
        <w:div w:id="1513912069">
          <w:marLeft w:val="0"/>
          <w:marRight w:val="0"/>
          <w:marTop w:val="0"/>
          <w:marBottom w:val="0"/>
          <w:divBdr>
            <w:top w:val="none" w:sz="0" w:space="0" w:color="auto"/>
            <w:left w:val="none" w:sz="0" w:space="0" w:color="auto"/>
            <w:bottom w:val="none" w:sz="0" w:space="0" w:color="auto"/>
            <w:right w:val="none" w:sz="0" w:space="0" w:color="auto"/>
          </w:divBdr>
          <w:divsChild>
            <w:div w:id="2034918227">
              <w:marLeft w:val="0"/>
              <w:marRight w:val="0"/>
              <w:marTop w:val="0"/>
              <w:marBottom w:val="0"/>
              <w:divBdr>
                <w:top w:val="none" w:sz="0" w:space="0" w:color="auto"/>
                <w:left w:val="none" w:sz="0" w:space="0" w:color="auto"/>
                <w:bottom w:val="none" w:sz="0" w:space="0" w:color="auto"/>
                <w:right w:val="none" w:sz="0" w:space="0" w:color="auto"/>
              </w:divBdr>
            </w:div>
            <w:div w:id="204216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3391">
      <w:bodyDiv w:val="1"/>
      <w:marLeft w:val="0"/>
      <w:marRight w:val="0"/>
      <w:marTop w:val="0"/>
      <w:marBottom w:val="0"/>
      <w:divBdr>
        <w:top w:val="none" w:sz="0" w:space="0" w:color="auto"/>
        <w:left w:val="none" w:sz="0" w:space="0" w:color="auto"/>
        <w:bottom w:val="none" w:sz="0" w:space="0" w:color="auto"/>
        <w:right w:val="none" w:sz="0" w:space="0" w:color="auto"/>
      </w:divBdr>
    </w:div>
    <w:div w:id="306475078">
      <w:bodyDiv w:val="1"/>
      <w:marLeft w:val="0"/>
      <w:marRight w:val="0"/>
      <w:marTop w:val="0"/>
      <w:marBottom w:val="0"/>
      <w:divBdr>
        <w:top w:val="none" w:sz="0" w:space="0" w:color="auto"/>
        <w:left w:val="none" w:sz="0" w:space="0" w:color="auto"/>
        <w:bottom w:val="none" w:sz="0" w:space="0" w:color="auto"/>
        <w:right w:val="none" w:sz="0" w:space="0" w:color="auto"/>
      </w:divBdr>
    </w:div>
    <w:div w:id="306513902">
      <w:bodyDiv w:val="1"/>
      <w:marLeft w:val="0"/>
      <w:marRight w:val="0"/>
      <w:marTop w:val="0"/>
      <w:marBottom w:val="0"/>
      <w:divBdr>
        <w:top w:val="none" w:sz="0" w:space="0" w:color="auto"/>
        <w:left w:val="none" w:sz="0" w:space="0" w:color="auto"/>
        <w:bottom w:val="none" w:sz="0" w:space="0" w:color="auto"/>
        <w:right w:val="none" w:sz="0" w:space="0" w:color="auto"/>
      </w:divBdr>
    </w:div>
    <w:div w:id="307823213">
      <w:bodyDiv w:val="1"/>
      <w:marLeft w:val="0"/>
      <w:marRight w:val="0"/>
      <w:marTop w:val="0"/>
      <w:marBottom w:val="0"/>
      <w:divBdr>
        <w:top w:val="none" w:sz="0" w:space="0" w:color="auto"/>
        <w:left w:val="none" w:sz="0" w:space="0" w:color="auto"/>
        <w:bottom w:val="none" w:sz="0" w:space="0" w:color="auto"/>
        <w:right w:val="none" w:sz="0" w:space="0" w:color="auto"/>
      </w:divBdr>
    </w:div>
    <w:div w:id="322121886">
      <w:bodyDiv w:val="1"/>
      <w:marLeft w:val="0"/>
      <w:marRight w:val="0"/>
      <w:marTop w:val="0"/>
      <w:marBottom w:val="0"/>
      <w:divBdr>
        <w:top w:val="none" w:sz="0" w:space="0" w:color="auto"/>
        <w:left w:val="none" w:sz="0" w:space="0" w:color="auto"/>
        <w:bottom w:val="none" w:sz="0" w:space="0" w:color="auto"/>
        <w:right w:val="none" w:sz="0" w:space="0" w:color="auto"/>
      </w:divBdr>
    </w:div>
    <w:div w:id="325133979">
      <w:bodyDiv w:val="1"/>
      <w:marLeft w:val="0"/>
      <w:marRight w:val="0"/>
      <w:marTop w:val="0"/>
      <w:marBottom w:val="0"/>
      <w:divBdr>
        <w:top w:val="none" w:sz="0" w:space="0" w:color="auto"/>
        <w:left w:val="none" w:sz="0" w:space="0" w:color="auto"/>
        <w:bottom w:val="none" w:sz="0" w:space="0" w:color="auto"/>
        <w:right w:val="none" w:sz="0" w:space="0" w:color="auto"/>
      </w:divBdr>
    </w:div>
    <w:div w:id="326328735">
      <w:bodyDiv w:val="1"/>
      <w:marLeft w:val="0"/>
      <w:marRight w:val="0"/>
      <w:marTop w:val="0"/>
      <w:marBottom w:val="0"/>
      <w:divBdr>
        <w:top w:val="none" w:sz="0" w:space="0" w:color="auto"/>
        <w:left w:val="none" w:sz="0" w:space="0" w:color="auto"/>
        <w:bottom w:val="none" w:sz="0" w:space="0" w:color="auto"/>
        <w:right w:val="none" w:sz="0" w:space="0" w:color="auto"/>
      </w:divBdr>
    </w:div>
    <w:div w:id="327751831">
      <w:bodyDiv w:val="1"/>
      <w:marLeft w:val="0"/>
      <w:marRight w:val="0"/>
      <w:marTop w:val="0"/>
      <w:marBottom w:val="0"/>
      <w:divBdr>
        <w:top w:val="none" w:sz="0" w:space="0" w:color="auto"/>
        <w:left w:val="none" w:sz="0" w:space="0" w:color="auto"/>
        <w:bottom w:val="none" w:sz="0" w:space="0" w:color="auto"/>
        <w:right w:val="none" w:sz="0" w:space="0" w:color="auto"/>
      </w:divBdr>
      <w:divsChild>
        <w:div w:id="1431853658">
          <w:marLeft w:val="0"/>
          <w:marRight w:val="0"/>
          <w:marTop w:val="0"/>
          <w:marBottom w:val="0"/>
          <w:divBdr>
            <w:top w:val="none" w:sz="0" w:space="0" w:color="auto"/>
            <w:left w:val="none" w:sz="0" w:space="0" w:color="auto"/>
            <w:bottom w:val="none" w:sz="0" w:space="0" w:color="auto"/>
            <w:right w:val="none" w:sz="0" w:space="0" w:color="auto"/>
          </w:divBdr>
        </w:div>
        <w:div w:id="1549369030">
          <w:marLeft w:val="0"/>
          <w:marRight w:val="0"/>
          <w:marTop w:val="0"/>
          <w:marBottom w:val="0"/>
          <w:divBdr>
            <w:top w:val="none" w:sz="0" w:space="0" w:color="auto"/>
            <w:left w:val="none" w:sz="0" w:space="0" w:color="auto"/>
            <w:bottom w:val="none" w:sz="0" w:space="0" w:color="auto"/>
            <w:right w:val="none" w:sz="0" w:space="0" w:color="auto"/>
          </w:divBdr>
        </w:div>
      </w:divsChild>
    </w:div>
    <w:div w:id="327828029">
      <w:bodyDiv w:val="1"/>
      <w:marLeft w:val="0"/>
      <w:marRight w:val="0"/>
      <w:marTop w:val="0"/>
      <w:marBottom w:val="0"/>
      <w:divBdr>
        <w:top w:val="none" w:sz="0" w:space="0" w:color="auto"/>
        <w:left w:val="none" w:sz="0" w:space="0" w:color="auto"/>
        <w:bottom w:val="none" w:sz="0" w:space="0" w:color="auto"/>
        <w:right w:val="none" w:sz="0" w:space="0" w:color="auto"/>
      </w:divBdr>
    </w:div>
    <w:div w:id="330258361">
      <w:bodyDiv w:val="1"/>
      <w:marLeft w:val="0"/>
      <w:marRight w:val="0"/>
      <w:marTop w:val="0"/>
      <w:marBottom w:val="0"/>
      <w:divBdr>
        <w:top w:val="none" w:sz="0" w:space="0" w:color="auto"/>
        <w:left w:val="none" w:sz="0" w:space="0" w:color="auto"/>
        <w:bottom w:val="none" w:sz="0" w:space="0" w:color="auto"/>
        <w:right w:val="none" w:sz="0" w:space="0" w:color="auto"/>
      </w:divBdr>
      <w:divsChild>
        <w:div w:id="539125154">
          <w:marLeft w:val="0"/>
          <w:marRight w:val="0"/>
          <w:marTop w:val="0"/>
          <w:marBottom w:val="0"/>
          <w:divBdr>
            <w:top w:val="none" w:sz="0" w:space="0" w:color="auto"/>
            <w:left w:val="none" w:sz="0" w:space="0" w:color="auto"/>
            <w:bottom w:val="none" w:sz="0" w:space="0" w:color="auto"/>
            <w:right w:val="none" w:sz="0" w:space="0" w:color="auto"/>
          </w:divBdr>
        </w:div>
      </w:divsChild>
    </w:div>
    <w:div w:id="330564635">
      <w:bodyDiv w:val="1"/>
      <w:marLeft w:val="0"/>
      <w:marRight w:val="0"/>
      <w:marTop w:val="0"/>
      <w:marBottom w:val="0"/>
      <w:divBdr>
        <w:top w:val="none" w:sz="0" w:space="0" w:color="auto"/>
        <w:left w:val="none" w:sz="0" w:space="0" w:color="auto"/>
        <w:bottom w:val="none" w:sz="0" w:space="0" w:color="auto"/>
        <w:right w:val="none" w:sz="0" w:space="0" w:color="auto"/>
      </w:divBdr>
      <w:divsChild>
        <w:div w:id="610087723">
          <w:marLeft w:val="0"/>
          <w:marRight w:val="0"/>
          <w:marTop w:val="0"/>
          <w:marBottom w:val="0"/>
          <w:divBdr>
            <w:top w:val="none" w:sz="0" w:space="0" w:color="auto"/>
            <w:left w:val="none" w:sz="0" w:space="0" w:color="auto"/>
            <w:bottom w:val="none" w:sz="0" w:space="0" w:color="auto"/>
            <w:right w:val="none" w:sz="0" w:space="0" w:color="auto"/>
          </w:divBdr>
        </w:div>
      </w:divsChild>
    </w:div>
    <w:div w:id="342557458">
      <w:bodyDiv w:val="1"/>
      <w:marLeft w:val="0"/>
      <w:marRight w:val="0"/>
      <w:marTop w:val="0"/>
      <w:marBottom w:val="0"/>
      <w:divBdr>
        <w:top w:val="none" w:sz="0" w:space="0" w:color="auto"/>
        <w:left w:val="none" w:sz="0" w:space="0" w:color="auto"/>
        <w:bottom w:val="none" w:sz="0" w:space="0" w:color="auto"/>
        <w:right w:val="none" w:sz="0" w:space="0" w:color="auto"/>
      </w:divBdr>
    </w:div>
    <w:div w:id="358168233">
      <w:bodyDiv w:val="1"/>
      <w:marLeft w:val="0"/>
      <w:marRight w:val="0"/>
      <w:marTop w:val="0"/>
      <w:marBottom w:val="0"/>
      <w:divBdr>
        <w:top w:val="none" w:sz="0" w:space="0" w:color="auto"/>
        <w:left w:val="none" w:sz="0" w:space="0" w:color="auto"/>
        <w:bottom w:val="none" w:sz="0" w:space="0" w:color="auto"/>
        <w:right w:val="none" w:sz="0" w:space="0" w:color="auto"/>
      </w:divBdr>
    </w:div>
    <w:div w:id="373429280">
      <w:bodyDiv w:val="1"/>
      <w:marLeft w:val="0"/>
      <w:marRight w:val="0"/>
      <w:marTop w:val="0"/>
      <w:marBottom w:val="0"/>
      <w:divBdr>
        <w:top w:val="none" w:sz="0" w:space="0" w:color="auto"/>
        <w:left w:val="none" w:sz="0" w:space="0" w:color="auto"/>
        <w:bottom w:val="none" w:sz="0" w:space="0" w:color="auto"/>
        <w:right w:val="none" w:sz="0" w:space="0" w:color="auto"/>
      </w:divBdr>
    </w:div>
    <w:div w:id="384378482">
      <w:bodyDiv w:val="1"/>
      <w:marLeft w:val="0"/>
      <w:marRight w:val="0"/>
      <w:marTop w:val="0"/>
      <w:marBottom w:val="0"/>
      <w:divBdr>
        <w:top w:val="none" w:sz="0" w:space="0" w:color="auto"/>
        <w:left w:val="none" w:sz="0" w:space="0" w:color="auto"/>
        <w:bottom w:val="none" w:sz="0" w:space="0" w:color="auto"/>
        <w:right w:val="none" w:sz="0" w:space="0" w:color="auto"/>
      </w:divBdr>
      <w:divsChild>
        <w:div w:id="208493659">
          <w:marLeft w:val="0"/>
          <w:marRight w:val="0"/>
          <w:marTop w:val="0"/>
          <w:marBottom w:val="0"/>
          <w:divBdr>
            <w:top w:val="none" w:sz="0" w:space="0" w:color="auto"/>
            <w:left w:val="none" w:sz="0" w:space="0" w:color="auto"/>
            <w:bottom w:val="none" w:sz="0" w:space="0" w:color="auto"/>
            <w:right w:val="none" w:sz="0" w:space="0" w:color="auto"/>
          </w:divBdr>
          <w:divsChild>
            <w:div w:id="1268276034">
              <w:marLeft w:val="0"/>
              <w:marRight w:val="0"/>
              <w:marTop w:val="0"/>
              <w:marBottom w:val="0"/>
              <w:divBdr>
                <w:top w:val="none" w:sz="0" w:space="0" w:color="auto"/>
                <w:left w:val="none" w:sz="0" w:space="0" w:color="auto"/>
                <w:bottom w:val="none" w:sz="0" w:space="0" w:color="auto"/>
                <w:right w:val="none" w:sz="0" w:space="0" w:color="auto"/>
              </w:divBdr>
            </w:div>
          </w:divsChild>
        </w:div>
        <w:div w:id="471364711">
          <w:marLeft w:val="0"/>
          <w:marRight w:val="0"/>
          <w:marTop w:val="0"/>
          <w:marBottom w:val="0"/>
          <w:divBdr>
            <w:top w:val="none" w:sz="0" w:space="0" w:color="auto"/>
            <w:left w:val="none" w:sz="0" w:space="0" w:color="auto"/>
            <w:bottom w:val="none" w:sz="0" w:space="0" w:color="auto"/>
            <w:right w:val="none" w:sz="0" w:space="0" w:color="auto"/>
          </w:divBdr>
          <w:divsChild>
            <w:div w:id="1290235732">
              <w:marLeft w:val="0"/>
              <w:marRight w:val="0"/>
              <w:marTop w:val="0"/>
              <w:marBottom w:val="0"/>
              <w:divBdr>
                <w:top w:val="none" w:sz="0" w:space="0" w:color="auto"/>
                <w:left w:val="none" w:sz="0" w:space="0" w:color="auto"/>
                <w:bottom w:val="none" w:sz="0" w:space="0" w:color="auto"/>
                <w:right w:val="none" w:sz="0" w:space="0" w:color="auto"/>
              </w:divBdr>
            </w:div>
          </w:divsChild>
        </w:div>
        <w:div w:id="475491123">
          <w:marLeft w:val="0"/>
          <w:marRight w:val="0"/>
          <w:marTop w:val="0"/>
          <w:marBottom w:val="0"/>
          <w:divBdr>
            <w:top w:val="none" w:sz="0" w:space="0" w:color="auto"/>
            <w:left w:val="none" w:sz="0" w:space="0" w:color="auto"/>
            <w:bottom w:val="none" w:sz="0" w:space="0" w:color="auto"/>
            <w:right w:val="none" w:sz="0" w:space="0" w:color="auto"/>
          </w:divBdr>
          <w:divsChild>
            <w:div w:id="14768752">
              <w:marLeft w:val="0"/>
              <w:marRight w:val="0"/>
              <w:marTop w:val="0"/>
              <w:marBottom w:val="0"/>
              <w:divBdr>
                <w:top w:val="none" w:sz="0" w:space="0" w:color="auto"/>
                <w:left w:val="none" w:sz="0" w:space="0" w:color="auto"/>
                <w:bottom w:val="none" w:sz="0" w:space="0" w:color="auto"/>
                <w:right w:val="none" w:sz="0" w:space="0" w:color="auto"/>
              </w:divBdr>
            </w:div>
          </w:divsChild>
        </w:div>
        <w:div w:id="597645004">
          <w:marLeft w:val="0"/>
          <w:marRight w:val="0"/>
          <w:marTop w:val="0"/>
          <w:marBottom w:val="0"/>
          <w:divBdr>
            <w:top w:val="none" w:sz="0" w:space="0" w:color="auto"/>
            <w:left w:val="none" w:sz="0" w:space="0" w:color="auto"/>
            <w:bottom w:val="none" w:sz="0" w:space="0" w:color="auto"/>
            <w:right w:val="none" w:sz="0" w:space="0" w:color="auto"/>
          </w:divBdr>
          <w:divsChild>
            <w:div w:id="1452212405">
              <w:marLeft w:val="0"/>
              <w:marRight w:val="0"/>
              <w:marTop w:val="0"/>
              <w:marBottom w:val="0"/>
              <w:divBdr>
                <w:top w:val="none" w:sz="0" w:space="0" w:color="auto"/>
                <w:left w:val="none" w:sz="0" w:space="0" w:color="auto"/>
                <w:bottom w:val="none" w:sz="0" w:space="0" w:color="auto"/>
                <w:right w:val="none" w:sz="0" w:space="0" w:color="auto"/>
              </w:divBdr>
            </w:div>
          </w:divsChild>
        </w:div>
        <w:div w:id="661130740">
          <w:marLeft w:val="0"/>
          <w:marRight w:val="0"/>
          <w:marTop w:val="0"/>
          <w:marBottom w:val="0"/>
          <w:divBdr>
            <w:top w:val="none" w:sz="0" w:space="0" w:color="auto"/>
            <w:left w:val="none" w:sz="0" w:space="0" w:color="auto"/>
            <w:bottom w:val="none" w:sz="0" w:space="0" w:color="auto"/>
            <w:right w:val="none" w:sz="0" w:space="0" w:color="auto"/>
          </w:divBdr>
          <w:divsChild>
            <w:div w:id="1045183106">
              <w:marLeft w:val="0"/>
              <w:marRight w:val="0"/>
              <w:marTop w:val="0"/>
              <w:marBottom w:val="0"/>
              <w:divBdr>
                <w:top w:val="none" w:sz="0" w:space="0" w:color="auto"/>
                <w:left w:val="none" w:sz="0" w:space="0" w:color="auto"/>
                <w:bottom w:val="none" w:sz="0" w:space="0" w:color="auto"/>
                <w:right w:val="none" w:sz="0" w:space="0" w:color="auto"/>
              </w:divBdr>
            </w:div>
          </w:divsChild>
        </w:div>
        <w:div w:id="717777188">
          <w:marLeft w:val="0"/>
          <w:marRight w:val="0"/>
          <w:marTop w:val="0"/>
          <w:marBottom w:val="0"/>
          <w:divBdr>
            <w:top w:val="none" w:sz="0" w:space="0" w:color="auto"/>
            <w:left w:val="none" w:sz="0" w:space="0" w:color="auto"/>
            <w:bottom w:val="none" w:sz="0" w:space="0" w:color="auto"/>
            <w:right w:val="none" w:sz="0" w:space="0" w:color="auto"/>
          </w:divBdr>
          <w:divsChild>
            <w:div w:id="1738897514">
              <w:marLeft w:val="0"/>
              <w:marRight w:val="0"/>
              <w:marTop w:val="0"/>
              <w:marBottom w:val="0"/>
              <w:divBdr>
                <w:top w:val="none" w:sz="0" w:space="0" w:color="auto"/>
                <w:left w:val="none" w:sz="0" w:space="0" w:color="auto"/>
                <w:bottom w:val="none" w:sz="0" w:space="0" w:color="auto"/>
                <w:right w:val="none" w:sz="0" w:space="0" w:color="auto"/>
              </w:divBdr>
            </w:div>
          </w:divsChild>
        </w:div>
        <w:div w:id="998844221">
          <w:marLeft w:val="0"/>
          <w:marRight w:val="0"/>
          <w:marTop w:val="0"/>
          <w:marBottom w:val="0"/>
          <w:divBdr>
            <w:top w:val="none" w:sz="0" w:space="0" w:color="auto"/>
            <w:left w:val="none" w:sz="0" w:space="0" w:color="auto"/>
            <w:bottom w:val="none" w:sz="0" w:space="0" w:color="auto"/>
            <w:right w:val="none" w:sz="0" w:space="0" w:color="auto"/>
          </w:divBdr>
          <w:divsChild>
            <w:div w:id="586960613">
              <w:marLeft w:val="0"/>
              <w:marRight w:val="0"/>
              <w:marTop w:val="0"/>
              <w:marBottom w:val="0"/>
              <w:divBdr>
                <w:top w:val="none" w:sz="0" w:space="0" w:color="auto"/>
                <w:left w:val="none" w:sz="0" w:space="0" w:color="auto"/>
                <w:bottom w:val="none" w:sz="0" w:space="0" w:color="auto"/>
                <w:right w:val="none" w:sz="0" w:space="0" w:color="auto"/>
              </w:divBdr>
            </w:div>
          </w:divsChild>
        </w:div>
        <w:div w:id="1027828715">
          <w:marLeft w:val="0"/>
          <w:marRight w:val="0"/>
          <w:marTop w:val="0"/>
          <w:marBottom w:val="0"/>
          <w:divBdr>
            <w:top w:val="none" w:sz="0" w:space="0" w:color="auto"/>
            <w:left w:val="none" w:sz="0" w:space="0" w:color="auto"/>
            <w:bottom w:val="none" w:sz="0" w:space="0" w:color="auto"/>
            <w:right w:val="none" w:sz="0" w:space="0" w:color="auto"/>
          </w:divBdr>
          <w:divsChild>
            <w:div w:id="1293049390">
              <w:marLeft w:val="0"/>
              <w:marRight w:val="0"/>
              <w:marTop w:val="0"/>
              <w:marBottom w:val="0"/>
              <w:divBdr>
                <w:top w:val="none" w:sz="0" w:space="0" w:color="auto"/>
                <w:left w:val="none" w:sz="0" w:space="0" w:color="auto"/>
                <w:bottom w:val="none" w:sz="0" w:space="0" w:color="auto"/>
                <w:right w:val="none" w:sz="0" w:space="0" w:color="auto"/>
              </w:divBdr>
            </w:div>
          </w:divsChild>
        </w:div>
        <w:div w:id="1098986862">
          <w:marLeft w:val="0"/>
          <w:marRight w:val="0"/>
          <w:marTop w:val="0"/>
          <w:marBottom w:val="0"/>
          <w:divBdr>
            <w:top w:val="none" w:sz="0" w:space="0" w:color="auto"/>
            <w:left w:val="none" w:sz="0" w:space="0" w:color="auto"/>
            <w:bottom w:val="none" w:sz="0" w:space="0" w:color="auto"/>
            <w:right w:val="none" w:sz="0" w:space="0" w:color="auto"/>
          </w:divBdr>
          <w:divsChild>
            <w:div w:id="1887063828">
              <w:marLeft w:val="0"/>
              <w:marRight w:val="0"/>
              <w:marTop w:val="0"/>
              <w:marBottom w:val="0"/>
              <w:divBdr>
                <w:top w:val="none" w:sz="0" w:space="0" w:color="auto"/>
                <w:left w:val="none" w:sz="0" w:space="0" w:color="auto"/>
                <w:bottom w:val="none" w:sz="0" w:space="0" w:color="auto"/>
                <w:right w:val="none" w:sz="0" w:space="0" w:color="auto"/>
              </w:divBdr>
            </w:div>
          </w:divsChild>
        </w:div>
        <w:div w:id="1123958527">
          <w:marLeft w:val="0"/>
          <w:marRight w:val="0"/>
          <w:marTop w:val="0"/>
          <w:marBottom w:val="0"/>
          <w:divBdr>
            <w:top w:val="none" w:sz="0" w:space="0" w:color="auto"/>
            <w:left w:val="none" w:sz="0" w:space="0" w:color="auto"/>
            <w:bottom w:val="none" w:sz="0" w:space="0" w:color="auto"/>
            <w:right w:val="none" w:sz="0" w:space="0" w:color="auto"/>
          </w:divBdr>
          <w:divsChild>
            <w:div w:id="1357845677">
              <w:marLeft w:val="0"/>
              <w:marRight w:val="0"/>
              <w:marTop w:val="0"/>
              <w:marBottom w:val="0"/>
              <w:divBdr>
                <w:top w:val="none" w:sz="0" w:space="0" w:color="auto"/>
                <w:left w:val="none" w:sz="0" w:space="0" w:color="auto"/>
                <w:bottom w:val="none" w:sz="0" w:space="0" w:color="auto"/>
                <w:right w:val="none" w:sz="0" w:space="0" w:color="auto"/>
              </w:divBdr>
            </w:div>
          </w:divsChild>
        </w:div>
        <w:div w:id="1246259863">
          <w:marLeft w:val="0"/>
          <w:marRight w:val="0"/>
          <w:marTop w:val="0"/>
          <w:marBottom w:val="0"/>
          <w:divBdr>
            <w:top w:val="none" w:sz="0" w:space="0" w:color="auto"/>
            <w:left w:val="none" w:sz="0" w:space="0" w:color="auto"/>
            <w:bottom w:val="none" w:sz="0" w:space="0" w:color="auto"/>
            <w:right w:val="none" w:sz="0" w:space="0" w:color="auto"/>
          </w:divBdr>
          <w:divsChild>
            <w:div w:id="1191650428">
              <w:marLeft w:val="0"/>
              <w:marRight w:val="0"/>
              <w:marTop w:val="0"/>
              <w:marBottom w:val="0"/>
              <w:divBdr>
                <w:top w:val="none" w:sz="0" w:space="0" w:color="auto"/>
                <w:left w:val="none" w:sz="0" w:space="0" w:color="auto"/>
                <w:bottom w:val="none" w:sz="0" w:space="0" w:color="auto"/>
                <w:right w:val="none" w:sz="0" w:space="0" w:color="auto"/>
              </w:divBdr>
            </w:div>
          </w:divsChild>
        </w:div>
        <w:div w:id="1314530909">
          <w:marLeft w:val="0"/>
          <w:marRight w:val="0"/>
          <w:marTop w:val="0"/>
          <w:marBottom w:val="0"/>
          <w:divBdr>
            <w:top w:val="none" w:sz="0" w:space="0" w:color="auto"/>
            <w:left w:val="none" w:sz="0" w:space="0" w:color="auto"/>
            <w:bottom w:val="none" w:sz="0" w:space="0" w:color="auto"/>
            <w:right w:val="none" w:sz="0" w:space="0" w:color="auto"/>
          </w:divBdr>
          <w:divsChild>
            <w:div w:id="1762141462">
              <w:marLeft w:val="0"/>
              <w:marRight w:val="0"/>
              <w:marTop w:val="0"/>
              <w:marBottom w:val="0"/>
              <w:divBdr>
                <w:top w:val="none" w:sz="0" w:space="0" w:color="auto"/>
                <w:left w:val="none" w:sz="0" w:space="0" w:color="auto"/>
                <w:bottom w:val="none" w:sz="0" w:space="0" w:color="auto"/>
                <w:right w:val="none" w:sz="0" w:space="0" w:color="auto"/>
              </w:divBdr>
            </w:div>
          </w:divsChild>
        </w:div>
        <w:div w:id="1457069243">
          <w:marLeft w:val="0"/>
          <w:marRight w:val="0"/>
          <w:marTop w:val="0"/>
          <w:marBottom w:val="0"/>
          <w:divBdr>
            <w:top w:val="none" w:sz="0" w:space="0" w:color="auto"/>
            <w:left w:val="none" w:sz="0" w:space="0" w:color="auto"/>
            <w:bottom w:val="none" w:sz="0" w:space="0" w:color="auto"/>
            <w:right w:val="none" w:sz="0" w:space="0" w:color="auto"/>
          </w:divBdr>
          <w:divsChild>
            <w:div w:id="1175070141">
              <w:marLeft w:val="0"/>
              <w:marRight w:val="0"/>
              <w:marTop w:val="0"/>
              <w:marBottom w:val="0"/>
              <w:divBdr>
                <w:top w:val="none" w:sz="0" w:space="0" w:color="auto"/>
                <w:left w:val="none" w:sz="0" w:space="0" w:color="auto"/>
                <w:bottom w:val="none" w:sz="0" w:space="0" w:color="auto"/>
                <w:right w:val="none" w:sz="0" w:space="0" w:color="auto"/>
              </w:divBdr>
            </w:div>
          </w:divsChild>
        </w:div>
        <w:div w:id="1559630158">
          <w:marLeft w:val="0"/>
          <w:marRight w:val="0"/>
          <w:marTop w:val="0"/>
          <w:marBottom w:val="0"/>
          <w:divBdr>
            <w:top w:val="none" w:sz="0" w:space="0" w:color="auto"/>
            <w:left w:val="none" w:sz="0" w:space="0" w:color="auto"/>
            <w:bottom w:val="none" w:sz="0" w:space="0" w:color="auto"/>
            <w:right w:val="none" w:sz="0" w:space="0" w:color="auto"/>
          </w:divBdr>
          <w:divsChild>
            <w:div w:id="892276079">
              <w:marLeft w:val="0"/>
              <w:marRight w:val="0"/>
              <w:marTop w:val="0"/>
              <w:marBottom w:val="0"/>
              <w:divBdr>
                <w:top w:val="none" w:sz="0" w:space="0" w:color="auto"/>
                <w:left w:val="none" w:sz="0" w:space="0" w:color="auto"/>
                <w:bottom w:val="none" w:sz="0" w:space="0" w:color="auto"/>
                <w:right w:val="none" w:sz="0" w:space="0" w:color="auto"/>
              </w:divBdr>
            </w:div>
          </w:divsChild>
        </w:div>
        <w:div w:id="1588879734">
          <w:marLeft w:val="0"/>
          <w:marRight w:val="0"/>
          <w:marTop w:val="0"/>
          <w:marBottom w:val="0"/>
          <w:divBdr>
            <w:top w:val="none" w:sz="0" w:space="0" w:color="auto"/>
            <w:left w:val="none" w:sz="0" w:space="0" w:color="auto"/>
            <w:bottom w:val="none" w:sz="0" w:space="0" w:color="auto"/>
            <w:right w:val="none" w:sz="0" w:space="0" w:color="auto"/>
          </w:divBdr>
          <w:divsChild>
            <w:div w:id="854926498">
              <w:marLeft w:val="0"/>
              <w:marRight w:val="0"/>
              <w:marTop w:val="0"/>
              <w:marBottom w:val="0"/>
              <w:divBdr>
                <w:top w:val="none" w:sz="0" w:space="0" w:color="auto"/>
                <w:left w:val="none" w:sz="0" w:space="0" w:color="auto"/>
                <w:bottom w:val="none" w:sz="0" w:space="0" w:color="auto"/>
                <w:right w:val="none" w:sz="0" w:space="0" w:color="auto"/>
              </w:divBdr>
            </w:div>
          </w:divsChild>
        </w:div>
        <w:div w:id="1686978784">
          <w:marLeft w:val="0"/>
          <w:marRight w:val="0"/>
          <w:marTop w:val="0"/>
          <w:marBottom w:val="0"/>
          <w:divBdr>
            <w:top w:val="none" w:sz="0" w:space="0" w:color="auto"/>
            <w:left w:val="none" w:sz="0" w:space="0" w:color="auto"/>
            <w:bottom w:val="none" w:sz="0" w:space="0" w:color="auto"/>
            <w:right w:val="none" w:sz="0" w:space="0" w:color="auto"/>
          </w:divBdr>
          <w:divsChild>
            <w:div w:id="1122504594">
              <w:marLeft w:val="0"/>
              <w:marRight w:val="0"/>
              <w:marTop w:val="0"/>
              <w:marBottom w:val="0"/>
              <w:divBdr>
                <w:top w:val="none" w:sz="0" w:space="0" w:color="auto"/>
                <w:left w:val="none" w:sz="0" w:space="0" w:color="auto"/>
                <w:bottom w:val="none" w:sz="0" w:space="0" w:color="auto"/>
                <w:right w:val="none" w:sz="0" w:space="0" w:color="auto"/>
              </w:divBdr>
            </w:div>
          </w:divsChild>
        </w:div>
        <w:div w:id="1749960251">
          <w:marLeft w:val="0"/>
          <w:marRight w:val="0"/>
          <w:marTop w:val="0"/>
          <w:marBottom w:val="0"/>
          <w:divBdr>
            <w:top w:val="none" w:sz="0" w:space="0" w:color="auto"/>
            <w:left w:val="none" w:sz="0" w:space="0" w:color="auto"/>
            <w:bottom w:val="none" w:sz="0" w:space="0" w:color="auto"/>
            <w:right w:val="none" w:sz="0" w:space="0" w:color="auto"/>
          </w:divBdr>
          <w:divsChild>
            <w:div w:id="1767145163">
              <w:marLeft w:val="0"/>
              <w:marRight w:val="0"/>
              <w:marTop w:val="0"/>
              <w:marBottom w:val="0"/>
              <w:divBdr>
                <w:top w:val="none" w:sz="0" w:space="0" w:color="auto"/>
                <w:left w:val="none" w:sz="0" w:space="0" w:color="auto"/>
                <w:bottom w:val="none" w:sz="0" w:space="0" w:color="auto"/>
                <w:right w:val="none" w:sz="0" w:space="0" w:color="auto"/>
              </w:divBdr>
            </w:div>
          </w:divsChild>
        </w:div>
        <w:div w:id="2004120705">
          <w:marLeft w:val="0"/>
          <w:marRight w:val="0"/>
          <w:marTop w:val="0"/>
          <w:marBottom w:val="0"/>
          <w:divBdr>
            <w:top w:val="none" w:sz="0" w:space="0" w:color="auto"/>
            <w:left w:val="none" w:sz="0" w:space="0" w:color="auto"/>
            <w:bottom w:val="none" w:sz="0" w:space="0" w:color="auto"/>
            <w:right w:val="none" w:sz="0" w:space="0" w:color="auto"/>
          </w:divBdr>
          <w:divsChild>
            <w:div w:id="22452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275993">
      <w:bodyDiv w:val="1"/>
      <w:marLeft w:val="0"/>
      <w:marRight w:val="0"/>
      <w:marTop w:val="0"/>
      <w:marBottom w:val="0"/>
      <w:divBdr>
        <w:top w:val="none" w:sz="0" w:space="0" w:color="auto"/>
        <w:left w:val="none" w:sz="0" w:space="0" w:color="auto"/>
        <w:bottom w:val="none" w:sz="0" w:space="0" w:color="auto"/>
        <w:right w:val="none" w:sz="0" w:space="0" w:color="auto"/>
      </w:divBdr>
    </w:div>
    <w:div w:id="411583705">
      <w:bodyDiv w:val="1"/>
      <w:marLeft w:val="0"/>
      <w:marRight w:val="0"/>
      <w:marTop w:val="0"/>
      <w:marBottom w:val="0"/>
      <w:divBdr>
        <w:top w:val="none" w:sz="0" w:space="0" w:color="auto"/>
        <w:left w:val="none" w:sz="0" w:space="0" w:color="auto"/>
        <w:bottom w:val="none" w:sz="0" w:space="0" w:color="auto"/>
        <w:right w:val="none" w:sz="0" w:space="0" w:color="auto"/>
      </w:divBdr>
    </w:div>
    <w:div w:id="417363045">
      <w:bodyDiv w:val="1"/>
      <w:marLeft w:val="0"/>
      <w:marRight w:val="0"/>
      <w:marTop w:val="0"/>
      <w:marBottom w:val="0"/>
      <w:divBdr>
        <w:top w:val="none" w:sz="0" w:space="0" w:color="auto"/>
        <w:left w:val="none" w:sz="0" w:space="0" w:color="auto"/>
        <w:bottom w:val="none" w:sz="0" w:space="0" w:color="auto"/>
        <w:right w:val="none" w:sz="0" w:space="0" w:color="auto"/>
      </w:divBdr>
      <w:divsChild>
        <w:div w:id="230237130">
          <w:marLeft w:val="0"/>
          <w:marRight w:val="0"/>
          <w:marTop w:val="0"/>
          <w:marBottom w:val="0"/>
          <w:divBdr>
            <w:top w:val="none" w:sz="0" w:space="0" w:color="auto"/>
            <w:left w:val="none" w:sz="0" w:space="0" w:color="auto"/>
            <w:bottom w:val="none" w:sz="0" w:space="0" w:color="auto"/>
            <w:right w:val="none" w:sz="0" w:space="0" w:color="auto"/>
          </w:divBdr>
        </w:div>
        <w:div w:id="332532297">
          <w:marLeft w:val="0"/>
          <w:marRight w:val="0"/>
          <w:marTop w:val="0"/>
          <w:marBottom w:val="0"/>
          <w:divBdr>
            <w:top w:val="none" w:sz="0" w:space="0" w:color="auto"/>
            <w:left w:val="none" w:sz="0" w:space="0" w:color="auto"/>
            <w:bottom w:val="none" w:sz="0" w:space="0" w:color="auto"/>
            <w:right w:val="none" w:sz="0" w:space="0" w:color="auto"/>
          </w:divBdr>
        </w:div>
        <w:div w:id="492332409">
          <w:marLeft w:val="0"/>
          <w:marRight w:val="0"/>
          <w:marTop w:val="0"/>
          <w:marBottom w:val="0"/>
          <w:divBdr>
            <w:top w:val="none" w:sz="0" w:space="0" w:color="auto"/>
            <w:left w:val="none" w:sz="0" w:space="0" w:color="auto"/>
            <w:bottom w:val="none" w:sz="0" w:space="0" w:color="auto"/>
            <w:right w:val="none" w:sz="0" w:space="0" w:color="auto"/>
          </w:divBdr>
        </w:div>
        <w:div w:id="521939992">
          <w:marLeft w:val="0"/>
          <w:marRight w:val="0"/>
          <w:marTop w:val="0"/>
          <w:marBottom w:val="0"/>
          <w:divBdr>
            <w:top w:val="none" w:sz="0" w:space="0" w:color="auto"/>
            <w:left w:val="none" w:sz="0" w:space="0" w:color="auto"/>
            <w:bottom w:val="none" w:sz="0" w:space="0" w:color="auto"/>
            <w:right w:val="none" w:sz="0" w:space="0" w:color="auto"/>
          </w:divBdr>
        </w:div>
        <w:div w:id="820002900">
          <w:marLeft w:val="0"/>
          <w:marRight w:val="0"/>
          <w:marTop w:val="0"/>
          <w:marBottom w:val="0"/>
          <w:divBdr>
            <w:top w:val="none" w:sz="0" w:space="0" w:color="auto"/>
            <w:left w:val="none" w:sz="0" w:space="0" w:color="auto"/>
            <w:bottom w:val="none" w:sz="0" w:space="0" w:color="auto"/>
            <w:right w:val="none" w:sz="0" w:space="0" w:color="auto"/>
          </w:divBdr>
        </w:div>
        <w:div w:id="1642617795">
          <w:marLeft w:val="0"/>
          <w:marRight w:val="0"/>
          <w:marTop w:val="0"/>
          <w:marBottom w:val="0"/>
          <w:divBdr>
            <w:top w:val="none" w:sz="0" w:space="0" w:color="auto"/>
            <w:left w:val="none" w:sz="0" w:space="0" w:color="auto"/>
            <w:bottom w:val="none" w:sz="0" w:space="0" w:color="auto"/>
            <w:right w:val="none" w:sz="0" w:space="0" w:color="auto"/>
          </w:divBdr>
        </w:div>
        <w:div w:id="1913197029">
          <w:marLeft w:val="0"/>
          <w:marRight w:val="0"/>
          <w:marTop w:val="0"/>
          <w:marBottom w:val="0"/>
          <w:divBdr>
            <w:top w:val="none" w:sz="0" w:space="0" w:color="auto"/>
            <w:left w:val="none" w:sz="0" w:space="0" w:color="auto"/>
            <w:bottom w:val="none" w:sz="0" w:space="0" w:color="auto"/>
            <w:right w:val="none" w:sz="0" w:space="0" w:color="auto"/>
          </w:divBdr>
        </w:div>
        <w:div w:id="1942911735">
          <w:marLeft w:val="0"/>
          <w:marRight w:val="0"/>
          <w:marTop w:val="0"/>
          <w:marBottom w:val="0"/>
          <w:divBdr>
            <w:top w:val="none" w:sz="0" w:space="0" w:color="auto"/>
            <w:left w:val="none" w:sz="0" w:space="0" w:color="auto"/>
            <w:bottom w:val="none" w:sz="0" w:space="0" w:color="auto"/>
            <w:right w:val="none" w:sz="0" w:space="0" w:color="auto"/>
          </w:divBdr>
        </w:div>
        <w:div w:id="2078628154">
          <w:marLeft w:val="0"/>
          <w:marRight w:val="0"/>
          <w:marTop w:val="0"/>
          <w:marBottom w:val="0"/>
          <w:divBdr>
            <w:top w:val="none" w:sz="0" w:space="0" w:color="auto"/>
            <w:left w:val="none" w:sz="0" w:space="0" w:color="auto"/>
            <w:bottom w:val="none" w:sz="0" w:space="0" w:color="auto"/>
            <w:right w:val="none" w:sz="0" w:space="0" w:color="auto"/>
          </w:divBdr>
        </w:div>
      </w:divsChild>
    </w:div>
    <w:div w:id="423571243">
      <w:bodyDiv w:val="1"/>
      <w:marLeft w:val="0"/>
      <w:marRight w:val="0"/>
      <w:marTop w:val="0"/>
      <w:marBottom w:val="0"/>
      <w:divBdr>
        <w:top w:val="none" w:sz="0" w:space="0" w:color="auto"/>
        <w:left w:val="none" w:sz="0" w:space="0" w:color="auto"/>
        <w:bottom w:val="none" w:sz="0" w:space="0" w:color="auto"/>
        <w:right w:val="none" w:sz="0" w:space="0" w:color="auto"/>
      </w:divBdr>
    </w:div>
    <w:div w:id="425343826">
      <w:bodyDiv w:val="1"/>
      <w:marLeft w:val="0"/>
      <w:marRight w:val="0"/>
      <w:marTop w:val="0"/>
      <w:marBottom w:val="0"/>
      <w:divBdr>
        <w:top w:val="none" w:sz="0" w:space="0" w:color="auto"/>
        <w:left w:val="none" w:sz="0" w:space="0" w:color="auto"/>
        <w:bottom w:val="none" w:sz="0" w:space="0" w:color="auto"/>
        <w:right w:val="none" w:sz="0" w:space="0" w:color="auto"/>
      </w:divBdr>
    </w:div>
    <w:div w:id="428627241">
      <w:bodyDiv w:val="1"/>
      <w:marLeft w:val="0"/>
      <w:marRight w:val="0"/>
      <w:marTop w:val="0"/>
      <w:marBottom w:val="0"/>
      <w:divBdr>
        <w:top w:val="none" w:sz="0" w:space="0" w:color="auto"/>
        <w:left w:val="none" w:sz="0" w:space="0" w:color="auto"/>
        <w:bottom w:val="none" w:sz="0" w:space="0" w:color="auto"/>
        <w:right w:val="none" w:sz="0" w:space="0" w:color="auto"/>
      </w:divBdr>
      <w:divsChild>
        <w:div w:id="285431331">
          <w:marLeft w:val="0"/>
          <w:marRight w:val="0"/>
          <w:marTop w:val="0"/>
          <w:marBottom w:val="0"/>
          <w:divBdr>
            <w:top w:val="none" w:sz="0" w:space="0" w:color="auto"/>
            <w:left w:val="none" w:sz="0" w:space="0" w:color="auto"/>
            <w:bottom w:val="none" w:sz="0" w:space="0" w:color="auto"/>
            <w:right w:val="none" w:sz="0" w:space="0" w:color="auto"/>
          </w:divBdr>
        </w:div>
        <w:div w:id="379980294">
          <w:marLeft w:val="0"/>
          <w:marRight w:val="0"/>
          <w:marTop w:val="0"/>
          <w:marBottom w:val="0"/>
          <w:divBdr>
            <w:top w:val="none" w:sz="0" w:space="0" w:color="auto"/>
            <w:left w:val="none" w:sz="0" w:space="0" w:color="auto"/>
            <w:bottom w:val="none" w:sz="0" w:space="0" w:color="auto"/>
            <w:right w:val="none" w:sz="0" w:space="0" w:color="auto"/>
          </w:divBdr>
        </w:div>
      </w:divsChild>
    </w:div>
    <w:div w:id="429738806">
      <w:bodyDiv w:val="1"/>
      <w:marLeft w:val="0"/>
      <w:marRight w:val="0"/>
      <w:marTop w:val="0"/>
      <w:marBottom w:val="0"/>
      <w:divBdr>
        <w:top w:val="none" w:sz="0" w:space="0" w:color="auto"/>
        <w:left w:val="none" w:sz="0" w:space="0" w:color="auto"/>
        <w:bottom w:val="none" w:sz="0" w:space="0" w:color="auto"/>
        <w:right w:val="none" w:sz="0" w:space="0" w:color="auto"/>
      </w:divBdr>
    </w:div>
    <w:div w:id="431512347">
      <w:bodyDiv w:val="1"/>
      <w:marLeft w:val="0"/>
      <w:marRight w:val="0"/>
      <w:marTop w:val="0"/>
      <w:marBottom w:val="0"/>
      <w:divBdr>
        <w:top w:val="none" w:sz="0" w:space="0" w:color="auto"/>
        <w:left w:val="none" w:sz="0" w:space="0" w:color="auto"/>
        <w:bottom w:val="none" w:sz="0" w:space="0" w:color="auto"/>
        <w:right w:val="none" w:sz="0" w:space="0" w:color="auto"/>
      </w:divBdr>
    </w:div>
    <w:div w:id="432895747">
      <w:bodyDiv w:val="1"/>
      <w:marLeft w:val="0"/>
      <w:marRight w:val="0"/>
      <w:marTop w:val="0"/>
      <w:marBottom w:val="0"/>
      <w:divBdr>
        <w:top w:val="none" w:sz="0" w:space="0" w:color="auto"/>
        <w:left w:val="none" w:sz="0" w:space="0" w:color="auto"/>
        <w:bottom w:val="none" w:sz="0" w:space="0" w:color="auto"/>
        <w:right w:val="none" w:sz="0" w:space="0" w:color="auto"/>
      </w:divBdr>
    </w:div>
    <w:div w:id="452292399">
      <w:bodyDiv w:val="1"/>
      <w:marLeft w:val="0"/>
      <w:marRight w:val="0"/>
      <w:marTop w:val="0"/>
      <w:marBottom w:val="0"/>
      <w:divBdr>
        <w:top w:val="none" w:sz="0" w:space="0" w:color="auto"/>
        <w:left w:val="none" w:sz="0" w:space="0" w:color="auto"/>
        <w:bottom w:val="none" w:sz="0" w:space="0" w:color="auto"/>
        <w:right w:val="none" w:sz="0" w:space="0" w:color="auto"/>
      </w:divBdr>
    </w:div>
    <w:div w:id="462041502">
      <w:bodyDiv w:val="1"/>
      <w:marLeft w:val="0"/>
      <w:marRight w:val="0"/>
      <w:marTop w:val="0"/>
      <w:marBottom w:val="0"/>
      <w:divBdr>
        <w:top w:val="none" w:sz="0" w:space="0" w:color="auto"/>
        <w:left w:val="none" w:sz="0" w:space="0" w:color="auto"/>
        <w:bottom w:val="none" w:sz="0" w:space="0" w:color="auto"/>
        <w:right w:val="none" w:sz="0" w:space="0" w:color="auto"/>
      </w:divBdr>
    </w:div>
    <w:div w:id="481581763">
      <w:bodyDiv w:val="1"/>
      <w:marLeft w:val="0"/>
      <w:marRight w:val="0"/>
      <w:marTop w:val="0"/>
      <w:marBottom w:val="0"/>
      <w:divBdr>
        <w:top w:val="none" w:sz="0" w:space="0" w:color="auto"/>
        <w:left w:val="none" w:sz="0" w:space="0" w:color="auto"/>
        <w:bottom w:val="none" w:sz="0" w:space="0" w:color="auto"/>
        <w:right w:val="none" w:sz="0" w:space="0" w:color="auto"/>
      </w:divBdr>
    </w:div>
    <w:div w:id="486555830">
      <w:bodyDiv w:val="1"/>
      <w:marLeft w:val="0"/>
      <w:marRight w:val="0"/>
      <w:marTop w:val="0"/>
      <w:marBottom w:val="0"/>
      <w:divBdr>
        <w:top w:val="none" w:sz="0" w:space="0" w:color="auto"/>
        <w:left w:val="none" w:sz="0" w:space="0" w:color="auto"/>
        <w:bottom w:val="none" w:sz="0" w:space="0" w:color="auto"/>
        <w:right w:val="none" w:sz="0" w:space="0" w:color="auto"/>
      </w:divBdr>
    </w:div>
    <w:div w:id="491532616">
      <w:bodyDiv w:val="1"/>
      <w:marLeft w:val="0"/>
      <w:marRight w:val="0"/>
      <w:marTop w:val="0"/>
      <w:marBottom w:val="0"/>
      <w:divBdr>
        <w:top w:val="none" w:sz="0" w:space="0" w:color="auto"/>
        <w:left w:val="none" w:sz="0" w:space="0" w:color="auto"/>
        <w:bottom w:val="none" w:sz="0" w:space="0" w:color="auto"/>
        <w:right w:val="none" w:sz="0" w:space="0" w:color="auto"/>
      </w:divBdr>
    </w:div>
    <w:div w:id="502746670">
      <w:bodyDiv w:val="1"/>
      <w:marLeft w:val="0"/>
      <w:marRight w:val="0"/>
      <w:marTop w:val="0"/>
      <w:marBottom w:val="0"/>
      <w:divBdr>
        <w:top w:val="none" w:sz="0" w:space="0" w:color="auto"/>
        <w:left w:val="none" w:sz="0" w:space="0" w:color="auto"/>
        <w:bottom w:val="none" w:sz="0" w:space="0" w:color="auto"/>
        <w:right w:val="none" w:sz="0" w:space="0" w:color="auto"/>
      </w:divBdr>
      <w:divsChild>
        <w:div w:id="41056108">
          <w:marLeft w:val="0"/>
          <w:marRight w:val="0"/>
          <w:marTop w:val="0"/>
          <w:marBottom w:val="0"/>
          <w:divBdr>
            <w:top w:val="none" w:sz="0" w:space="0" w:color="auto"/>
            <w:left w:val="none" w:sz="0" w:space="0" w:color="auto"/>
            <w:bottom w:val="none" w:sz="0" w:space="0" w:color="auto"/>
            <w:right w:val="none" w:sz="0" w:space="0" w:color="auto"/>
          </w:divBdr>
        </w:div>
        <w:div w:id="741022912">
          <w:marLeft w:val="0"/>
          <w:marRight w:val="0"/>
          <w:marTop w:val="0"/>
          <w:marBottom w:val="0"/>
          <w:divBdr>
            <w:top w:val="none" w:sz="0" w:space="0" w:color="auto"/>
            <w:left w:val="none" w:sz="0" w:space="0" w:color="auto"/>
            <w:bottom w:val="none" w:sz="0" w:space="0" w:color="auto"/>
            <w:right w:val="none" w:sz="0" w:space="0" w:color="auto"/>
          </w:divBdr>
        </w:div>
      </w:divsChild>
    </w:div>
    <w:div w:id="517472684">
      <w:bodyDiv w:val="1"/>
      <w:marLeft w:val="0"/>
      <w:marRight w:val="0"/>
      <w:marTop w:val="0"/>
      <w:marBottom w:val="0"/>
      <w:divBdr>
        <w:top w:val="none" w:sz="0" w:space="0" w:color="auto"/>
        <w:left w:val="none" w:sz="0" w:space="0" w:color="auto"/>
        <w:bottom w:val="none" w:sz="0" w:space="0" w:color="auto"/>
        <w:right w:val="none" w:sz="0" w:space="0" w:color="auto"/>
      </w:divBdr>
    </w:div>
    <w:div w:id="539048944">
      <w:bodyDiv w:val="1"/>
      <w:marLeft w:val="0"/>
      <w:marRight w:val="0"/>
      <w:marTop w:val="0"/>
      <w:marBottom w:val="0"/>
      <w:divBdr>
        <w:top w:val="none" w:sz="0" w:space="0" w:color="auto"/>
        <w:left w:val="none" w:sz="0" w:space="0" w:color="auto"/>
        <w:bottom w:val="none" w:sz="0" w:space="0" w:color="auto"/>
        <w:right w:val="none" w:sz="0" w:space="0" w:color="auto"/>
      </w:divBdr>
      <w:divsChild>
        <w:div w:id="1470632502">
          <w:marLeft w:val="0"/>
          <w:marRight w:val="0"/>
          <w:marTop w:val="0"/>
          <w:marBottom w:val="0"/>
          <w:divBdr>
            <w:top w:val="none" w:sz="0" w:space="0" w:color="auto"/>
            <w:left w:val="none" w:sz="0" w:space="0" w:color="auto"/>
            <w:bottom w:val="none" w:sz="0" w:space="0" w:color="auto"/>
            <w:right w:val="none" w:sz="0" w:space="0" w:color="auto"/>
          </w:divBdr>
          <w:divsChild>
            <w:div w:id="1944803463">
              <w:marLeft w:val="0"/>
              <w:marRight w:val="0"/>
              <w:marTop w:val="0"/>
              <w:marBottom w:val="0"/>
              <w:divBdr>
                <w:top w:val="none" w:sz="0" w:space="0" w:color="auto"/>
                <w:left w:val="none" w:sz="0" w:space="0" w:color="auto"/>
                <w:bottom w:val="none" w:sz="0" w:space="0" w:color="auto"/>
                <w:right w:val="none" w:sz="0" w:space="0" w:color="auto"/>
              </w:divBdr>
              <w:divsChild>
                <w:div w:id="406028280">
                  <w:marLeft w:val="0"/>
                  <w:marRight w:val="0"/>
                  <w:marTop w:val="0"/>
                  <w:marBottom w:val="0"/>
                  <w:divBdr>
                    <w:top w:val="none" w:sz="0" w:space="0" w:color="auto"/>
                    <w:left w:val="none" w:sz="0" w:space="0" w:color="auto"/>
                    <w:bottom w:val="none" w:sz="0" w:space="0" w:color="auto"/>
                    <w:right w:val="none" w:sz="0" w:space="0" w:color="auto"/>
                  </w:divBdr>
                  <w:divsChild>
                    <w:div w:id="1062873552">
                      <w:marLeft w:val="0"/>
                      <w:marRight w:val="0"/>
                      <w:marTop w:val="0"/>
                      <w:marBottom w:val="0"/>
                      <w:divBdr>
                        <w:top w:val="none" w:sz="0" w:space="0" w:color="auto"/>
                        <w:left w:val="none" w:sz="0" w:space="0" w:color="auto"/>
                        <w:bottom w:val="none" w:sz="0" w:space="0" w:color="auto"/>
                        <w:right w:val="none" w:sz="0" w:space="0" w:color="auto"/>
                      </w:divBdr>
                      <w:divsChild>
                        <w:div w:id="738333185">
                          <w:marLeft w:val="0"/>
                          <w:marRight w:val="0"/>
                          <w:marTop w:val="0"/>
                          <w:marBottom w:val="0"/>
                          <w:divBdr>
                            <w:top w:val="none" w:sz="0" w:space="0" w:color="auto"/>
                            <w:left w:val="none" w:sz="0" w:space="0" w:color="auto"/>
                            <w:bottom w:val="none" w:sz="0" w:space="0" w:color="auto"/>
                            <w:right w:val="none" w:sz="0" w:space="0" w:color="auto"/>
                          </w:divBdr>
                          <w:divsChild>
                            <w:div w:id="485366206">
                              <w:marLeft w:val="0"/>
                              <w:marRight w:val="0"/>
                              <w:marTop w:val="0"/>
                              <w:marBottom w:val="0"/>
                              <w:divBdr>
                                <w:top w:val="none" w:sz="0" w:space="0" w:color="auto"/>
                                <w:left w:val="none" w:sz="0" w:space="0" w:color="auto"/>
                                <w:bottom w:val="none" w:sz="0" w:space="0" w:color="auto"/>
                                <w:right w:val="none" w:sz="0" w:space="0" w:color="auto"/>
                              </w:divBdr>
                              <w:divsChild>
                                <w:div w:id="173974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3204132">
      <w:bodyDiv w:val="1"/>
      <w:marLeft w:val="0"/>
      <w:marRight w:val="0"/>
      <w:marTop w:val="0"/>
      <w:marBottom w:val="0"/>
      <w:divBdr>
        <w:top w:val="none" w:sz="0" w:space="0" w:color="auto"/>
        <w:left w:val="none" w:sz="0" w:space="0" w:color="auto"/>
        <w:bottom w:val="none" w:sz="0" w:space="0" w:color="auto"/>
        <w:right w:val="none" w:sz="0" w:space="0" w:color="auto"/>
      </w:divBdr>
    </w:div>
    <w:div w:id="565530431">
      <w:bodyDiv w:val="1"/>
      <w:marLeft w:val="0"/>
      <w:marRight w:val="0"/>
      <w:marTop w:val="0"/>
      <w:marBottom w:val="0"/>
      <w:divBdr>
        <w:top w:val="none" w:sz="0" w:space="0" w:color="auto"/>
        <w:left w:val="none" w:sz="0" w:space="0" w:color="auto"/>
        <w:bottom w:val="none" w:sz="0" w:space="0" w:color="auto"/>
        <w:right w:val="none" w:sz="0" w:space="0" w:color="auto"/>
      </w:divBdr>
    </w:div>
    <w:div w:id="578830426">
      <w:bodyDiv w:val="1"/>
      <w:marLeft w:val="0"/>
      <w:marRight w:val="0"/>
      <w:marTop w:val="0"/>
      <w:marBottom w:val="0"/>
      <w:divBdr>
        <w:top w:val="none" w:sz="0" w:space="0" w:color="auto"/>
        <w:left w:val="none" w:sz="0" w:space="0" w:color="auto"/>
        <w:bottom w:val="none" w:sz="0" w:space="0" w:color="auto"/>
        <w:right w:val="none" w:sz="0" w:space="0" w:color="auto"/>
      </w:divBdr>
    </w:div>
    <w:div w:id="594631861">
      <w:bodyDiv w:val="1"/>
      <w:marLeft w:val="0"/>
      <w:marRight w:val="0"/>
      <w:marTop w:val="0"/>
      <w:marBottom w:val="0"/>
      <w:divBdr>
        <w:top w:val="none" w:sz="0" w:space="0" w:color="auto"/>
        <w:left w:val="none" w:sz="0" w:space="0" w:color="auto"/>
        <w:bottom w:val="none" w:sz="0" w:space="0" w:color="auto"/>
        <w:right w:val="none" w:sz="0" w:space="0" w:color="auto"/>
      </w:divBdr>
    </w:div>
    <w:div w:id="596181033">
      <w:bodyDiv w:val="1"/>
      <w:marLeft w:val="0"/>
      <w:marRight w:val="0"/>
      <w:marTop w:val="0"/>
      <w:marBottom w:val="0"/>
      <w:divBdr>
        <w:top w:val="none" w:sz="0" w:space="0" w:color="auto"/>
        <w:left w:val="none" w:sz="0" w:space="0" w:color="auto"/>
        <w:bottom w:val="none" w:sz="0" w:space="0" w:color="auto"/>
        <w:right w:val="none" w:sz="0" w:space="0" w:color="auto"/>
      </w:divBdr>
    </w:div>
    <w:div w:id="612904761">
      <w:bodyDiv w:val="1"/>
      <w:marLeft w:val="0"/>
      <w:marRight w:val="0"/>
      <w:marTop w:val="0"/>
      <w:marBottom w:val="0"/>
      <w:divBdr>
        <w:top w:val="none" w:sz="0" w:space="0" w:color="auto"/>
        <w:left w:val="none" w:sz="0" w:space="0" w:color="auto"/>
        <w:bottom w:val="none" w:sz="0" w:space="0" w:color="auto"/>
        <w:right w:val="none" w:sz="0" w:space="0" w:color="auto"/>
      </w:divBdr>
    </w:div>
    <w:div w:id="621880841">
      <w:bodyDiv w:val="1"/>
      <w:marLeft w:val="0"/>
      <w:marRight w:val="0"/>
      <w:marTop w:val="0"/>
      <w:marBottom w:val="0"/>
      <w:divBdr>
        <w:top w:val="none" w:sz="0" w:space="0" w:color="auto"/>
        <w:left w:val="none" w:sz="0" w:space="0" w:color="auto"/>
        <w:bottom w:val="none" w:sz="0" w:space="0" w:color="auto"/>
        <w:right w:val="none" w:sz="0" w:space="0" w:color="auto"/>
      </w:divBdr>
    </w:div>
    <w:div w:id="634455751">
      <w:bodyDiv w:val="1"/>
      <w:marLeft w:val="0"/>
      <w:marRight w:val="0"/>
      <w:marTop w:val="0"/>
      <w:marBottom w:val="0"/>
      <w:divBdr>
        <w:top w:val="none" w:sz="0" w:space="0" w:color="auto"/>
        <w:left w:val="none" w:sz="0" w:space="0" w:color="auto"/>
        <w:bottom w:val="none" w:sz="0" w:space="0" w:color="auto"/>
        <w:right w:val="none" w:sz="0" w:space="0" w:color="auto"/>
      </w:divBdr>
    </w:div>
    <w:div w:id="663705042">
      <w:bodyDiv w:val="1"/>
      <w:marLeft w:val="0"/>
      <w:marRight w:val="0"/>
      <w:marTop w:val="0"/>
      <w:marBottom w:val="0"/>
      <w:divBdr>
        <w:top w:val="none" w:sz="0" w:space="0" w:color="auto"/>
        <w:left w:val="none" w:sz="0" w:space="0" w:color="auto"/>
        <w:bottom w:val="none" w:sz="0" w:space="0" w:color="auto"/>
        <w:right w:val="none" w:sz="0" w:space="0" w:color="auto"/>
      </w:divBdr>
      <w:divsChild>
        <w:div w:id="51513786">
          <w:marLeft w:val="0"/>
          <w:marRight w:val="0"/>
          <w:marTop w:val="0"/>
          <w:marBottom w:val="0"/>
          <w:divBdr>
            <w:top w:val="none" w:sz="0" w:space="0" w:color="auto"/>
            <w:left w:val="none" w:sz="0" w:space="0" w:color="auto"/>
            <w:bottom w:val="none" w:sz="0" w:space="0" w:color="auto"/>
            <w:right w:val="none" w:sz="0" w:space="0" w:color="auto"/>
          </w:divBdr>
        </w:div>
        <w:div w:id="550461528">
          <w:marLeft w:val="0"/>
          <w:marRight w:val="0"/>
          <w:marTop w:val="0"/>
          <w:marBottom w:val="0"/>
          <w:divBdr>
            <w:top w:val="none" w:sz="0" w:space="0" w:color="auto"/>
            <w:left w:val="none" w:sz="0" w:space="0" w:color="auto"/>
            <w:bottom w:val="none" w:sz="0" w:space="0" w:color="auto"/>
            <w:right w:val="none" w:sz="0" w:space="0" w:color="auto"/>
          </w:divBdr>
        </w:div>
      </w:divsChild>
    </w:div>
    <w:div w:id="668214791">
      <w:bodyDiv w:val="1"/>
      <w:marLeft w:val="0"/>
      <w:marRight w:val="0"/>
      <w:marTop w:val="0"/>
      <w:marBottom w:val="0"/>
      <w:divBdr>
        <w:top w:val="none" w:sz="0" w:space="0" w:color="auto"/>
        <w:left w:val="none" w:sz="0" w:space="0" w:color="auto"/>
        <w:bottom w:val="none" w:sz="0" w:space="0" w:color="auto"/>
        <w:right w:val="none" w:sz="0" w:space="0" w:color="auto"/>
      </w:divBdr>
    </w:div>
    <w:div w:id="682785366">
      <w:bodyDiv w:val="1"/>
      <w:marLeft w:val="0"/>
      <w:marRight w:val="0"/>
      <w:marTop w:val="0"/>
      <w:marBottom w:val="0"/>
      <w:divBdr>
        <w:top w:val="none" w:sz="0" w:space="0" w:color="auto"/>
        <w:left w:val="none" w:sz="0" w:space="0" w:color="auto"/>
        <w:bottom w:val="none" w:sz="0" w:space="0" w:color="auto"/>
        <w:right w:val="none" w:sz="0" w:space="0" w:color="auto"/>
      </w:divBdr>
    </w:div>
    <w:div w:id="692001151">
      <w:bodyDiv w:val="1"/>
      <w:marLeft w:val="0"/>
      <w:marRight w:val="0"/>
      <w:marTop w:val="0"/>
      <w:marBottom w:val="0"/>
      <w:divBdr>
        <w:top w:val="none" w:sz="0" w:space="0" w:color="auto"/>
        <w:left w:val="none" w:sz="0" w:space="0" w:color="auto"/>
        <w:bottom w:val="none" w:sz="0" w:space="0" w:color="auto"/>
        <w:right w:val="none" w:sz="0" w:space="0" w:color="auto"/>
      </w:divBdr>
    </w:div>
    <w:div w:id="712509347">
      <w:bodyDiv w:val="1"/>
      <w:marLeft w:val="0"/>
      <w:marRight w:val="0"/>
      <w:marTop w:val="0"/>
      <w:marBottom w:val="0"/>
      <w:divBdr>
        <w:top w:val="none" w:sz="0" w:space="0" w:color="auto"/>
        <w:left w:val="none" w:sz="0" w:space="0" w:color="auto"/>
        <w:bottom w:val="none" w:sz="0" w:space="0" w:color="auto"/>
        <w:right w:val="none" w:sz="0" w:space="0" w:color="auto"/>
      </w:divBdr>
    </w:div>
    <w:div w:id="724370791">
      <w:bodyDiv w:val="1"/>
      <w:marLeft w:val="0"/>
      <w:marRight w:val="0"/>
      <w:marTop w:val="0"/>
      <w:marBottom w:val="0"/>
      <w:divBdr>
        <w:top w:val="none" w:sz="0" w:space="0" w:color="auto"/>
        <w:left w:val="none" w:sz="0" w:space="0" w:color="auto"/>
        <w:bottom w:val="none" w:sz="0" w:space="0" w:color="auto"/>
        <w:right w:val="none" w:sz="0" w:space="0" w:color="auto"/>
      </w:divBdr>
      <w:divsChild>
        <w:div w:id="72892628">
          <w:marLeft w:val="0"/>
          <w:marRight w:val="0"/>
          <w:marTop w:val="0"/>
          <w:marBottom w:val="0"/>
          <w:divBdr>
            <w:top w:val="none" w:sz="0" w:space="0" w:color="auto"/>
            <w:left w:val="none" w:sz="0" w:space="0" w:color="auto"/>
            <w:bottom w:val="none" w:sz="0" w:space="0" w:color="auto"/>
            <w:right w:val="none" w:sz="0" w:space="0" w:color="auto"/>
          </w:divBdr>
          <w:divsChild>
            <w:div w:id="238758863">
              <w:marLeft w:val="0"/>
              <w:marRight w:val="0"/>
              <w:marTop w:val="0"/>
              <w:marBottom w:val="0"/>
              <w:divBdr>
                <w:top w:val="none" w:sz="0" w:space="0" w:color="auto"/>
                <w:left w:val="none" w:sz="0" w:space="0" w:color="auto"/>
                <w:bottom w:val="none" w:sz="0" w:space="0" w:color="auto"/>
                <w:right w:val="none" w:sz="0" w:space="0" w:color="auto"/>
              </w:divBdr>
            </w:div>
            <w:div w:id="284236637">
              <w:marLeft w:val="0"/>
              <w:marRight w:val="0"/>
              <w:marTop w:val="0"/>
              <w:marBottom w:val="0"/>
              <w:divBdr>
                <w:top w:val="none" w:sz="0" w:space="0" w:color="auto"/>
                <w:left w:val="none" w:sz="0" w:space="0" w:color="auto"/>
                <w:bottom w:val="none" w:sz="0" w:space="0" w:color="auto"/>
                <w:right w:val="none" w:sz="0" w:space="0" w:color="auto"/>
              </w:divBdr>
            </w:div>
            <w:div w:id="339504698">
              <w:marLeft w:val="0"/>
              <w:marRight w:val="0"/>
              <w:marTop w:val="0"/>
              <w:marBottom w:val="0"/>
              <w:divBdr>
                <w:top w:val="none" w:sz="0" w:space="0" w:color="auto"/>
                <w:left w:val="none" w:sz="0" w:space="0" w:color="auto"/>
                <w:bottom w:val="none" w:sz="0" w:space="0" w:color="auto"/>
                <w:right w:val="none" w:sz="0" w:space="0" w:color="auto"/>
              </w:divBdr>
            </w:div>
            <w:div w:id="416027071">
              <w:marLeft w:val="0"/>
              <w:marRight w:val="0"/>
              <w:marTop w:val="0"/>
              <w:marBottom w:val="0"/>
              <w:divBdr>
                <w:top w:val="none" w:sz="0" w:space="0" w:color="auto"/>
                <w:left w:val="none" w:sz="0" w:space="0" w:color="auto"/>
                <w:bottom w:val="none" w:sz="0" w:space="0" w:color="auto"/>
                <w:right w:val="none" w:sz="0" w:space="0" w:color="auto"/>
              </w:divBdr>
            </w:div>
            <w:div w:id="417750883">
              <w:marLeft w:val="0"/>
              <w:marRight w:val="0"/>
              <w:marTop w:val="0"/>
              <w:marBottom w:val="0"/>
              <w:divBdr>
                <w:top w:val="none" w:sz="0" w:space="0" w:color="auto"/>
                <w:left w:val="none" w:sz="0" w:space="0" w:color="auto"/>
                <w:bottom w:val="none" w:sz="0" w:space="0" w:color="auto"/>
                <w:right w:val="none" w:sz="0" w:space="0" w:color="auto"/>
              </w:divBdr>
            </w:div>
            <w:div w:id="484586518">
              <w:marLeft w:val="0"/>
              <w:marRight w:val="0"/>
              <w:marTop w:val="0"/>
              <w:marBottom w:val="0"/>
              <w:divBdr>
                <w:top w:val="none" w:sz="0" w:space="0" w:color="auto"/>
                <w:left w:val="none" w:sz="0" w:space="0" w:color="auto"/>
                <w:bottom w:val="none" w:sz="0" w:space="0" w:color="auto"/>
                <w:right w:val="none" w:sz="0" w:space="0" w:color="auto"/>
              </w:divBdr>
            </w:div>
            <w:div w:id="573471898">
              <w:marLeft w:val="0"/>
              <w:marRight w:val="0"/>
              <w:marTop w:val="0"/>
              <w:marBottom w:val="0"/>
              <w:divBdr>
                <w:top w:val="none" w:sz="0" w:space="0" w:color="auto"/>
                <w:left w:val="none" w:sz="0" w:space="0" w:color="auto"/>
                <w:bottom w:val="none" w:sz="0" w:space="0" w:color="auto"/>
                <w:right w:val="none" w:sz="0" w:space="0" w:color="auto"/>
              </w:divBdr>
            </w:div>
            <w:div w:id="632293722">
              <w:marLeft w:val="0"/>
              <w:marRight w:val="0"/>
              <w:marTop w:val="0"/>
              <w:marBottom w:val="0"/>
              <w:divBdr>
                <w:top w:val="none" w:sz="0" w:space="0" w:color="auto"/>
                <w:left w:val="none" w:sz="0" w:space="0" w:color="auto"/>
                <w:bottom w:val="none" w:sz="0" w:space="0" w:color="auto"/>
                <w:right w:val="none" w:sz="0" w:space="0" w:color="auto"/>
              </w:divBdr>
            </w:div>
            <w:div w:id="638650502">
              <w:marLeft w:val="0"/>
              <w:marRight w:val="0"/>
              <w:marTop w:val="0"/>
              <w:marBottom w:val="0"/>
              <w:divBdr>
                <w:top w:val="none" w:sz="0" w:space="0" w:color="auto"/>
                <w:left w:val="none" w:sz="0" w:space="0" w:color="auto"/>
                <w:bottom w:val="none" w:sz="0" w:space="0" w:color="auto"/>
                <w:right w:val="none" w:sz="0" w:space="0" w:color="auto"/>
              </w:divBdr>
            </w:div>
            <w:div w:id="649217221">
              <w:marLeft w:val="0"/>
              <w:marRight w:val="0"/>
              <w:marTop w:val="0"/>
              <w:marBottom w:val="0"/>
              <w:divBdr>
                <w:top w:val="none" w:sz="0" w:space="0" w:color="auto"/>
                <w:left w:val="none" w:sz="0" w:space="0" w:color="auto"/>
                <w:bottom w:val="none" w:sz="0" w:space="0" w:color="auto"/>
                <w:right w:val="none" w:sz="0" w:space="0" w:color="auto"/>
              </w:divBdr>
            </w:div>
            <w:div w:id="927616646">
              <w:marLeft w:val="0"/>
              <w:marRight w:val="0"/>
              <w:marTop w:val="0"/>
              <w:marBottom w:val="0"/>
              <w:divBdr>
                <w:top w:val="none" w:sz="0" w:space="0" w:color="auto"/>
                <w:left w:val="none" w:sz="0" w:space="0" w:color="auto"/>
                <w:bottom w:val="none" w:sz="0" w:space="0" w:color="auto"/>
                <w:right w:val="none" w:sz="0" w:space="0" w:color="auto"/>
              </w:divBdr>
            </w:div>
            <w:div w:id="968247684">
              <w:marLeft w:val="0"/>
              <w:marRight w:val="0"/>
              <w:marTop w:val="0"/>
              <w:marBottom w:val="0"/>
              <w:divBdr>
                <w:top w:val="none" w:sz="0" w:space="0" w:color="auto"/>
                <w:left w:val="none" w:sz="0" w:space="0" w:color="auto"/>
                <w:bottom w:val="none" w:sz="0" w:space="0" w:color="auto"/>
                <w:right w:val="none" w:sz="0" w:space="0" w:color="auto"/>
              </w:divBdr>
            </w:div>
            <w:div w:id="1054279933">
              <w:marLeft w:val="0"/>
              <w:marRight w:val="0"/>
              <w:marTop w:val="0"/>
              <w:marBottom w:val="0"/>
              <w:divBdr>
                <w:top w:val="none" w:sz="0" w:space="0" w:color="auto"/>
                <w:left w:val="none" w:sz="0" w:space="0" w:color="auto"/>
                <w:bottom w:val="none" w:sz="0" w:space="0" w:color="auto"/>
                <w:right w:val="none" w:sz="0" w:space="0" w:color="auto"/>
              </w:divBdr>
            </w:div>
            <w:div w:id="1058209793">
              <w:marLeft w:val="0"/>
              <w:marRight w:val="0"/>
              <w:marTop w:val="0"/>
              <w:marBottom w:val="0"/>
              <w:divBdr>
                <w:top w:val="none" w:sz="0" w:space="0" w:color="auto"/>
                <w:left w:val="none" w:sz="0" w:space="0" w:color="auto"/>
                <w:bottom w:val="none" w:sz="0" w:space="0" w:color="auto"/>
                <w:right w:val="none" w:sz="0" w:space="0" w:color="auto"/>
              </w:divBdr>
            </w:div>
            <w:div w:id="1209880275">
              <w:marLeft w:val="0"/>
              <w:marRight w:val="0"/>
              <w:marTop w:val="0"/>
              <w:marBottom w:val="0"/>
              <w:divBdr>
                <w:top w:val="none" w:sz="0" w:space="0" w:color="auto"/>
                <w:left w:val="none" w:sz="0" w:space="0" w:color="auto"/>
                <w:bottom w:val="none" w:sz="0" w:space="0" w:color="auto"/>
                <w:right w:val="none" w:sz="0" w:space="0" w:color="auto"/>
              </w:divBdr>
            </w:div>
            <w:div w:id="1252007571">
              <w:marLeft w:val="0"/>
              <w:marRight w:val="0"/>
              <w:marTop w:val="0"/>
              <w:marBottom w:val="0"/>
              <w:divBdr>
                <w:top w:val="none" w:sz="0" w:space="0" w:color="auto"/>
                <w:left w:val="none" w:sz="0" w:space="0" w:color="auto"/>
                <w:bottom w:val="none" w:sz="0" w:space="0" w:color="auto"/>
                <w:right w:val="none" w:sz="0" w:space="0" w:color="auto"/>
              </w:divBdr>
            </w:div>
            <w:div w:id="1261178705">
              <w:marLeft w:val="0"/>
              <w:marRight w:val="0"/>
              <w:marTop w:val="0"/>
              <w:marBottom w:val="0"/>
              <w:divBdr>
                <w:top w:val="none" w:sz="0" w:space="0" w:color="auto"/>
                <w:left w:val="none" w:sz="0" w:space="0" w:color="auto"/>
                <w:bottom w:val="none" w:sz="0" w:space="0" w:color="auto"/>
                <w:right w:val="none" w:sz="0" w:space="0" w:color="auto"/>
              </w:divBdr>
            </w:div>
            <w:div w:id="1378361564">
              <w:marLeft w:val="0"/>
              <w:marRight w:val="0"/>
              <w:marTop w:val="0"/>
              <w:marBottom w:val="0"/>
              <w:divBdr>
                <w:top w:val="none" w:sz="0" w:space="0" w:color="auto"/>
                <w:left w:val="none" w:sz="0" w:space="0" w:color="auto"/>
                <w:bottom w:val="none" w:sz="0" w:space="0" w:color="auto"/>
                <w:right w:val="none" w:sz="0" w:space="0" w:color="auto"/>
              </w:divBdr>
            </w:div>
            <w:div w:id="1386875219">
              <w:marLeft w:val="0"/>
              <w:marRight w:val="0"/>
              <w:marTop w:val="0"/>
              <w:marBottom w:val="0"/>
              <w:divBdr>
                <w:top w:val="none" w:sz="0" w:space="0" w:color="auto"/>
                <w:left w:val="none" w:sz="0" w:space="0" w:color="auto"/>
                <w:bottom w:val="none" w:sz="0" w:space="0" w:color="auto"/>
                <w:right w:val="none" w:sz="0" w:space="0" w:color="auto"/>
              </w:divBdr>
            </w:div>
            <w:div w:id="1411076606">
              <w:marLeft w:val="0"/>
              <w:marRight w:val="0"/>
              <w:marTop w:val="0"/>
              <w:marBottom w:val="0"/>
              <w:divBdr>
                <w:top w:val="none" w:sz="0" w:space="0" w:color="auto"/>
                <w:left w:val="none" w:sz="0" w:space="0" w:color="auto"/>
                <w:bottom w:val="none" w:sz="0" w:space="0" w:color="auto"/>
                <w:right w:val="none" w:sz="0" w:space="0" w:color="auto"/>
              </w:divBdr>
            </w:div>
            <w:div w:id="1457026294">
              <w:marLeft w:val="0"/>
              <w:marRight w:val="0"/>
              <w:marTop w:val="0"/>
              <w:marBottom w:val="0"/>
              <w:divBdr>
                <w:top w:val="none" w:sz="0" w:space="0" w:color="auto"/>
                <w:left w:val="none" w:sz="0" w:space="0" w:color="auto"/>
                <w:bottom w:val="none" w:sz="0" w:space="0" w:color="auto"/>
                <w:right w:val="none" w:sz="0" w:space="0" w:color="auto"/>
              </w:divBdr>
            </w:div>
            <w:div w:id="1458836392">
              <w:marLeft w:val="0"/>
              <w:marRight w:val="0"/>
              <w:marTop w:val="0"/>
              <w:marBottom w:val="0"/>
              <w:divBdr>
                <w:top w:val="none" w:sz="0" w:space="0" w:color="auto"/>
                <w:left w:val="none" w:sz="0" w:space="0" w:color="auto"/>
                <w:bottom w:val="none" w:sz="0" w:space="0" w:color="auto"/>
                <w:right w:val="none" w:sz="0" w:space="0" w:color="auto"/>
              </w:divBdr>
            </w:div>
            <w:div w:id="1478719651">
              <w:marLeft w:val="0"/>
              <w:marRight w:val="0"/>
              <w:marTop w:val="0"/>
              <w:marBottom w:val="0"/>
              <w:divBdr>
                <w:top w:val="none" w:sz="0" w:space="0" w:color="auto"/>
                <w:left w:val="none" w:sz="0" w:space="0" w:color="auto"/>
                <w:bottom w:val="none" w:sz="0" w:space="0" w:color="auto"/>
                <w:right w:val="none" w:sz="0" w:space="0" w:color="auto"/>
              </w:divBdr>
            </w:div>
            <w:div w:id="1548571089">
              <w:marLeft w:val="0"/>
              <w:marRight w:val="0"/>
              <w:marTop w:val="0"/>
              <w:marBottom w:val="0"/>
              <w:divBdr>
                <w:top w:val="none" w:sz="0" w:space="0" w:color="auto"/>
                <w:left w:val="none" w:sz="0" w:space="0" w:color="auto"/>
                <w:bottom w:val="none" w:sz="0" w:space="0" w:color="auto"/>
                <w:right w:val="none" w:sz="0" w:space="0" w:color="auto"/>
              </w:divBdr>
            </w:div>
            <w:div w:id="1672030196">
              <w:marLeft w:val="0"/>
              <w:marRight w:val="0"/>
              <w:marTop w:val="0"/>
              <w:marBottom w:val="0"/>
              <w:divBdr>
                <w:top w:val="none" w:sz="0" w:space="0" w:color="auto"/>
                <w:left w:val="none" w:sz="0" w:space="0" w:color="auto"/>
                <w:bottom w:val="none" w:sz="0" w:space="0" w:color="auto"/>
                <w:right w:val="none" w:sz="0" w:space="0" w:color="auto"/>
              </w:divBdr>
            </w:div>
            <w:div w:id="1773281195">
              <w:marLeft w:val="0"/>
              <w:marRight w:val="0"/>
              <w:marTop w:val="0"/>
              <w:marBottom w:val="0"/>
              <w:divBdr>
                <w:top w:val="none" w:sz="0" w:space="0" w:color="auto"/>
                <w:left w:val="none" w:sz="0" w:space="0" w:color="auto"/>
                <w:bottom w:val="none" w:sz="0" w:space="0" w:color="auto"/>
                <w:right w:val="none" w:sz="0" w:space="0" w:color="auto"/>
              </w:divBdr>
            </w:div>
            <w:div w:id="1852599776">
              <w:marLeft w:val="0"/>
              <w:marRight w:val="0"/>
              <w:marTop w:val="0"/>
              <w:marBottom w:val="0"/>
              <w:divBdr>
                <w:top w:val="none" w:sz="0" w:space="0" w:color="auto"/>
                <w:left w:val="none" w:sz="0" w:space="0" w:color="auto"/>
                <w:bottom w:val="none" w:sz="0" w:space="0" w:color="auto"/>
                <w:right w:val="none" w:sz="0" w:space="0" w:color="auto"/>
              </w:divBdr>
            </w:div>
            <w:div w:id="1855919978">
              <w:marLeft w:val="0"/>
              <w:marRight w:val="0"/>
              <w:marTop w:val="0"/>
              <w:marBottom w:val="0"/>
              <w:divBdr>
                <w:top w:val="none" w:sz="0" w:space="0" w:color="auto"/>
                <w:left w:val="none" w:sz="0" w:space="0" w:color="auto"/>
                <w:bottom w:val="none" w:sz="0" w:space="0" w:color="auto"/>
                <w:right w:val="none" w:sz="0" w:space="0" w:color="auto"/>
              </w:divBdr>
            </w:div>
            <w:div w:id="1926306298">
              <w:marLeft w:val="0"/>
              <w:marRight w:val="0"/>
              <w:marTop w:val="0"/>
              <w:marBottom w:val="0"/>
              <w:divBdr>
                <w:top w:val="none" w:sz="0" w:space="0" w:color="auto"/>
                <w:left w:val="none" w:sz="0" w:space="0" w:color="auto"/>
                <w:bottom w:val="none" w:sz="0" w:space="0" w:color="auto"/>
                <w:right w:val="none" w:sz="0" w:space="0" w:color="auto"/>
              </w:divBdr>
            </w:div>
            <w:div w:id="2094928690">
              <w:marLeft w:val="0"/>
              <w:marRight w:val="0"/>
              <w:marTop w:val="0"/>
              <w:marBottom w:val="0"/>
              <w:divBdr>
                <w:top w:val="none" w:sz="0" w:space="0" w:color="auto"/>
                <w:left w:val="none" w:sz="0" w:space="0" w:color="auto"/>
                <w:bottom w:val="none" w:sz="0" w:space="0" w:color="auto"/>
                <w:right w:val="none" w:sz="0" w:space="0" w:color="auto"/>
              </w:divBdr>
            </w:div>
            <w:div w:id="2111312027">
              <w:marLeft w:val="0"/>
              <w:marRight w:val="0"/>
              <w:marTop w:val="0"/>
              <w:marBottom w:val="0"/>
              <w:divBdr>
                <w:top w:val="none" w:sz="0" w:space="0" w:color="auto"/>
                <w:left w:val="none" w:sz="0" w:space="0" w:color="auto"/>
                <w:bottom w:val="none" w:sz="0" w:space="0" w:color="auto"/>
                <w:right w:val="none" w:sz="0" w:space="0" w:color="auto"/>
              </w:divBdr>
            </w:div>
          </w:divsChild>
        </w:div>
        <w:div w:id="931351707">
          <w:marLeft w:val="0"/>
          <w:marRight w:val="0"/>
          <w:marTop w:val="0"/>
          <w:marBottom w:val="0"/>
          <w:divBdr>
            <w:top w:val="none" w:sz="0" w:space="0" w:color="auto"/>
            <w:left w:val="none" w:sz="0" w:space="0" w:color="auto"/>
            <w:bottom w:val="none" w:sz="0" w:space="0" w:color="auto"/>
            <w:right w:val="none" w:sz="0" w:space="0" w:color="auto"/>
          </w:divBdr>
          <w:divsChild>
            <w:div w:id="3750224">
              <w:marLeft w:val="0"/>
              <w:marRight w:val="0"/>
              <w:marTop w:val="0"/>
              <w:marBottom w:val="0"/>
              <w:divBdr>
                <w:top w:val="none" w:sz="0" w:space="0" w:color="auto"/>
                <w:left w:val="none" w:sz="0" w:space="0" w:color="auto"/>
                <w:bottom w:val="none" w:sz="0" w:space="0" w:color="auto"/>
                <w:right w:val="none" w:sz="0" w:space="0" w:color="auto"/>
              </w:divBdr>
            </w:div>
            <w:div w:id="228469465">
              <w:marLeft w:val="0"/>
              <w:marRight w:val="0"/>
              <w:marTop w:val="0"/>
              <w:marBottom w:val="0"/>
              <w:divBdr>
                <w:top w:val="none" w:sz="0" w:space="0" w:color="auto"/>
                <w:left w:val="none" w:sz="0" w:space="0" w:color="auto"/>
                <w:bottom w:val="none" w:sz="0" w:space="0" w:color="auto"/>
                <w:right w:val="none" w:sz="0" w:space="0" w:color="auto"/>
              </w:divBdr>
            </w:div>
            <w:div w:id="378552816">
              <w:marLeft w:val="0"/>
              <w:marRight w:val="0"/>
              <w:marTop w:val="0"/>
              <w:marBottom w:val="0"/>
              <w:divBdr>
                <w:top w:val="none" w:sz="0" w:space="0" w:color="auto"/>
                <w:left w:val="none" w:sz="0" w:space="0" w:color="auto"/>
                <w:bottom w:val="none" w:sz="0" w:space="0" w:color="auto"/>
                <w:right w:val="none" w:sz="0" w:space="0" w:color="auto"/>
              </w:divBdr>
            </w:div>
            <w:div w:id="487944131">
              <w:marLeft w:val="0"/>
              <w:marRight w:val="0"/>
              <w:marTop w:val="0"/>
              <w:marBottom w:val="0"/>
              <w:divBdr>
                <w:top w:val="none" w:sz="0" w:space="0" w:color="auto"/>
                <w:left w:val="none" w:sz="0" w:space="0" w:color="auto"/>
                <w:bottom w:val="none" w:sz="0" w:space="0" w:color="auto"/>
                <w:right w:val="none" w:sz="0" w:space="0" w:color="auto"/>
              </w:divBdr>
            </w:div>
            <w:div w:id="505831466">
              <w:marLeft w:val="0"/>
              <w:marRight w:val="0"/>
              <w:marTop w:val="0"/>
              <w:marBottom w:val="0"/>
              <w:divBdr>
                <w:top w:val="none" w:sz="0" w:space="0" w:color="auto"/>
                <w:left w:val="none" w:sz="0" w:space="0" w:color="auto"/>
                <w:bottom w:val="none" w:sz="0" w:space="0" w:color="auto"/>
                <w:right w:val="none" w:sz="0" w:space="0" w:color="auto"/>
              </w:divBdr>
            </w:div>
            <w:div w:id="609356239">
              <w:marLeft w:val="0"/>
              <w:marRight w:val="0"/>
              <w:marTop w:val="0"/>
              <w:marBottom w:val="0"/>
              <w:divBdr>
                <w:top w:val="none" w:sz="0" w:space="0" w:color="auto"/>
                <w:left w:val="none" w:sz="0" w:space="0" w:color="auto"/>
                <w:bottom w:val="none" w:sz="0" w:space="0" w:color="auto"/>
                <w:right w:val="none" w:sz="0" w:space="0" w:color="auto"/>
              </w:divBdr>
            </w:div>
            <w:div w:id="639651773">
              <w:marLeft w:val="0"/>
              <w:marRight w:val="0"/>
              <w:marTop w:val="0"/>
              <w:marBottom w:val="0"/>
              <w:divBdr>
                <w:top w:val="none" w:sz="0" w:space="0" w:color="auto"/>
                <w:left w:val="none" w:sz="0" w:space="0" w:color="auto"/>
                <w:bottom w:val="none" w:sz="0" w:space="0" w:color="auto"/>
                <w:right w:val="none" w:sz="0" w:space="0" w:color="auto"/>
              </w:divBdr>
            </w:div>
            <w:div w:id="720862172">
              <w:marLeft w:val="0"/>
              <w:marRight w:val="0"/>
              <w:marTop w:val="0"/>
              <w:marBottom w:val="0"/>
              <w:divBdr>
                <w:top w:val="none" w:sz="0" w:space="0" w:color="auto"/>
                <w:left w:val="none" w:sz="0" w:space="0" w:color="auto"/>
                <w:bottom w:val="none" w:sz="0" w:space="0" w:color="auto"/>
                <w:right w:val="none" w:sz="0" w:space="0" w:color="auto"/>
              </w:divBdr>
            </w:div>
            <w:div w:id="737557040">
              <w:marLeft w:val="0"/>
              <w:marRight w:val="0"/>
              <w:marTop w:val="0"/>
              <w:marBottom w:val="0"/>
              <w:divBdr>
                <w:top w:val="none" w:sz="0" w:space="0" w:color="auto"/>
                <w:left w:val="none" w:sz="0" w:space="0" w:color="auto"/>
                <w:bottom w:val="none" w:sz="0" w:space="0" w:color="auto"/>
                <w:right w:val="none" w:sz="0" w:space="0" w:color="auto"/>
              </w:divBdr>
            </w:div>
            <w:div w:id="786117734">
              <w:marLeft w:val="0"/>
              <w:marRight w:val="0"/>
              <w:marTop w:val="0"/>
              <w:marBottom w:val="0"/>
              <w:divBdr>
                <w:top w:val="none" w:sz="0" w:space="0" w:color="auto"/>
                <w:left w:val="none" w:sz="0" w:space="0" w:color="auto"/>
                <w:bottom w:val="none" w:sz="0" w:space="0" w:color="auto"/>
                <w:right w:val="none" w:sz="0" w:space="0" w:color="auto"/>
              </w:divBdr>
            </w:div>
            <w:div w:id="829298697">
              <w:marLeft w:val="0"/>
              <w:marRight w:val="0"/>
              <w:marTop w:val="0"/>
              <w:marBottom w:val="0"/>
              <w:divBdr>
                <w:top w:val="none" w:sz="0" w:space="0" w:color="auto"/>
                <w:left w:val="none" w:sz="0" w:space="0" w:color="auto"/>
                <w:bottom w:val="none" w:sz="0" w:space="0" w:color="auto"/>
                <w:right w:val="none" w:sz="0" w:space="0" w:color="auto"/>
              </w:divBdr>
            </w:div>
            <w:div w:id="969046288">
              <w:marLeft w:val="0"/>
              <w:marRight w:val="0"/>
              <w:marTop w:val="0"/>
              <w:marBottom w:val="0"/>
              <w:divBdr>
                <w:top w:val="none" w:sz="0" w:space="0" w:color="auto"/>
                <w:left w:val="none" w:sz="0" w:space="0" w:color="auto"/>
                <w:bottom w:val="none" w:sz="0" w:space="0" w:color="auto"/>
                <w:right w:val="none" w:sz="0" w:space="0" w:color="auto"/>
              </w:divBdr>
            </w:div>
            <w:div w:id="995114407">
              <w:marLeft w:val="0"/>
              <w:marRight w:val="0"/>
              <w:marTop w:val="0"/>
              <w:marBottom w:val="0"/>
              <w:divBdr>
                <w:top w:val="none" w:sz="0" w:space="0" w:color="auto"/>
                <w:left w:val="none" w:sz="0" w:space="0" w:color="auto"/>
                <w:bottom w:val="none" w:sz="0" w:space="0" w:color="auto"/>
                <w:right w:val="none" w:sz="0" w:space="0" w:color="auto"/>
              </w:divBdr>
            </w:div>
            <w:div w:id="1004942248">
              <w:marLeft w:val="0"/>
              <w:marRight w:val="0"/>
              <w:marTop w:val="0"/>
              <w:marBottom w:val="0"/>
              <w:divBdr>
                <w:top w:val="none" w:sz="0" w:space="0" w:color="auto"/>
                <w:left w:val="none" w:sz="0" w:space="0" w:color="auto"/>
                <w:bottom w:val="none" w:sz="0" w:space="0" w:color="auto"/>
                <w:right w:val="none" w:sz="0" w:space="0" w:color="auto"/>
              </w:divBdr>
            </w:div>
            <w:div w:id="1040397385">
              <w:marLeft w:val="0"/>
              <w:marRight w:val="0"/>
              <w:marTop w:val="0"/>
              <w:marBottom w:val="0"/>
              <w:divBdr>
                <w:top w:val="none" w:sz="0" w:space="0" w:color="auto"/>
                <w:left w:val="none" w:sz="0" w:space="0" w:color="auto"/>
                <w:bottom w:val="none" w:sz="0" w:space="0" w:color="auto"/>
                <w:right w:val="none" w:sz="0" w:space="0" w:color="auto"/>
              </w:divBdr>
            </w:div>
            <w:div w:id="1059093722">
              <w:marLeft w:val="0"/>
              <w:marRight w:val="0"/>
              <w:marTop w:val="0"/>
              <w:marBottom w:val="0"/>
              <w:divBdr>
                <w:top w:val="none" w:sz="0" w:space="0" w:color="auto"/>
                <w:left w:val="none" w:sz="0" w:space="0" w:color="auto"/>
                <w:bottom w:val="none" w:sz="0" w:space="0" w:color="auto"/>
                <w:right w:val="none" w:sz="0" w:space="0" w:color="auto"/>
              </w:divBdr>
            </w:div>
            <w:div w:id="1109861770">
              <w:marLeft w:val="0"/>
              <w:marRight w:val="0"/>
              <w:marTop w:val="0"/>
              <w:marBottom w:val="0"/>
              <w:divBdr>
                <w:top w:val="none" w:sz="0" w:space="0" w:color="auto"/>
                <w:left w:val="none" w:sz="0" w:space="0" w:color="auto"/>
                <w:bottom w:val="none" w:sz="0" w:space="0" w:color="auto"/>
                <w:right w:val="none" w:sz="0" w:space="0" w:color="auto"/>
              </w:divBdr>
            </w:div>
            <w:div w:id="1131096534">
              <w:marLeft w:val="0"/>
              <w:marRight w:val="0"/>
              <w:marTop w:val="0"/>
              <w:marBottom w:val="0"/>
              <w:divBdr>
                <w:top w:val="none" w:sz="0" w:space="0" w:color="auto"/>
                <w:left w:val="none" w:sz="0" w:space="0" w:color="auto"/>
                <w:bottom w:val="none" w:sz="0" w:space="0" w:color="auto"/>
                <w:right w:val="none" w:sz="0" w:space="0" w:color="auto"/>
              </w:divBdr>
            </w:div>
            <w:div w:id="1168207240">
              <w:marLeft w:val="0"/>
              <w:marRight w:val="0"/>
              <w:marTop w:val="0"/>
              <w:marBottom w:val="0"/>
              <w:divBdr>
                <w:top w:val="none" w:sz="0" w:space="0" w:color="auto"/>
                <w:left w:val="none" w:sz="0" w:space="0" w:color="auto"/>
                <w:bottom w:val="none" w:sz="0" w:space="0" w:color="auto"/>
                <w:right w:val="none" w:sz="0" w:space="0" w:color="auto"/>
              </w:divBdr>
            </w:div>
            <w:div w:id="1315989942">
              <w:marLeft w:val="0"/>
              <w:marRight w:val="0"/>
              <w:marTop w:val="0"/>
              <w:marBottom w:val="0"/>
              <w:divBdr>
                <w:top w:val="none" w:sz="0" w:space="0" w:color="auto"/>
                <w:left w:val="none" w:sz="0" w:space="0" w:color="auto"/>
                <w:bottom w:val="none" w:sz="0" w:space="0" w:color="auto"/>
                <w:right w:val="none" w:sz="0" w:space="0" w:color="auto"/>
              </w:divBdr>
            </w:div>
            <w:div w:id="1418332960">
              <w:marLeft w:val="0"/>
              <w:marRight w:val="0"/>
              <w:marTop w:val="0"/>
              <w:marBottom w:val="0"/>
              <w:divBdr>
                <w:top w:val="none" w:sz="0" w:space="0" w:color="auto"/>
                <w:left w:val="none" w:sz="0" w:space="0" w:color="auto"/>
                <w:bottom w:val="none" w:sz="0" w:space="0" w:color="auto"/>
                <w:right w:val="none" w:sz="0" w:space="0" w:color="auto"/>
              </w:divBdr>
            </w:div>
            <w:div w:id="1449082774">
              <w:marLeft w:val="0"/>
              <w:marRight w:val="0"/>
              <w:marTop w:val="0"/>
              <w:marBottom w:val="0"/>
              <w:divBdr>
                <w:top w:val="none" w:sz="0" w:space="0" w:color="auto"/>
                <w:left w:val="none" w:sz="0" w:space="0" w:color="auto"/>
                <w:bottom w:val="none" w:sz="0" w:space="0" w:color="auto"/>
                <w:right w:val="none" w:sz="0" w:space="0" w:color="auto"/>
              </w:divBdr>
            </w:div>
            <w:div w:id="1486164714">
              <w:marLeft w:val="0"/>
              <w:marRight w:val="0"/>
              <w:marTop w:val="0"/>
              <w:marBottom w:val="0"/>
              <w:divBdr>
                <w:top w:val="none" w:sz="0" w:space="0" w:color="auto"/>
                <w:left w:val="none" w:sz="0" w:space="0" w:color="auto"/>
                <w:bottom w:val="none" w:sz="0" w:space="0" w:color="auto"/>
                <w:right w:val="none" w:sz="0" w:space="0" w:color="auto"/>
              </w:divBdr>
            </w:div>
            <w:div w:id="1487553816">
              <w:marLeft w:val="0"/>
              <w:marRight w:val="0"/>
              <w:marTop w:val="0"/>
              <w:marBottom w:val="0"/>
              <w:divBdr>
                <w:top w:val="none" w:sz="0" w:space="0" w:color="auto"/>
                <w:left w:val="none" w:sz="0" w:space="0" w:color="auto"/>
                <w:bottom w:val="none" w:sz="0" w:space="0" w:color="auto"/>
                <w:right w:val="none" w:sz="0" w:space="0" w:color="auto"/>
              </w:divBdr>
            </w:div>
            <w:div w:id="1520700007">
              <w:marLeft w:val="0"/>
              <w:marRight w:val="0"/>
              <w:marTop w:val="0"/>
              <w:marBottom w:val="0"/>
              <w:divBdr>
                <w:top w:val="none" w:sz="0" w:space="0" w:color="auto"/>
                <w:left w:val="none" w:sz="0" w:space="0" w:color="auto"/>
                <w:bottom w:val="none" w:sz="0" w:space="0" w:color="auto"/>
                <w:right w:val="none" w:sz="0" w:space="0" w:color="auto"/>
              </w:divBdr>
            </w:div>
            <w:div w:id="1642806982">
              <w:marLeft w:val="0"/>
              <w:marRight w:val="0"/>
              <w:marTop w:val="0"/>
              <w:marBottom w:val="0"/>
              <w:divBdr>
                <w:top w:val="none" w:sz="0" w:space="0" w:color="auto"/>
                <w:left w:val="none" w:sz="0" w:space="0" w:color="auto"/>
                <w:bottom w:val="none" w:sz="0" w:space="0" w:color="auto"/>
                <w:right w:val="none" w:sz="0" w:space="0" w:color="auto"/>
              </w:divBdr>
            </w:div>
            <w:div w:id="1674331230">
              <w:marLeft w:val="0"/>
              <w:marRight w:val="0"/>
              <w:marTop w:val="0"/>
              <w:marBottom w:val="0"/>
              <w:divBdr>
                <w:top w:val="none" w:sz="0" w:space="0" w:color="auto"/>
                <w:left w:val="none" w:sz="0" w:space="0" w:color="auto"/>
                <w:bottom w:val="none" w:sz="0" w:space="0" w:color="auto"/>
                <w:right w:val="none" w:sz="0" w:space="0" w:color="auto"/>
              </w:divBdr>
            </w:div>
            <w:div w:id="1700668637">
              <w:marLeft w:val="0"/>
              <w:marRight w:val="0"/>
              <w:marTop w:val="0"/>
              <w:marBottom w:val="0"/>
              <w:divBdr>
                <w:top w:val="none" w:sz="0" w:space="0" w:color="auto"/>
                <w:left w:val="none" w:sz="0" w:space="0" w:color="auto"/>
                <w:bottom w:val="none" w:sz="0" w:space="0" w:color="auto"/>
                <w:right w:val="none" w:sz="0" w:space="0" w:color="auto"/>
              </w:divBdr>
            </w:div>
            <w:div w:id="1853912021">
              <w:marLeft w:val="0"/>
              <w:marRight w:val="0"/>
              <w:marTop w:val="0"/>
              <w:marBottom w:val="0"/>
              <w:divBdr>
                <w:top w:val="none" w:sz="0" w:space="0" w:color="auto"/>
                <w:left w:val="none" w:sz="0" w:space="0" w:color="auto"/>
                <w:bottom w:val="none" w:sz="0" w:space="0" w:color="auto"/>
                <w:right w:val="none" w:sz="0" w:space="0" w:color="auto"/>
              </w:divBdr>
            </w:div>
            <w:div w:id="1959295893">
              <w:marLeft w:val="0"/>
              <w:marRight w:val="0"/>
              <w:marTop w:val="0"/>
              <w:marBottom w:val="0"/>
              <w:divBdr>
                <w:top w:val="none" w:sz="0" w:space="0" w:color="auto"/>
                <w:left w:val="none" w:sz="0" w:space="0" w:color="auto"/>
                <w:bottom w:val="none" w:sz="0" w:space="0" w:color="auto"/>
                <w:right w:val="none" w:sz="0" w:space="0" w:color="auto"/>
              </w:divBdr>
            </w:div>
            <w:div w:id="207869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68810">
      <w:bodyDiv w:val="1"/>
      <w:marLeft w:val="0"/>
      <w:marRight w:val="0"/>
      <w:marTop w:val="0"/>
      <w:marBottom w:val="0"/>
      <w:divBdr>
        <w:top w:val="none" w:sz="0" w:space="0" w:color="auto"/>
        <w:left w:val="none" w:sz="0" w:space="0" w:color="auto"/>
        <w:bottom w:val="none" w:sz="0" w:space="0" w:color="auto"/>
        <w:right w:val="none" w:sz="0" w:space="0" w:color="auto"/>
      </w:divBdr>
    </w:div>
    <w:div w:id="729618448">
      <w:bodyDiv w:val="1"/>
      <w:marLeft w:val="0"/>
      <w:marRight w:val="0"/>
      <w:marTop w:val="0"/>
      <w:marBottom w:val="0"/>
      <w:divBdr>
        <w:top w:val="none" w:sz="0" w:space="0" w:color="auto"/>
        <w:left w:val="none" w:sz="0" w:space="0" w:color="auto"/>
        <w:bottom w:val="none" w:sz="0" w:space="0" w:color="auto"/>
        <w:right w:val="none" w:sz="0" w:space="0" w:color="auto"/>
      </w:divBdr>
    </w:div>
    <w:div w:id="746852117">
      <w:bodyDiv w:val="1"/>
      <w:marLeft w:val="0"/>
      <w:marRight w:val="0"/>
      <w:marTop w:val="0"/>
      <w:marBottom w:val="0"/>
      <w:divBdr>
        <w:top w:val="none" w:sz="0" w:space="0" w:color="auto"/>
        <w:left w:val="none" w:sz="0" w:space="0" w:color="auto"/>
        <w:bottom w:val="none" w:sz="0" w:space="0" w:color="auto"/>
        <w:right w:val="none" w:sz="0" w:space="0" w:color="auto"/>
      </w:divBdr>
    </w:div>
    <w:div w:id="747846450">
      <w:bodyDiv w:val="1"/>
      <w:marLeft w:val="0"/>
      <w:marRight w:val="0"/>
      <w:marTop w:val="0"/>
      <w:marBottom w:val="0"/>
      <w:divBdr>
        <w:top w:val="none" w:sz="0" w:space="0" w:color="auto"/>
        <w:left w:val="none" w:sz="0" w:space="0" w:color="auto"/>
        <w:bottom w:val="none" w:sz="0" w:space="0" w:color="auto"/>
        <w:right w:val="none" w:sz="0" w:space="0" w:color="auto"/>
      </w:divBdr>
    </w:div>
    <w:div w:id="754670864">
      <w:bodyDiv w:val="1"/>
      <w:marLeft w:val="0"/>
      <w:marRight w:val="0"/>
      <w:marTop w:val="0"/>
      <w:marBottom w:val="0"/>
      <w:divBdr>
        <w:top w:val="none" w:sz="0" w:space="0" w:color="auto"/>
        <w:left w:val="none" w:sz="0" w:space="0" w:color="auto"/>
        <w:bottom w:val="none" w:sz="0" w:space="0" w:color="auto"/>
        <w:right w:val="none" w:sz="0" w:space="0" w:color="auto"/>
      </w:divBdr>
    </w:div>
    <w:div w:id="755446659">
      <w:bodyDiv w:val="1"/>
      <w:marLeft w:val="0"/>
      <w:marRight w:val="0"/>
      <w:marTop w:val="0"/>
      <w:marBottom w:val="0"/>
      <w:divBdr>
        <w:top w:val="none" w:sz="0" w:space="0" w:color="auto"/>
        <w:left w:val="none" w:sz="0" w:space="0" w:color="auto"/>
        <w:bottom w:val="none" w:sz="0" w:space="0" w:color="auto"/>
        <w:right w:val="none" w:sz="0" w:space="0" w:color="auto"/>
      </w:divBdr>
    </w:div>
    <w:div w:id="766075612">
      <w:bodyDiv w:val="1"/>
      <w:marLeft w:val="0"/>
      <w:marRight w:val="0"/>
      <w:marTop w:val="0"/>
      <w:marBottom w:val="0"/>
      <w:divBdr>
        <w:top w:val="none" w:sz="0" w:space="0" w:color="auto"/>
        <w:left w:val="none" w:sz="0" w:space="0" w:color="auto"/>
        <w:bottom w:val="none" w:sz="0" w:space="0" w:color="auto"/>
        <w:right w:val="none" w:sz="0" w:space="0" w:color="auto"/>
      </w:divBdr>
    </w:div>
    <w:div w:id="774521462">
      <w:bodyDiv w:val="1"/>
      <w:marLeft w:val="0"/>
      <w:marRight w:val="0"/>
      <w:marTop w:val="0"/>
      <w:marBottom w:val="0"/>
      <w:divBdr>
        <w:top w:val="none" w:sz="0" w:space="0" w:color="auto"/>
        <w:left w:val="none" w:sz="0" w:space="0" w:color="auto"/>
        <w:bottom w:val="none" w:sz="0" w:space="0" w:color="auto"/>
        <w:right w:val="none" w:sz="0" w:space="0" w:color="auto"/>
      </w:divBdr>
    </w:div>
    <w:div w:id="789082320">
      <w:bodyDiv w:val="1"/>
      <w:marLeft w:val="0"/>
      <w:marRight w:val="0"/>
      <w:marTop w:val="0"/>
      <w:marBottom w:val="0"/>
      <w:divBdr>
        <w:top w:val="none" w:sz="0" w:space="0" w:color="auto"/>
        <w:left w:val="none" w:sz="0" w:space="0" w:color="auto"/>
        <w:bottom w:val="none" w:sz="0" w:space="0" w:color="auto"/>
        <w:right w:val="none" w:sz="0" w:space="0" w:color="auto"/>
      </w:divBdr>
    </w:div>
    <w:div w:id="802041357">
      <w:bodyDiv w:val="1"/>
      <w:marLeft w:val="0"/>
      <w:marRight w:val="0"/>
      <w:marTop w:val="0"/>
      <w:marBottom w:val="0"/>
      <w:divBdr>
        <w:top w:val="none" w:sz="0" w:space="0" w:color="auto"/>
        <w:left w:val="none" w:sz="0" w:space="0" w:color="auto"/>
        <w:bottom w:val="none" w:sz="0" w:space="0" w:color="auto"/>
        <w:right w:val="none" w:sz="0" w:space="0" w:color="auto"/>
      </w:divBdr>
    </w:div>
    <w:div w:id="822041152">
      <w:bodyDiv w:val="1"/>
      <w:marLeft w:val="0"/>
      <w:marRight w:val="0"/>
      <w:marTop w:val="0"/>
      <w:marBottom w:val="0"/>
      <w:divBdr>
        <w:top w:val="none" w:sz="0" w:space="0" w:color="auto"/>
        <w:left w:val="none" w:sz="0" w:space="0" w:color="auto"/>
        <w:bottom w:val="none" w:sz="0" w:space="0" w:color="auto"/>
        <w:right w:val="none" w:sz="0" w:space="0" w:color="auto"/>
      </w:divBdr>
    </w:div>
    <w:div w:id="834539650">
      <w:bodyDiv w:val="1"/>
      <w:marLeft w:val="0"/>
      <w:marRight w:val="0"/>
      <w:marTop w:val="0"/>
      <w:marBottom w:val="0"/>
      <w:divBdr>
        <w:top w:val="none" w:sz="0" w:space="0" w:color="auto"/>
        <w:left w:val="none" w:sz="0" w:space="0" w:color="auto"/>
        <w:bottom w:val="none" w:sz="0" w:space="0" w:color="auto"/>
        <w:right w:val="none" w:sz="0" w:space="0" w:color="auto"/>
      </w:divBdr>
    </w:div>
    <w:div w:id="839268973">
      <w:bodyDiv w:val="1"/>
      <w:marLeft w:val="0"/>
      <w:marRight w:val="0"/>
      <w:marTop w:val="0"/>
      <w:marBottom w:val="0"/>
      <w:divBdr>
        <w:top w:val="none" w:sz="0" w:space="0" w:color="auto"/>
        <w:left w:val="none" w:sz="0" w:space="0" w:color="auto"/>
        <w:bottom w:val="none" w:sz="0" w:space="0" w:color="auto"/>
        <w:right w:val="none" w:sz="0" w:space="0" w:color="auto"/>
      </w:divBdr>
      <w:divsChild>
        <w:div w:id="1635478892">
          <w:marLeft w:val="0"/>
          <w:marRight w:val="0"/>
          <w:marTop w:val="0"/>
          <w:marBottom w:val="0"/>
          <w:divBdr>
            <w:top w:val="none" w:sz="0" w:space="0" w:color="auto"/>
            <w:left w:val="none" w:sz="0" w:space="0" w:color="auto"/>
            <w:bottom w:val="none" w:sz="0" w:space="0" w:color="auto"/>
            <w:right w:val="none" w:sz="0" w:space="0" w:color="auto"/>
          </w:divBdr>
        </w:div>
        <w:div w:id="2034649975">
          <w:marLeft w:val="0"/>
          <w:marRight w:val="0"/>
          <w:marTop w:val="0"/>
          <w:marBottom w:val="0"/>
          <w:divBdr>
            <w:top w:val="none" w:sz="0" w:space="0" w:color="auto"/>
            <w:left w:val="none" w:sz="0" w:space="0" w:color="auto"/>
            <w:bottom w:val="none" w:sz="0" w:space="0" w:color="auto"/>
            <w:right w:val="none" w:sz="0" w:space="0" w:color="auto"/>
          </w:divBdr>
        </w:div>
      </w:divsChild>
    </w:div>
    <w:div w:id="852299366">
      <w:bodyDiv w:val="1"/>
      <w:marLeft w:val="0"/>
      <w:marRight w:val="0"/>
      <w:marTop w:val="0"/>
      <w:marBottom w:val="0"/>
      <w:divBdr>
        <w:top w:val="none" w:sz="0" w:space="0" w:color="auto"/>
        <w:left w:val="none" w:sz="0" w:space="0" w:color="auto"/>
        <w:bottom w:val="none" w:sz="0" w:space="0" w:color="auto"/>
        <w:right w:val="none" w:sz="0" w:space="0" w:color="auto"/>
      </w:divBdr>
    </w:div>
    <w:div w:id="866868322">
      <w:bodyDiv w:val="1"/>
      <w:marLeft w:val="0"/>
      <w:marRight w:val="0"/>
      <w:marTop w:val="0"/>
      <w:marBottom w:val="0"/>
      <w:divBdr>
        <w:top w:val="none" w:sz="0" w:space="0" w:color="auto"/>
        <w:left w:val="none" w:sz="0" w:space="0" w:color="auto"/>
        <w:bottom w:val="none" w:sz="0" w:space="0" w:color="auto"/>
        <w:right w:val="none" w:sz="0" w:space="0" w:color="auto"/>
      </w:divBdr>
    </w:div>
    <w:div w:id="882323397">
      <w:bodyDiv w:val="1"/>
      <w:marLeft w:val="0"/>
      <w:marRight w:val="0"/>
      <w:marTop w:val="0"/>
      <w:marBottom w:val="0"/>
      <w:divBdr>
        <w:top w:val="none" w:sz="0" w:space="0" w:color="auto"/>
        <w:left w:val="none" w:sz="0" w:space="0" w:color="auto"/>
        <w:bottom w:val="none" w:sz="0" w:space="0" w:color="auto"/>
        <w:right w:val="none" w:sz="0" w:space="0" w:color="auto"/>
      </w:divBdr>
    </w:div>
    <w:div w:id="890994511">
      <w:bodyDiv w:val="1"/>
      <w:marLeft w:val="0"/>
      <w:marRight w:val="0"/>
      <w:marTop w:val="0"/>
      <w:marBottom w:val="0"/>
      <w:divBdr>
        <w:top w:val="none" w:sz="0" w:space="0" w:color="auto"/>
        <w:left w:val="none" w:sz="0" w:space="0" w:color="auto"/>
        <w:bottom w:val="none" w:sz="0" w:space="0" w:color="auto"/>
        <w:right w:val="none" w:sz="0" w:space="0" w:color="auto"/>
      </w:divBdr>
    </w:div>
    <w:div w:id="906964612">
      <w:bodyDiv w:val="1"/>
      <w:marLeft w:val="0"/>
      <w:marRight w:val="0"/>
      <w:marTop w:val="0"/>
      <w:marBottom w:val="0"/>
      <w:divBdr>
        <w:top w:val="none" w:sz="0" w:space="0" w:color="auto"/>
        <w:left w:val="none" w:sz="0" w:space="0" w:color="auto"/>
        <w:bottom w:val="none" w:sz="0" w:space="0" w:color="auto"/>
        <w:right w:val="none" w:sz="0" w:space="0" w:color="auto"/>
      </w:divBdr>
      <w:divsChild>
        <w:div w:id="317391198">
          <w:marLeft w:val="0"/>
          <w:marRight w:val="0"/>
          <w:marTop w:val="0"/>
          <w:marBottom w:val="0"/>
          <w:divBdr>
            <w:top w:val="none" w:sz="0" w:space="0" w:color="auto"/>
            <w:left w:val="none" w:sz="0" w:space="0" w:color="auto"/>
            <w:bottom w:val="none" w:sz="0" w:space="0" w:color="auto"/>
            <w:right w:val="none" w:sz="0" w:space="0" w:color="auto"/>
          </w:divBdr>
          <w:divsChild>
            <w:div w:id="810489434">
              <w:marLeft w:val="0"/>
              <w:marRight w:val="0"/>
              <w:marTop w:val="0"/>
              <w:marBottom w:val="0"/>
              <w:divBdr>
                <w:top w:val="none" w:sz="0" w:space="0" w:color="auto"/>
                <w:left w:val="none" w:sz="0" w:space="0" w:color="auto"/>
                <w:bottom w:val="none" w:sz="0" w:space="0" w:color="auto"/>
                <w:right w:val="none" w:sz="0" w:space="0" w:color="auto"/>
              </w:divBdr>
            </w:div>
            <w:div w:id="837119439">
              <w:marLeft w:val="0"/>
              <w:marRight w:val="0"/>
              <w:marTop w:val="0"/>
              <w:marBottom w:val="0"/>
              <w:divBdr>
                <w:top w:val="none" w:sz="0" w:space="0" w:color="auto"/>
                <w:left w:val="none" w:sz="0" w:space="0" w:color="auto"/>
                <w:bottom w:val="none" w:sz="0" w:space="0" w:color="auto"/>
                <w:right w:val="none" w:sz="0" w:space="0" w:color="auto"/>
              </w:divBdr>
            </w:div>
            <w:div w:id="902300242">
              <w:marLeft w:val="0"/>
              <w:marRight w:val="0"/>
              <w:marTop w:val="0"/>
              <w:marBottom w:val="0"/>
              <w:divBdr>
                <w:top w:val="none" w:sz="0" w:space="0" w:color="auto"/>
                <w:left w:val="none" w:sz="0" w:space="0" w:color="auto"/>
                <w:bottom w:val="none" w:sz="0" w:space="0" w:color="auto"/>
                <w:right w:val="none" w:sz="0" w:space="0" w:color="auto"/>
              </w:divBdr>
            </w:div>
            <w:div w:id="992829561">
              <w:marLeft w:val="0"/>
              <w:marRight w:val="0"/>
              <w:marTop w:val="0"/>
              <w:marBottom w:val="0"/>
              <w:divBdr>
                <w:top w:val="none" w:sz="0" w:space="0" w:color="auto"/>
                <w:left w:val="none" w:sz="0" w:space="0" w:color="auto"/>
                <w:bottom w:val="none" w:sz="0" w:space="0" w:color="auto"/>
                <w:right w:val="none" w:sz="0" w:space="0" w:color="auto"/>
              </w:divBdr>
            </w:div>
            <w:div w:id="1826772519">
              <w:marLeft w:val="0"/>
              <w:marRight w:val="0"/>
              <w:marTop w:val="0"/>
              <w:marBottom w:val="0"/>
              <w:divBdr>
                <w:top w:val="none" w:sz="0" w:space="0" w:color="auto"/>
                <w:left w:val="none" w:sz="0" w:space="0" w:color="auto"/>
                <w:bottom w:val="none" w:sz="0" w:space="0" w:color="auto"/>
                <w:right w:val="none" w:sz="0" w:space="0" w:color="auto"/>
              </w:divBdr>
            </w:div>
            <w:div w:id="2115202890">
              <w:marLeft w:val="0"/>
              <w:marRight w:val="0"/>
              <w:marTop w:val="0"/>
              <w:marBottom w:val="0"/>
              <w:divBdr>
                <w:top w:val="none" w:sz="0" w:space="0" w:color="auto"/>
                <w:left w:val="none" w:sz="0" w:space="0" w:color="auto"/>
                <w:bottom w:val="none" w:sz="0" w:space="0" w:color="auto"/>
                <w:right w:val="none" w:sz="0" w:space="0" w:color="auto"/>
              </w:divBdr>
            </w:div>
          </w:divsChild>
        </w:div>
        <w:div w:id="1521353228">
          <w:marLeft w:val="0"/>
          <w:marRight w:val="0"/>
          <w:marTop w:val="0"/>
          <w:marBottom w:val="0"/>
          <w:divBdr>
            <w:top w:val="none" w:sz="0" w:space="0" w:color="auto"/>
            <w:left w:val="none" w:sz="0" w:space="0" w:color="auto"/>
            <w:bottom w:val="none" w:sz="0" w:space="0" w:color="auto"/>
            <w:right w:val="none" w:sz="0" w:space="0" w:color="auto"/>
          </w:divBdr>
          <w:divsChild>
            <w:div w:id="375274130">
              <w:marLeft w:val="0"/>
              <w:marRight w:val="0"/>
              <w:marTop w:val="0"/>
              <w:marBottom w:val="0"/>
              <w:divBdr>
                <w:top w:val="none" w:sz="0" w:space="0" w:color="auto"/>
                <w:left w:val="none" w:sz="0" w:space="0" w:color="auto"/>
                <w:bottom w:val="none" w:sz="0" w:space="0" w:color="auto"/>
                <w:right w:val="none" w:sz="0" w:space="0" w:color="auto"/>
              </w:divBdr>
            </w:div>
            <w:div w:id="206644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1070">
      <w:bodyDiv w:val="1"/>
      <w:marLeft w:val="0"/>
      <w:marRight w:val="0"/>
      <w:marTop w:val="0"/>
      <w:marBottom w:val="0"/>
      <w:divBdr>
        <w:top w:val="none" w:sz="0" w:space="0" w:color="auto"/>
        <w:left w:val="none" w:sz="0" w:space="0" w:color="auto"/>
        <w:bottom w:val="none" w:sz="0" w:space="0" w:color="auto"/>
        <w:right w:val="none" w:sz="0" w:space="0" w:color="auto"/>
      </w:divBdr>
    </w:div>
    <w:div w:id="913198684">
      <w:bodyDiv w:val="1"/>
      <w:marLeft w:val="0"/>
      <w:marRight w:val="0"/>
      <w:marTop w:val="0"/>
      <w:marBottom w:val="0"/>
      <w:divBdr>
        <w:top w:val="none" w:sz="0" w:space="0" w:color="auto"/>
        <w:left w:val="none" w:sz="0" w:space="0" w:color="auto"/>
        <w:bottom w:val="none" w:sz="0" w:space="0" w:color="auto"/>
        <w:right w:val="none" w:sz="0" w:space="0" w:color="auto"/>
      </w:divBdr>
    </w:div>
    <w:div w:id="932281831">
      <w:bodyDiv w:val="1"/>
      <w:marLeft w:val="0"/>
      <w:marRight w:val="0"/>
      <w:marTop w:val="0"/>
      <w:marBottom w:val="0"/>
      <w:divBdr>
        <w:top w:val="none" w:sz="0" w:space="0" w:color="auto"/>
        <w:left w:val="none" w:sz="0" w:space="0" w:color="auto"/>
        <w:bottom w:val="none" w:sz="0" w:space="0" w:color="auto"/>
        <w:right w:val="none" w:sz="0" w:space="0" w:color="auto"/>
      </w:divBdr>
    </w:div>
    <w:div w:id="933124264">
      <w:bodyDiv w:val="1"/>
      <w:marLeft w:val="0"/>
      <w:marRight w:val="0"/>
      <w:marTop w:val="0"/>
      <w:marBottom w:val="0"/>
      <w:divBdr>
        <w:top w:val="none" w:sz="0" w:space="0" w:color="auto"/>
        <w:left w:val="none" w:sz="0" w:space="0" w:color="auto"/>
        <w:bottom w:val="none" w:sz="0" w:space="0" w:color="auto"/>
        <w:right w:val="none" w:sz="0" w:space="0" w:color="auto"/>
      </w:divBdr>
    </w:div>
    <w:div w:id="936326645">
      <w:bodyDiv w:val="1"/>
      <w:marLeft w:val="0"/>
      <w:marRight w:val="0"/>
      <w:marTop w:val="0"/>
      <w:marBottom w:val="0"/>
      <w:divBdr>
        <w:top w:val="none" w:sz="0" w:space="0" w:color="auto"/>
        <w:left w:val="none" w:sz="0" w:space="0" w:color="auto"/>
        <w:bottom w:val="none" w:sz="0" w:space="0" w:color="auto"/>
        <w:right w:val="none" w:sz="0" w:space="0" w:color="auto"/>
      </w:divBdr>
    </w:div>
    <w:div w:id="943614054">
      <w:bodyDiv w:val="1"/>
      <w:marLeft w:val="0"/>
      <w:marRight w:val="0"/>
      <w:marTop w:val="0"/>
      <w:marBottom w:val="0"/>
      <w:divBdr>
        <w:top w:val="none" w:sz="0" w:space="0" w:color="auto"/>
        <w:left w:val="none" w:sz="0" w:space="0" w:color="auto"/>
        <w:bottom w:val="none" w:sz="0" w:space="0" w:color="auto"/>
        <w:right w:val="none" w:sz="0" w:space="0" w:color="auto"/>
      </w:divBdr>
    </w:div>
    <w:div w:id="964194069">
      <w:bodyDiv w:val="1"/>
      <w:marLeft w:val="0"/>
      <w:marRight w:val="0"/>
      <w:marTop w:val="0"/>
      <w:marBottom w:val="0"/>
      <w:divBdr>
        <w:top w:val="none" w:sz="0" w:space="0" w:color="auto"/>
        <w:left w:val="none" w:sz="0" w:space="0" w:color="auto"/>
        <w:bottom w:val="none" w:sz="0" w:space="0" w:color="auto"/>
        <w:right w:val="none" w:sz="0" w:space="0" w:color="auto"/>
      </w:divBdr>
    </w:div>
    <w:div w:id="969942489">
      <w:bodyDiv w:val="1"/>
      <w:marLeft w:val="0"/>
      <w:marRight w:val="0"/>
      <w:marTop w:val="0"/>
      <w:marBottom w:val="0"/>
      <w:divBdr>
        <w:top w:val="none" w:sz="0" w:space="0" w:color="auto"/>
        <w:left w:val="none" w:sz="0" w:space="0" w:color="auto"/>
        <w:bottom w:val="none" w:sz="0" w:space="0" w:color="auto"/>
        <w:right w:val="none" w:sz="0" w:space="0" w:color="auto"/>
      </w:divBdr>
    </w:div>
    <w:div w:id="981471386">
      <w:bodyDiv w:val="1"/>
      <w:marLeft w:val="0"/>
      <w:marRight w:val="0"/>
      <w:marTop w:val="0"/>
      <w:marBottom w:val="0"/>
      <w:divBdr>
        <w:top w:val="none" w:sz="0" w:space="0" w:color="auto"/>
        <w:left w:val="none" w:sz="0" w:space="0" w:color="auto"/>
        <w:bottom w:val="none" w:sz="0" w:space="0" w:color="auto"/>
        <w:right w:val="none" w:sz="0" w:space="0" w:color="auto"/>
      </w:divBdr>
    </w:div>
    <w:div w:id="1003775286">
      <w:bodyDiv w:val="1"/>
      <w:marLeft w:val="0"/>
      <w:marRight w:val="0"/>
      <w:marTop w:val="0"/>
      <w:marBottom w:val="0"/>
      <w:divBdr>
        <w:top w:val="none" w:sz="0" w:space="0" w:color="auto"/>
        <w:left w:val="none" w:sz="0" w:space="0" w:color="auto"/>
        <w:bottom w:val="none" w:sz="0" w:space="0" w:color="auto"/>
        <w:right w:val="none" w:sz="0" w:space="0" w:color="auto"/>
      </w:divBdr>
    </w:div>
    <w:div w:id="1008949575">
      <w:bodyDiv w:val="1"/>
      <w:marLeft w:val="0"/>
      <w:marRight w:val="0"/>
      <w:marTop w:val="0"/>
      <w:marBottom w:val="0"/>
      <w:divBdr>
        <w:top w:val="none" w:sz="0" w:space="0" w:color="auto"/>
        <w:left w:val="none" w:sz="0" w:space="0" w:color="auto"/>
        <w:bottom w:val="none" w:sz="0" w:space="0" w:color="auto"/>
        <w:right w:val="none" w:sz="0" w:space="0" w:color="auto"/>
      </w:divBdr>
      <w:divsChild>
        <w:div w:id="775443460">
          <w:marLeft w:val="0"/>
          <w:marRight w:val="0"/>
          <w:marTop w:val="0"/>
          <w:marBottom w:val="0"/>
          <w:divBdr>
            <w:top w:val="none" w:sz="0" w:space="0" w:color="auto"/>
            <w:left w:val="none" w:sz="0" w:space="0" w:color="auto"/>
            <w:bottom w:val="none" w:sz="0" w:space="0" w:color="auto"/>
            <w:right w:val="none" w:sz="0" w:space="0" w:color="auto"/>
          </w:divBdr>
        </w:div>
        <w:div w:id="809135780">
          <w:marLeft w:val="0"/>
          <w:marRight w:val="0"/>
          <w:marTop w:val="0"/>
          <w:marBottom w:val="0"/>
          <w:divBdr>
            <w:top w:val="none" w:sz="0" w:space="0" w:color="auto"/>
            <w:left w:val="none" w:sz="0" w:space="0" w:color="auto"/>
            <w:bottom w:val="none" w:sz="0" w:space="0" w:color="auto"/>
            <w:right w:val="none" w:sz="0" w:space="0" w:color="auto"/>
          </w:divBdr>
        </w:div>
        <w:div w:id="1044061064">
          <w:marLeft w:val="0"/>
          <w:marRight w:val="0"/>
          <w:marTop w:val="0"/>
          <w:marBottom w:val="0"/>
          <w:divBdr>
            <w:top w:val="none" w:sz="0" w:space="0" w:color="auto"/>
            <w:left w:val="none" w:sz="0" w:space="0" w:color="auto"/>
            <w:bottom w:val="none" w:sz="0" w:space="0" w:color="auto"/>
            <w:right w:val="none" w:sz="0" w:space="0" w:color="auto"/>
          </w:divBdr>
        </w:div>
        <w:div w:id="1227956108">
          <w:marLeft w:val="0"/>
          <w:marRight w:val="0"/>
          <w:marTop w:val="0"/>
          <w:marBottom w:val="0"/>
          <w:divBdr>
            <w:top w:val="none" w:sz="0" w:space="0" w:color="auto"/>
            <w:left w:val="none" w:sz="0" w:space="0" w:color="auto"/>
            <w:bottom w:val="none" w:sz="0" w:space="0" w:color="auto"/>
            <w:right w:val="none" w:sz="0" w:space="0" w:color="auto"/>
          </w:divBdr>
        </w:div>
      </w:divsChild>
    </w:div>
    <w:div w:id="1012028621">
      <w:bodyDiv w:val="1"/>
      <w:marLeft w:val="0"/>
      <w:marRight w:val="0"/>
      <w:marTop w:val="0"/>
      <w:marBottom w:val="0"/>
      <w:divBdr>
        <w:top w:val="none" w:sz="0" w:space="0" w:color="auto"/>
        <w:left w:val="none" w:sz="0" w:space="0" w:color="auto"/>
        <w:bottom w:val="none" w:sz="0" w:space="0" w:color="auto"/>
        <w:right w:val="none" w:sz="0" w:space="0" w:color="auto"/>
      </w:divBdr>
    </w:div>
    <w:div w:id="1016421905">
      <w:bodyDiv w:val="1"/>
      <w:marLeft w:val="0"/>
      <w:marRight w:val="0"/>
      <w:marTop w:val="0"/>
      <w:marBottom w:val="0"/>
      <w:divBdr>
        <w:top w:val="none" w:sz="0" w:space="0" w:color="auto"/>
        <w:left w:val="none" w:sz="0" w:space="0" w:color="auto"/>
        <w:bottom w:val="none" w:sz="0" w:space="0" w:color="auto"/>
        <w:right w:val="none" w:sz="0" w:space="0" w:color="auto"/>
      </w:divBdr>
      <w:divsChild>
        <w:div w:id="28802135">
          <w:marLeft w:val="0"/>
          <w:marRight w:val="0"/>
          <w:marTop w:val="0"/>
          <w:marBottom w:val="0"/>
          <w:divBdr>
            <w:top w:val="none" w:sz="0" w:space="0" w:color="auto"/>
            <w:left w:val="none" w:sz="0" w:space="0" w:color="auto"/>
            <w:bottom w:val="none" w:sz="0" w:space="0" w:color="auto"/>
            <w:right w:val="none" w:sz="0" w:space="0" w:color="auto"/>
          </w:divBdr>
        </w:div>
        <w:div w:id="1314480803">
          <w:marLeft w:val="0"/>
          <w:marRight w:val="0"/>
          <w:marTop w:val="0"/>
          <w:marBottom w:val="0"/>
          <w:divBdr>
            <w:top w:val="none" w:sz="0" w:space="0" w:color="auto"/>
            <w:left w:val="none" w:sz="0" w:space="0" w:color="auto"/>
            <w:bottom w:val="none" w:sz="0" w:space="0" w:color="auto"/>
            <w:right w:val="none" w:sz="0" w:space="0" w:color="auto"/>
          </w:divBdr>
        </w:div>
      </w:divsChild>
    </w:div>
    <w:div w:id="1020354705">
      <w:bodyDiv w:val="1"/>
      <w:marLeft w:val="0"/>
      <w:marRight w:val="0"/>
      <w:marTop w:val="0"/>
      <w:marBottom w:val="0"/>
      <w:divBdr>
        <w:top w:val="none" w:sz="0" w:space="0" w:color="auto"/>
        <w:left w:val="none" w:sz="0" w:space="0" w:color="auto"/>
        <w:bottom w:val="none" w:sz="0" w:space="0" w:color="auto"/>
        <w:right w:val="none" w:sz="0" w:space="0" w:color="auto"/>
      </w:divBdr>
    </w:div>
    <w:div w:id="1021662442">
      <w:bodyDiv w:val="1"/>
      <w:marLeft w:val="0"/>
      <w:marRight w:val="0"/>
      <w:marTop w:val="0"/>
      <w:marBottom w:val="0"/>
      <w:divBdr>
        <w:top w:val="none" w:sz="0" w:space="0" w:color="auto"/>
        <w:left w:val="none" w:sz="0" w:space="0" w:color="auto"/>
        <w:bottom w:val="none" w:sz="0" w:space="0" w:color="auto"/>
        <w:right w:val="none" w:sz="0" w:space="0" w:color="auto"/>
      </w:divBdr>
    </w:div>
    <w:div w:id="1044251468">
      <w:bodyDiv w:val="1"/>
      <w:marLeft w:val="0"/>
      <w:marRight w:val="0"/>
      <w:marTop w:val="0"/>
      <w:marBottom w:val="0"/>
      <w:divBdr>
        <w:top w:val="none" w:sz="0" w:space="0" w:color="auto"/>
        <w:left w:val="none" w:sz="0" w:space="0" w:color="auto"/>
        <w:bottom w:val="none" w:sz="0" w:space="0" w:color="auto"/>
        <w:right w:val="none" w:sz="0" w:space="0" w:color="auto"/>
      </w:divBdr>
    </w:div>
    <w:div w:id="1047952044">
      <w:bodyDiv w:val="1"/>
      <w:marLeft w:val="0"/>
      <w:marRight w:val="0"/>
      <w:marTop w:val="0"/>
      <w:marBottom w:val="0"/>
      <w:divBdr>
        <w:top w:val="none" w:sz="0" w:space="0" w:color="auto"/>
        <w:left w:val="none" w:sz="0" w:space="0" w:color="auto"/>
        <w:bottom w:val="none" w:sz="0" w:space="0" w:color="auto"/>
        <w:right w:val="none" w:sz="0" w:space="0" w:color="auto"/>
      </w:divBdr>
    </w:div>
    <w:div w:id="1054933915">
      <w:bodyDiv w:val="1"/>
      <w:marLeft w:val="0"/>
      <w:marRight w:val="0"/>
      <w:marTop w:val="0"/>
      <w:marBottom w:val="0"/>
      <w:divBdr>
        <w:top w:val="none" w:sz="0" w:space="0" w:color="auto"/>
        <w:left w:val="none" w:sz="0" w:space="0" w:color="auto"/>
        <w:bottom w:val="none" w:sz="0" w:space="0" w:color="auto"/>
        <w:right w:val="none" w:sz="0" w:space="0" w:color="auto"/>
      </w:divBdr>
    </w:div>
    <w:div w:id="1061370515">
      <w:bodyDiv w:val="1"/>
      <w:marLeft w:val="0"/>
      <w:marRight w:val="0"/>
      <w:marTop w:val="0"/>
      <w:marBottom w:val="0"/>
      <w:divBdr>
        <w:top w:val="none" w:sz="0" w:space="0" w:color="auto"/>
        <w:left w:val="none" w:sz="0" w:space="0" w:color="auto"/>
        <w:bottom w:val="none" w:sz="0" w:space="0" w:color="auto"/>
        <w:right w:val="none" w:sz="0" w:space="0" w:color="auto"/>
      </w:divBdr>
    </w:div>
    <w:div w:id="1071542263">
      <w:bodyDiv w:val="1"/>
      <w:marLeft w:val="0"/>
      <w:marRight w:val="0"/>
      <w:marTop w:val="0"/>
      <w:marBottom w:val="0"/>
      <w:divBdr>
        <w:top w:val="none" w:sz="0" w:space="0" w:color="auto"/>
        <w:left w:val="none" w:sz="0" w:space="0" w:color="auto"/>
        <w:bottom w:val="none" w:sz="0" w:space="0" w:color="auto"/>
        <w:right w:val="none" w:sz="0" w:space="0" w:color="auto"/>
      </w:divBdr>
    </w:div>
    <w:div w:id="1079252160">
      <w:bodyDiv w:val="1"/>
      <w:marLeft w:val="0"/>
      <w:marRight w:val="0"/>
      <w:marTop w:val="0"/>
      <w:marBottom w:val="0"/>
      <w:divBdr>
        <w:top w:val="none" w:sz="0" w:space="0" w:color="auto"/>
        <w:left w:val="none" w:sz="0" w:space="0" w:color="auto"/>
        <w:bottom w:val="none" w:sz="0" w:space="0" w:color="auto"/>
        <w:right w:val="none" w:sz="0" w:space="0" w:color="auto"/>
      </w:divBdr>
    </w:div>
    <w:div w:id="1079791588">
      <w:bodyDiv w:val="1"/>
      <w:marLeft w:val="0"/>
      <w:marRight w:val="0"/>
      <w:marTop w:val="0"/>
      <w:marBottom w:val="0"/>
      <w:divBdr>
        <w:top w:val="none" w:sz="0" w:space="0" w:color="auto"/>
        <w:left w:val="none" w:sz="0" w:space="0" w:color="auto"/>
        <w:bottom w:val="none" w:sz="0" w:space="0" w:color="auto"/>
        <w:right w:val="none" w:sz="0" w:space="0" w:color="auto"/>
      </w:divBdr>
    </w:div>
    <w:div w:id="1082335833">
      <w:bodyDiv w:val="1"/>
      <w:marLeft w:val="0"/>
      <w:marRight w:val="0"/>
      <w:marTop w:val="0"/>
      <w:marBottom w:val="0"/>
      <w:divBdr>
        <w:top w:val="none" w:sz="0" w:space="0" w:color="auto"/>
        <w:left w:val="none" w:sz="0" w:space="0" w:color="auto"/>
        <w:bottom w:val="none" w:sz="0" w:space="0" w:color="auto"/>
        <w:right w:val="none" w:sz="0" w:space="0" w:color="auto"/>
      </w:divBdr>
      <w:divsChild>
        <w:div w:id="822937132">
          <w:marLeft w:val="0"/>
          <w:marRight w:val="0"/>
          <w:marTop w:val="0"/>
          <w:marBottom w:val="0"/>
          <w:divBdr>
            <w:top w:val="none" w:sz="0" w:space="0" w:color="auto"/>
            <w:left w:val="none" w:sz="0" w:space="0" w:color="auto"/>
            <w:bottom w:val="none" w:sz="0" w:space="0" w:color="auto"/>
            <w:right w:val="none" w:sz="0" w:space="0" w:color="auto"/>
          </w:divBdr>
        </w:div>
        <w:div w:id="1347831476">
          <w:marLeft w:val="0"/>
          <w:marRight w:val="0"/>
          <w:marTop w:val="0"/>
          <w:marBottom w:val="0"/>
          <w:divBdr>
            <w:top w:val="none" w:sz="0" w:space="0" w:color="auto"/>
            <w:left w:val="none" w:sz="0" w:space="0" w:color="auto"/>
            <w:bottom w:val="none" w:sz="0" w:space="0" w:color="auto"/>
            <w:right w:val="none" w:sz="0" w:space="0" w:color="auto"/>
          </w:divBdr>
        </w:div>
        <w:div w:id="1912931156">
          <w:marLeft w:val="0"/>
          <w:marRight w:val="0"/>
          <w:marTop w:val="0"/>
          <w:marBottom w:val="0"/>
          <w:divBdr>
            <w:top w:val="none" w:sz="0" w:space="0" w:color="auto"/>
            <w:left w:val="none" w:sz="0" w:space="0" w:color="auto"/>
            <w:bottom w:val="none" w:sz="0" w:space="0" w:color="auto"/>
            <w:right w:val="none" w:sz="0" w:space="0" w:color="auto"/>
          </w:divBdr>
        </w:div>
      </w:divsChild>
    </w:div>
    <w:div w:id="1085108187">
      <w:bodyDiv w:val="1"/>
      <w:marLeft w:val="0"/>
      <w:marRight w:val="0"/>
      <w:marTop w:val="0"/>
      <w:marBottom w:val="0"/>
      <w:divBdr>
        <w:top w:val="none" w:sz="0" w:space="0" w:color="auto"/>
        <w:left w:val="none" w:sz="0" w:space="0" w:color="auto"/>
        <w:bottom w:val="none" w:sz="0" w:space="0" w:color="auto"/>
        <w:right w:val="none" w:sz="0" w:space="0" w:color="auto"/>
      </w:divBdr>
    </w:div>
    <w:div w:id="1085801047">
      <w:bodyDiv w:val="1"/>
      <w:marLeft w:val="0"/>
      <w:marRight w:val="0"/>
      <w:marTop w:val="0"/>
      <w:marBottom w:val="0"/>
      <w:divBdr>
        <w:top w:val="none" w:sz="0" w:space="0" w:color="auto"/>
        <w:left w:val="none" w:sz="0" w:space="0" w:color="auto"/>
        <w:bottom w:val="none" w:sz="0" w:space="0" w:color="auto"/>
        <w:right w:val="none" w:sz="0" w:space="0" w:color="auto"/>
      </w:divBdr>
      <w:divsChild>
        <w:div w:id="2101683357">
          <w:marLeft w:val="0"/>
          <w:marRight w:val="0"/>
          <w:marTop w:val="0"/>
          <w:marBottom w:val="0"/>
          <w:divBdr>
            <w:top w:val="none" w:sz="0" w:space="0" w:color="auto"/>
            <w:left w:val="none" w:sz="0" w:space="0" w:color="auto"/>
            <w:bottom w:val="none" w:sz="0" w:space="0" w:color="auto"/>
            <w:right w:val="none" w:sz="0" w:space="0" w:color="auto"/>
          </w:divBdr>
        </w:div>
      </w:divsChild>
    </w:div>
    <w:div w:id="1096092260">
      <w:bodyDiv w:val="1"/>
      <w:marLeft w:val="0"/>
      <w:marRight w:val="0"/>
      <w:marTop w:val="0"/>
      <w:marBottom w:val="0"/>
      <w:divBdr>
        <w:top w:val="none" w:sz="0" w:space="0" w:color="auto"/>
        <w:left w:val="none" w:sz="0" w:space="0" w:color="auto"/>
        <w:bottom w:val="none" w:sz="0" w:space="0" w:color="auto"/>
        <w:right w:val="none" w:sz="0" w:space="0" w:color="auto"/>
      </w:divBdr>
    </w:div>
    <w:div w:id="1100560881">
      <w:bodyDiv w:val="1"/>
      <w:marLeft w:val="0"/>
      <w:marRight w:val="0"/>
      <w:marTop w:val="0"/>
      <w:marBottom w:val="0"/>
      <w:divBdr>
        <w:top w:val="none" w:sz="0" w:space="0" w:color="auto"/>
        <w:left w:val="none" w:sz="0" w:space="0" w:color="auto"/>
        <w:bottom w:val="none" w:sz="0" w:space="0" w:color="auto"/>
        <w:right w:val="none" w:sz="0" w:space="0" w:color="auto"/>
      </w:divBdr>
    </w:div>
    <w:div w:id="1105886168">
      <w:bodyDiv w:val="1"/>
      <w:marLeft w:val="0"/>
      <w:marRight w:val="0"/>
      <w:marTop w:val="0"/>
      <w:marBottom w:val="0"/>
      <w:divBdr>
        <w:top w:val="none" w:sz="0" w:space="0" w:color="auto"/>
        <w:left w:val="none" w:sz="0" w:space="0" w:color="auto"/>
        <w:bottom w:val="none" w:sz="0" w:space="0" w:color="auto"/>
        <w:right w:val="none" w:sz="0" w:space="0" w:color="auto"/>
      </w:divBdr>
    </w:div>
    <w:div w:id="1116369906">
      <w:bodyDiv w:val="1"/>
      <w:marLeft w:val="0"/>
      <w:marRight w:val="0"/>
      <w:marTop w:val="0"/>
      <w:marBottom w:val="0"/>
      <w:divBdr>
        <w:top w:val="none" w:sz="0" w:space="0" w:color="auto"/>
        <w:left w:val="none" w:sz="0" w:space="0" w:color="auto"/>
        <w:bottom w:val="none" w:sz="0" w:space="0" w:color="auto"/>
        <w:right w:val="none" w:sz="0" w:space="0" w:color="auto"/>
      </w:divBdr>
    </w:div>
    <w:div w:id="1135873794">
      <w:bodyDiv w:val="1"/>
      <w:marLeft w:val="0"/>
      <w:marRight w:val="0"/>
      <w:marTop w:val="0"/>
      <w:marBottom w:val="0"/>
      <w:divBdr>
        <w:top w:val="none" w:sz="0" w:space="0" w:color="auto"/>
        <w:left w:val="none" w:sz="0" w:space="0" w:color="auto"/>
        <w:bottom w:val="none" w:sz="0" w:space="0" w:color="auto"/>
        <w:right w:val="none" w:sz="0" w:space="0" w:color="auto"/>
      </w:divBdr>
    </w:div>
    <w:div w:id="1137064908">
      <w:bodyDiv w:val="1"/>
      <w:marLeft w:val="0"/>
      <w:marRight w:val="0"/>
      <w:marTop w:val="0"/>
      <w:marBottom w:val="0"/>
      <w:divBdr>
        <w:top w:val="none" w:sz="0" w:space="0" w:color="auto"/>
        <w:left w:val="none" w:sz="0" w:space="0" w:color="auto"/>
        <w:bottom w:val="none" w:sz="0" w:space="0" w:color="auto"/>
        <w:right w:val="none" w:sz="0" w:space="0" w:color="auto"/>
      </w:divBdr>
    </w:div>
    <w:div w:id="1147866298">
      <w:bodyDiv w:val="1"/>
      <w:marLeft w:val="0"/>
      <w:marRight w:val="0"/>
      <w:marTop w:val="0"/>
      <w:marBottom w:val="0"/>
      <w:divBdr>
        <w:top w:val="none" w:sz="0" w:space="0" w:color="auto"/>
        <w:left w:val="none" w:sz="0" w:space="0" w:color="auto"/>
        <w:bottom w:val="none" w:sz="0" w:space="0" w:color="auto"/>
        <w:right w:val="none" w:sz="0" w:space="0" w:color="auto"/>
      </w:divBdr>
    </w:div>
    <w:div w:id="1151486195">
      <w:bodyDiv w:val="1"/>
      <w:marLeft w:val="0"/>
      <w:marRight w:val="0"/>
      <w:marTop w:val="0"/>
      <w:marBottom w:val="0"/>
      <w:divBdr>
        <w:top w:val="none" w:sz="0" w:space="0" w:color="auto"/>
        <w:left w:val="none" w:sz="0" w:space="0" w:color="auto"/>
        <w:bottom w:val="none" w:sz="0" w:space="0" w:color="auto"/>
        <w:right w:val="none" w:sz="0" w:space="0" w:color="auto"/>
      </w:divBdr>
    </w:div>
    <w:div w:id="1152257915">
      <w:bodyDiv w:val="1"/>
      <w:marLeft w:val="0"/>
      <w:marRight w:val="0"/>
      <w:marTop w:val="0"/>
      <w:marBottom w:val="0"/>
      <w:divBdr>
        <w:top w:val="none" w:sz="0" w:space="0" w:color="auto"/>
        <w:left w:val="none" w:sz="0" w:space="0" w:color="auto"/>
        <w:bottom w:val="none" w:sz="0" w:space="0" w:color="auto"/>
        <w:right w:val="none" w:sz="0" w:space="0" w:color="auto"/>
      </w:divBdr>
      <w:divsChild>
        <w:div w:id="541791902">
          <w:marLeft w:val="0"/>
          <w:marRight w:val="0"/>
          <w:marTop w:val="0"/>
          <w:marBottom w:val="0"/>
          <w:divBdr>
            <w:top w:val="none" w:sz="0" w:space="0" w:color="auto"/>
            <w:left w:val="none" w:sz="0" w:space="0" w:color="auto"/>
            <w:bottom w:val="none" w:sz="0" w:space="0" w:color="auto"/>
            <w:right w:val="none" w:sz="0" w:space="0" w:color="auto"/>
          </w:divBdr>
          <w:divsChild>
            <w:div w:id="650717124">
              <w:marLeft w:val="0"/>
              <w:marRight w:val="0"/>
              <w:marTop w:val="0"/>
              <w:marBottom w:val="0"/>
              <w:divBdr>
                <w:top w:val="none" w:sz="0" w:space="0" w:color="auto"/>
                <w:left w:val="none" w:sz="0" w:space="0" w:color="auto"/>
                <w:bottom w:val="none" w:sz="0" w:space="0" w:color="auto"/>
                <w:right w:val="none" w:sz="0" w:space="0" w:color="auto"/>
              </w:divBdr>
            </w:div>
            <w:div w:id="1286427471">
              <w:marLeft w:val="0"/>
              <w:marRight w:val="0"/>
              <w:marTop w:val="0"/>
              <w:marBottom w:val="0"/>
              <w:divBdr>
                <w:top w:val="none" w:sz="0" w:space="0" w:color="auto"/>
                <w:left w:val="none" w:sz="0" w:space="0" w:color="auto"/>
                <w:bottom w:val="none" w:sz="0" w:space="0" w:color="auto"/>
                <w:right w:val="none" w:sz="0" w:space="0" w:color="auto"/>
              </w:divBdr>
            </w:div>
          </w:divsChild>
        </w:div>
        <w:div w:id="1303923442">
          <w:marLeft w:val="0"/>
          <w:marRight w:val="0"/>
          <w:marTop w:val="0"/>
          <w:marBottom w:val="0"/>
          <w:divBdr>
            <w:top w:val="none" w:sz="0" w:space="0" w:color="auto"/>
            <w:left w:val="none" w:sz="0" w:space="0" w:color="auto"/>
            <w:bottom w:val="none" w:sz="0" w:space="0" w:color="auto"/>
            <w:right w:val="none" w:sz="0" w:space="0" w:color="auto"/>
          </w:divBdr>
          <w:divsChild>
            <w:div w:id="102413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3820">
      <w:bodyDiv w:val="1"/>
      <w:marLeft w:val="0"/>
      <w:marRight w:val="0"/>
      <w:marTop w:val="0"/>
      <w:marBottom w:val="0"/>
      <w:divBdr>
        <w:top w:val="none" w:sz="0" w:space="0" w:color="auto"/>
        <w:left w:val="none" w:sz="0" w:space="0" w:color="auto"/>
        <w:bottom w:val="none" w:sz="0" w:space="0" w:color="auto"/>
        <w:right w:val="none" w:sz="0" w:space="0" w:color="auto"/>
      </w:divBdr>
      <w:divsChild>
        <w:div w:id="595526357">
          <w:marLeft w:val="0"/>
          <w:marRight w:val="0"/>
          <w:marTop w:val="0"/>
          <w:marBottom w:val="0"/>
          <w:divBdr>
            <w:top w:val="none" w:sz="0" w:space="0" w:color="auto"/>
            <w:left w:val="none" w:sz="0" w:space="0" w:color="auto"/>
            <w:bottom w:val="none" w:sz="0" w:space="0" w:color="auto"/>
            <w:right w:val="none" w:sz="0" w:space="0" w:color="auto"/>
          </w:divBdr>
        </w:div>
        <w:div w:id="794565115">
          <w:marLeft w:val="0"/>
          <w:marRight w:val="0"/>
          <w:marTop w:val="0"/>
          <w:marBottom w:val="0"/>
          <w:divBdr>
            <w:top w:val="none" w:sz="0" w:space="0" w:color="auto"/>
            <w:left w:val="none" w:sz="0" w:space="0" w:color="auto"/>
            <w:bottom w:val="none" w:sz="0" w:space="0" w:color="auto"/>
            <w:right w:val="none" w:sz="0" w:space="0" w:color="auto"/>
          </w:divBdr>
        </w:div>
      </w:divsChild>
    </w:div>
    <w:div w:id="1157840137">
      <w:bodyDiv w:val="1"/>
      <w:marLeft w:val="0"/>
      <w:marRight w:val="0"/>
      <w:marTop w:val="0"/>
      <w:marBottom w:val="0"/>
      <w:divBdr>
        <w:top w:val="none" w:sz="0" w:space="0" w:color="auto"/>
        <w:left w:val="none" w:sz="0" w:space="0" w:color="auto"/>
        <w:bottom w:val="none" w:sz="0" w:space="0" w:color="auto"/>
        <w:right w:val="none" w:sz="0" w:space="0" w:color="auto"/>
      </w:divBdr>
    </w:div>
    <w:div w:id="1164858742">
      <w:bodyDiv w:val="1"/>
      <w:marLeft w:val="0"/>
      <w:marRight w:val="0"/>
      <w:marTop w:val="0"/>
      <w:marBottom w:val="0"/>
      <w:divBdr>
        <w:top w:val="none" w:sz="0" w:space="0" w:color="auto"/>
        <w:left w:val="none" w:sz="0" w:space="0" w:color="auto"/>
        <w:bottom w:val="none" w:sz="0" w:space="0" w:color="auto"/>
        <w:right w:val="none" w:sz="0" w:space="0" w:color="auto"/>
      </w:divBdr>
      <w:divsChild>
        <w:div w:id="744182475">
          <w:marLeft w:val="0"/>
          <w:marRight w:val="0"/>
          <w:marTop w:val="0"/>
          <w:marBottom w:val="0"/>
          <w:divBdr>
            <w:top w:val="none" w:sz="0" w:space="0" w:color="auto"/>
            <w:left w:val="none" w:sz="0" w:space="0" w:color="auto"/>
            <w:bottom w:val="none" w:sz="0" w:space="0" w:color="auto"/>
            <w:right w:val="none" w:sz="0" w:space="0" w:color="auto"/>
          </w:divBdr>
        </w:div>
        <w:div w:id="1462308771">
          <w:marLeft w:val="0"/>
          <w:marRight w:val="0"/>
          <w:marTop w:val="0"/>
          <w:marBottom w:val="0"/>
          <w:divBdr>
            <w:top w:val="none" w:sz="0" w:space="0" w:color="auto"/>
            <w:left w:val="none" w:sz="0" w:space="0" w:color="auto"/>
            <w:bottom w:val="none" w:sz="0" w:space="0" w:color="auto"/>
            <w:right w:val="none" w:sz="0" w:space="0" w:color="auto"/>
          </w:divBdr>
        </w:div>
        <w:div w:id="1844974515">
          <w:marLeft w:val="0"/>
          <w:marRight w:val="0"/>
          <w:marTop w:val="0"/>
          <w:marBottom w:val="0"/>
          <w:divBdr>
            <w:top w:val="none" w:sz="0" w:space="0" w:color="auto"/>
            <w:left w:val="none" w:sz="0" w:space="0" w:color="auto"/>
            <w:bottom w:val="none" w:sz="0" w:space="0" w:color="auto"/>
            <w:right w:val="none" w:sz="0" w:space="0" w:color="auto"/>
          </w:divBdr>
        </w:div>
        <w:div w:id="2091586275">
          <w:marLeft w:val="0"/>
          <w:marRight w:val="0"/>
          <w:marTop w:val="0"/>
          <w:marBottom w:val="0"/>
          <w:divBdr>
            <w:top w:val="none" w:sz="0" w:space="0" w:color="auto"/>
            <w:left w:val="none" w:sz="0" w:space="0" w:color="auto"/>
            <w:bottom w:val="none" w:sz="0" w:space="0" w:color="auto"/>
            <w:right w:val="none" w:sz="0" w:space="0" w:color="auto"/>
          </w:divBdr>
        </w:div>
      </w:divsChild>
    </w:div>
    <w:div w:id="1193036199">
      <w:bodyDiv w:val="1"/>
      <w:marLeft w:val="0"/>
      <w:marRight w:val="0"/>
      <w:marTop w:val="0"/>
      <w:marBottom w:val="0"/>
      <w:divBdr>
        <w:top w:val="none" w:sz="0" w:space="0" w:color="auto"/>
        <w:left w:val="none" w:sz="0" w:space="0" w:color="auto"/>
        <w:bottom w:val="none" w:sz="0" w:space="0" w:color="auto"/>
        <w:right w:val="none" w:sz="0" w:space="0" w:color="auto"/>
      </w:divBdr>
    </w:div>
    <w:div w:id="1197037680">
      <w:bodyDiv w:val="1"/>
      <w:marLeft w:val="0"/>
      <w:marRight w:val="0"/>
      <w:marTop w:val="0"/>
      <w:marBottom w:val="0"/>
      <w:divBdr>
        <w:top w:val="none" w:sz="0" w:space="0" w:color="auto"/>
        <w:left w:val="none" w:sz="0" w:space="0" w:color="auto"/>
        <w:bottom w:val="none" w:sz="0" w:space="0" w:color="auto"/>
        <w:right w:val="none" w:sz="0" w:space="0" w:color="auto"/>
      </w:divBdr>
    </w:div>
    <w:div w:id="1213884806">
      <w:bodyDiv w:val="1"/>
      <w:marLeft w:val="0"/>
      <w:marRight w:val="0"/>
      <w:marTop w:val="0"/>
      <w:marBottom w:val="0"/>
      <w:divBdr>
        <w:top w:val="none" w:sz="0" w:space="0" w:color="auto"/>
        <w:left w:val="none" w:sz="0" w:space="0" w:color="auto"/>
        <w:bottom w:val="none" w:sz="0" w:space="0" w:color="auto"/>
        <w:right w:val="none" w:sz="0" w:space="0" w:color="auto"/>
      </w:divBdr>
    </w:div>
    <w:div w:id="1217159130">
      <w:bodyDiv w:val="1"/>
      <w:marLeft w:val="0"/>
      <w:marRight w:val="0"/>
      <w:marTop w:val="0"/>
      <w:marBottom w:val="0"/>
      <w:divBdr>
        <w:top w:val="none" w:sz="0" w:space="0" w:color="auto"/>
        <w:left w:val="none" w:sz="0" w:space="0" w:color="auto"/>
        <w:bottom w:val="none" w:sz="0" w:space="0" w:color="auto"/>
        <w:right w:val="none" w:sz="0" w:space="0" w:color="auto"/>
      </w:divBdr>
    </w:div>
    <w:div w:id="1222670304">
      <w:bodyDiv w:val="1"/>
      <w:marLeft w:val="0"/>
      <w:marRight w:val="0"/>
      <w:marTop w:val="0"/>
      <w:marBottom w:val="0"/>
      <w:divBdr>
        <w:top w:val="none" w:sz="0" w:space="0" w:color="auto"/>
        <w:left w:val="none" w:sz="0" w:space="0" w:color="auto"/>
        <w:bottom w:val="none" w:sz="0" w:space="0" w:color="auto"/>
        <w:right w:val="none" w:sz="0" w:space="0" w:color="auto"/>
      </w:divBdr>
    </w:div>
    <w:div w:id="1227452715">
      <w:bodyDiv w:val="1"/>
      <w:marLeft w:val="0"/>
      <w:marRight w:val="0"/>
      <w:marTop w:val="0"/>
      <w:marBottom w:val="0"/>
      <w:divBdr>
        <w:top w:val="none" w:sz="0" w:space="0" w:color="auto"/>
        <w:left w:val="none" w:sz="0" w:space="0" w:color="auto"/>
        <w:bottom w:val="none" w:sz="0" w:space="0" w:color="auto"/>
        <w:right w:val="none" w:sz="0" w:space="0" w:color="auto"/>
      </w:divBdr>
    </w:div>
    <w:div w:id="1228759859">
      <w:bodyDiv w:val="1"/>
      <w:marLeft w:val="0"/>
      <w:marRight w:val="0"/>
      <w:marTop w:val="0"/>
      <w:marBottom w:val="0"/>
      <w:divBdr>
        <w:top w:val="none" w:sz="0" w:space="0" w:color="auto"/>
        <w:left w:val="none" w:sz="0" w:space="0" w:color="auto"/>
        <w:bottom w:val="none" w:sz="0" w:space="0" w:color="auto"/>
        <w:right w:val="none" w:sz="0" w:space="0" w:color="auto"/>
      </w:divBdr>
    </w:div>
    <w:div w:id="1249387139">
      <w:bodyDiv w:val="1"/>
      <w:marLeft w:val="0"/>
      <w:marRight w:val="0"/>
      <w:marTop w:val="0"/>
      <w:marBottom w:val="0"/>
      <w:divBdr>
        <w:top w:val="none" w:sz="0" w:space="0" w:color="auto"/>
        <w:left w:val="none" w:sz="0" w:space="0" w:color="auto"/>
        <w:bottom w:val="none" w:sz="0" w:space="0" w:color="auto"/>
        <w:right w:val="none" w:sz="0" w:space="0" w:color="auto"/>
      </w:divBdr>
    </w:div>
    <w:div w:id="1273898074">
      <w:bodyDiv w:val="1"/>
      <w:marLeft w:val="0"/>
      <w:marRight w:val="0"/>
      <w:marTop w:val="0"/>
      <w:marBottom w:val="0"/>
      <w:divBdr>
        <w:top w:val="none" w:sz="0" w:space="0" w:color="auto"/>
        <w:left w:val="none" w:sz="0" w:space="0" w:color="auto"/>
        <w:bottom w:val="none" w:sz="0" w:space="0" w:color="auto"/>
        <w:right w:val="none" w:sz="0" w:space="0" w:color="auto"/>
      </w:divBdr>
    </w:div>
    <w:div w:id="1278021077">
      <w:bodyDiv w:val="1"/>
      <w:marLeft w:val="0"/>
      <w:marRight w:val="0"/>
      <w:marTop w:val="0"/>
      <w:marBottom w:val="0"/>
      <w:divBdr>
        <w:top w:val="none" w:sz="0" w:space="0" w:color="auto"/>
        <w:left w:val="none" w:sz="0" w:space="0" w:color="auto"/>
        <w:bottom w:val="none" w:sz="0" w:space="0" w:color="auto"/>
        <w:right w:val="none" w:sz="0" w:space="0" w:color="auto"/>
      </w:divBdr>
    </w:div>
    <w:div w:id="1279414719">
      <w:bodyDiv w:val="1"/>
      <w:marLeft w:val="0"/>
      <w:marRight w:val="0"/>
      <w:marTop w:val="0"/>
      <w:marBottom w:val="0"/>
      <w:divBdr>
        <w:top w:val="none" w:sz="0" w:space="0" w:color="auto"/>
        <w:left w:val="none" w:sz="0" w:space="0" w:color="auto"/>
        <w:bottom w:val="none" w:sz="0" w:space="0" w:color="auto"/>
        <w:right w:val="none" w:sz="0" w:space="0" w:color="auto"/>
      </w:divBdr>
    </w:div>
    <w:div w:id="1283733280">
      <w:bodyDiv w:val="1"/>
      <w:marLeft w:val="0"/>
      <w:marRight w:val="0"/>
      <w:marTop w:val="0"/>
      <w:marBottom w:val="0"/>
      <w:divBdr>
        <w:top w:val="none" w:sz="0" w:space="0" w:color="auto"/>
        <w:left w:val="none" w:sz="0" w:space="0" w:color="auto"/>
        <w:bottom w:val="none" w:sz="0" w:space="0" w:color="auto"/>
        <w:right w:val="none" w:sz="0" w:space="0" w:color="auto"/>
      </w:divBdr>
    </w:div>
    <w:div w:id="1287389776">
      <w:bodyDiv w:val="1"/>
      <w:marLeft w:val="0"/>
      <w:marRight w:val="0"/>
      <w:marTop w:val="0"/>
      <w:marBottom w:val="0"/>
      <w:divBdr>
        <w:top w:val="none" w:sz="0" w:space="0" w:color="auto"/>
        <w:left w:val="none" w:sz="0" w:space="0" w:color="auto"/>
        <w:bottom w:val="none" w:sz="0" w:space="0" w:color="auto"/>
        <w:right w:val="none" w:sz="0" w:space="0" w:color="auto"/>
      </w:divBdr>
    </w:div>
    <w:div w:id="1327050823">
      <w:bodyDiv w:val="1"/>
      <w:marLeft w:val="0"/>
      <w:marRight w:val="0"/>
      <w:marTop w:val="0"/>
      <w:marBottom w:val="0"/>
      <w:divBdr>
        <w:top w:val="none" w:sz="0" w:space="0" w:color="auto"/>
        <w:left w:val="none" w:sz="0" w:space="0" w:color="auto"/>
        <w:bottom w:val="none" w:sz="0" w:space="0" w:color="auto"/>
        <w:right w:val="none" w:sz="0" w:space="0" w:color="auto"/>
      </w:divBdr>
      <w:divsChild>
        <w:div w:id="1163665902">
          <w:marLeft w:val="0"/>
          <w:marRight w:val="0"/>
          <w:marTop w:val="0"/>
          <w:marBottom w:val="0"/>
          <w:divBdr>
            <w:top w:val="none" w:sz="0" w:space="0" w:color="auto"/>
            <w:left w:val="none" w:sz="0" w:space="0" w:color="auto"/>
            <w:bottom w:val="none" w:sz="0" w:space="0" w:color="auto"/>
            <w:right w:val="none" w:sz="0" w:space="0" w:color="auto"/>
          </w:divBdr>
          <w:divsChild>
            <w:div w:id="144233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491">
      <w:bodyDiv w:val="1"/>
      <w:marLeft w:val="0"/>
      <w:marRight w:val="0"/>
      <w:marTop w:val="0"/>
      <w:marBottom w:val="0"/>
      <w:divBdr>
        <w:top w:val="none" w:sz="0" w:space="0" w:color="auto"/>
        <w:left w:val="none" w:sz="0" w:space="0" w:color="auto"/>
        <w:bottom w:val="none" w:sz="0" w:space="0" w:color="auto"/>
        <w:right w:val="none" w:sz="0" w:space="0" w:color="auto"/>
      </w:divBdr>
    </w:div>
    <w:div w:id="1333869443">
      <w:bodyDiv w:val="1"/>
      <w:marLeft w:val="0"/>
      <w:marRight w:val="0"/>
      <w:marTop w:val="0"/>
      <w:marBottom w:val="0"/>
      <w:divBdr>
        <w:top w:val="none" w:sz="0" w:space="0" w:color="auto"/>
        <w:left w:val="none" w:sz="0" w:space="0" w:color="auto"/>
        <w:bottom w:val="none" w:sz="0" w:space="0" w:color="auto"/>
        <w:right w:val="none" w:sz="0" w:space="0" w:color="auto"/>
      </w:divBdr>
      <w:divsChild>
        <w:div w:id="240408827">
          <w:marLeft w:val="0"/>
          <w:marRight w:val="0"/>
          <w:marTop w:val="0"/>
          <w:marBottom w:val="0"/>
          <w:divBdr>
            <w:top w:val="none" w:sz="0" w:space="0" w:color="auto"/>
            <w:left w:val="none" w:sz="0" w:space="0" w:color="auto"/>
            <w:bottom w:val="none" w:sz="0" w:space="0" w:color="auto"/>
            <w:right w:val="none" w:sz="0" w:space="0" w:color="auto"/>
          </w:divBdr>
        </w:div>
        <w:div w:id="579145528">
          <w:marLeft w:val="0"/>
          <w:marRight w:val="0"/>
          <w:marTop w:val="0"/>
          <w:marBottom w:val="0"/>
          <w:divBdr>
            <w:top w:val="none" w:sz="0" w:space="0" w:color="auto"/>
            <w:left w:val="none" w:sz="0" w:space="0" w:color="auto"/>
            <w:bottom w:val="none" w:sz="0" w:space="0" w:color="auto"/>
            <w:right w:val="none" w:sz="0" w:space="0" w:color="auto"/>
          </w:divBdr>
        </w:div>
        <w:div w:id="749542720">
          <w:marLeft w:val="0"/>
          <w:marRight w:val="0"/>
          <w:marTop w:val="0"/>
          <w:marBottom w:val="0"/>
          <w:divBdr>
            <w:top w:val="none" w:sz="0" w:space="0" w:color="auto"/>
            <w:left w:val="none" w:sz="0" w:space="0" w:color="auto"/>
            <w:bottom w:val="none" w:sz="0" w:space="0" w:color="auto"/>
            <w:right w:val="none" w:sz="0" w:space="0" w:color="auto"/>
          </w:divBdr>
        </w:div>
        <w:div w:id="1211843419">
          <w:marLeft w:val="0"/>
          <w:marRight w:val="0"/>
          <w:marTop w:val="0"/>
          <w:marBottom w:val="0"/>
          <w:divBdr>
            <w:top w:val="none" w:sz="0" w:space="0" w:color="auto"/>
            <w:left w:val="none" w:sz="0" w:space="0" w:color="auto"/>
            <w:bottom w:val="none" w:sz="0" w:space="0" w:color="auto"/>
            <w:right w:val="none" w:sz="0" w:space="0" w:color="auto"/>
          </w:divBdr>
        </w:div>
        <w:div w:id="1270578153">
          <w:marLeft w:val="0"/>
          <w:marRight w:val="0"/>
          <w:marTop w:val="0"/>
          <w:marBottom w:val="0"/>
          <w:divBdr>
            <w:top w:val="none" w:sz="0" w:space="0" w:color="auto"/>
            <w:left w:val="none" w:sz="0" w:space="0" w:color="auto"/>
            <w:bottom w:val="none" w:sz="0" w:space="0" w:color="auto"/>
            <w:right w:val="none" w:sz="0" w:space="0" w:color="auto"/>
          </w:divBdr>
        </w:div>
        <w:div w:id="1664505263">
          <w:marLeft w:val="0"/>
          <w:marRight w:val="0"/>
          <w:marTop w:val="0"/>
          <w:marBottom w:val="0"/>
          <w:divBdr>
            <w:top w:val="none" w:sz="0" w:space="0" w:color="auto"/>
            <w:left w:val="none" w:sz="0" w:space="0" w:color="auto"/>
            <w:bottom w:val="none" w:sz="0" w:space="0" w:color="auto"/>
            <w:right w:val="none" w:sz="0" w:space="0" w:color="auto"/>
          </w:divBdr>
        </w:div>
      </w:divsChild>
    </w:div>
    <w:div w:id="1337612603">
      <w:bodyDiv w:val="1"/>
      <w:marLeft w:val="0"/>
      <w:marRight w:val="0"/>
      <w:marTop w:val="0"/>
      <w:marBottom w:val="0"/>
      <w:divBdr>
        <w:top w:val="none" w:sz="0" w:space="0" w:color="auto"/>
        <w:left w:val="none" w:sz="0" w:space="0" w:color="auto"/>
        <w:bottom w:val="none" w:sz="0" w:space="0" w:color="auto"/>
        <w:right w:val="none" w:sz="0" w:space="0" w:color="auto"/>
      </w:divBdr>
    </w:div>
    <w:div w:id="1361202404">
      <w:bodyDiv w:val="1"/>
      <w:marLeft w:val="0"/>
      <w:marRight w:val="0"/>
      <w:marTop w:val="0"/>
      <w:marBottom w:val="0"/>
      <w:divBdr>
        <w:top w:val="none" w:sz="0" w:space="0" w:color="auto"/>
        <w:left w:val="none" w:sz="0" w:space="0" w:color="auto"/>
        <w:bottom w:val="none" w:sz="0" w:space="0" w:color="auto"/>
        <w:right w:val="none" w:sz="0" w:space="0" w:color="auto"/>
      </w:divBdr>
    </w:div>
    <w:div w:id="1361665679">
      <w:bodyDiv w:val="1"/>
      <w:marLeft w:val="0"/>
      <w:marRight w:val="0"/>
      <w:marTop w:val="0"/>
      <w:marBottom w:val="0"/>
      <w:divBdr>
        <w:top w:val="none" w:sz="0" w:space="0" w:color="auto"/>
        <w:left w:val="none" w:sz="0" w:space="0" w:color="auto"/>
        <w:bottom w:val="none" w:sz="0" w:space="0" w:color="auto"/>
        <w:right w:val="none" w:sz="0" w:space="0" w:color="auto"/>
      </w:divBdr>
    </w:div>
    <w:div w:id="1375346923">
      <w:bodyDiv w:val="1"/>
      <w:marLeft w:val="0"/>
      <w:marRight w:val="0"/>
      <w:marTop w:val="0"/>
      <w:marBottom w:val="0"/>
      <w:divBdr>
        <w:top w:val="none" w:sz="0" w:space="0" w:color="auto"/>
        <w:left w:val="none" w:sz="0" w:space="0" w:color="auto"/>
        <w:bottom w:val="none" w:sz="0" w:space="0" w:color="auto"/>
        <w:right w:val="none" w:sz="0" w:space="0" w:color="auto"/>
      </w:divBdr>
    </w:div>
    <w:div w:id="1382630623">
      <w:bodyDiv w:val="1"/>
      <w:marLeft w:val="0"/>
      <w:marRight w:val="0"/>
      <w:marTop w:val="0"/>
      <w:marBottom w:val="0"/>
      <w:divBdr>
        <w:top w:val="none" w:sz="0" w:space="0" w:color="auto"/>
        <w:left w:val="none" w:sz="0" w:space="0" w:color="auto"/>
        <w:bottom w:val="none" w:sz="0" w:space="0" w:color="auto"/>
        <w:right w:val="none" w:sz="0" w:space="0" w:color="auto"/>
      </w:divBdr>
    </w:div>
    <w:div w:id="1386248215">
      <w:bodyDiv w:val="1"/>
      <w:marLeft w:val="0"/>
      <w:marRight w:val="0"/>
      <w:marTop w:val="0"/>
      <w:marBottom w:val="0"/>
      <w:divBdr>
        <w:top w:val="none" w:sz="0" w:space="0" w:color="auto"/>
        <w:left w:val="none" w:sz="0" w:space="0" w:color="auto"/>
        <w:bottom w:val="none" w:sz="0" w:space="0" w:color="auto"/>
        <w:right w:val="none" w:sz="0" w:space="0" w:color="auto"/>
      </w:divBdr>
    </w:div>
    <w:div w:id="1387794801">
      <w:bodyDiv w:val="1"/>
      <w:marLeft w:val="0"/>
      <w:marRight w:val="0"/>
      <w:marTop w:val="0"/>
      <w:marBottom w:val="0"/>
      <w:divBdr>
        <w:top w:val="none" w:sz="0" w:space="0" w:color="auto"/>
        <w:left w:val="none" w:sz="0" w:space="0" w:color="auto"/>
        <w:bottom w:val="none" w:sz="0" w:space="0" w:color="auto"/>
        <w:right w:val="none" w:sz="0" w:space="0" w:color="auto"/>
      </w:divBdr>
    </w:div>
    <w:div w:id="1390570813">
      <w:bodyDiv w:val="1"/>
      <w:marLeft w:val="0"/>
      <w:marRight w:val="0"/>
      <w:marTop w:val="0"/>
      <w:marBottom w:val="0"/>
      <w:divBdr>
        <w:top w:val="none" w:sz="0" w:space="0" w:color="auto"/>
        <w:left w:val="none" w:sz="0" w:space="0" w:color="auto"/>
        <w:bottom w:val="none" w:sz="0" w:space="0" w:color="auto"/>
        <w:right w:val="none" w:sz="0" w:space="0" w:color="auto"/>
      </w:divBdr>
    </w:div>
    <w:div w:id="1400396957">
      <w:bodyDiv w:val="1"/>
      <w:marLeft w:val="0"/>
      <w:marRight w:val="0"/>
      <w:marTop w:val="0"/>
      <w:marBottom w:val="0"/>
      <w:divBdr>
        <w:top w:val="none" w:sz="0" w:space="0" w:color="auto"/>
        <w:left w:val="none" w:sz="0" w:space="0" w:color="auto"/>
        <w:bottom w:val="none" w:sz="0" w:space="0" w:color="auto"/>
        <w:right w:val="none" w:sz="0" w:space="0" w:color="auto"/>
      </w:divBdr>
    </w:div>
    <w:div w:id="1406993758">
      <w:bodyDiv w:val="1"/>
      <w:marLeft w:val="0"/>
      <w:marRight w:val="0"/>
      <w:marTop w:val="0"/>
      <w:marBottom w:val="0"/>
      <w:divBdr>
        <w:top w:val="none" w:sz="0" w:space="0" w:color="auto"/>
        <w:left w:val="none" w:sz="0" w:space="0" w:color="auto"/>
        <w:bottom w:val="none" w:sz="0" w:space="0" w:color="auto"/>
        <w:right w:val="none" w:sz="0" w:space="0" w:color="auto"/>
      </w:divBdr>
    </w:div>
    <w:div w:id="1423994111">
      <w:bodyDiv w:val="1"/>
      <w:marLeft w:val="0"/>
      <w:marRight w:val="0"/>
      <w:marTop w:val="0"/>
      <w:marBottom w:val="0"/>
      <w:divBdr>
        <w:top w:val="none" w:sz="0" w:space="0" w:color="auto"/>
        <w:left w:val="none" w:sz="0" w:space="0" w:color="auto"/>
        <w:bottom w:val="none" w:sz="0" w:space="0" w:color="auto"/>
        <w:right w:val="none" w:sz="0" w:space="0" w:color="auto"/>
      </w:divBdr>
      <w:divsChild>
        <w:div w:id="195778371">
          <w:marLeft w:val="0"/>
          <w:marRight w:val="0"/>
          <w:marTop w:val="0"/>
          <w:marBottom w:val="0"/>
          <w:divBdr>
            <w:top w:val="none" w:sz="0" w:space="0" w:color="auto"/>
            <w:left w:val="none" w:sz="0" w:space="0" w:color="auto"/>
            <w:bottom w:val="none" w:sz="0" w:space="0" w:color="auto"/>
            <w:right w:val="none" w:sz="0" w:space="0" w:color="auto"/>
          </w:divBdr>
        </w:div>
        <w:div w:id="1723796414">
          <w:marLeft w:val="0"/>
          <w:marRight w:val="0"/>
          <w:marTop w:val="0"/>
          <w:marBottom w:val="0"/>
          <w:divBdr>
            <w:top w:val="none" w:sz="0" w:space="0" w:color="auto"/>
            <w:left w:val="none" w:sz="0" w:space="0" w:color="auto"/>
            <w:bottom w:val="none" w:sz="0" w:space="0" w:color="auto"/>
            <w:right w:val="none" w:sz="0" w:space="0" w:color="auto"/>
          </w:divBdr>
        </w:div>
        <w:div w:id="2076852175">
          <w:marLeft w:val="0"/>
          <w:marRight w:val="0"/>
          <w:marTop w:val="0"/>
          <w:marBottom w:val="0"/>
          <w:divBdr>
            <w:top w:val="none" w:sz="0" w:space="0" w:color="auto"/>
            <w:left w:val="none" w:sz="0" w:space="0" w:color="auto"/>
            <w:bottom w:val="none" w:sz="0" w:space="0" w:color="auto"/>
            <w:right w:val="none" w:sz="0" w:space="0" w:color="auto"/>
          </w:divBdr>
        </w:div>
      </w:divsChild>
    </w:div>
    <w:div w:id="1430271098">
      <w:bodyDiv w:val="1"/>
      <w:marLeft w:val="0"/>
      <w:marRight w:val="0"/>
      <w:marTop w:val="0"/>
      <w:marBottom w:val="0"/>
      <w:divBdr>
        <w:top w:val="none" w:sz="0" w:space="0" w:color="auto"/>
        <w:left w:val="none" w:sz="0" w:space="0" w:color="auto"/>
        <w:bottom w:val="none" w:sz="0" w:space="0" w:color="auto"/>
        <w:right w:val="none" w:sz="0" w:space="0" w:color="auto"/>
      </w:divBdr>
    </w:div>
    <w:div w:id="1434084798">
      <w:bodyDiv w:val="1"/>
      <w:marLeft w:val="0"/>
      <w:marRight w:val="0"/>
      <w:marTop w:val="0"/>
      <w:marBottom w:val="0"/>
      <w:divBdr>
        <w:top w:val="none" w:sz="0" w:space="0" w:color="auto"/>
        <w:left w:val="none" w:sz="0" w:space="0" w:color="auto"/>
        <w:bottom w:val="none" w:sz="0" w:space="0" w:color="auto"/>
        <w:right w:val="none" w:sz="0" w:space="0" w:color="auto"/>
      </w:divBdr>
    </w:div>
    <w:div w:id="1438796198">
      <w:bodyDiv w:val="1"/>
      <w:marLeft w:val="0"/>
      <w:marRight w:val="0"/>
      <w:marTop w:val="0"/>
      <w:marBottom w:val="0"/>
      <w:divBdr>
        <w:top w:val="none" w:sz="0" w:space="0" w:color="auto"/>
        <w:left w:val="none" w:sz="0" w:space="0" w:color="auto"/>
        <w:bottom w:val="none" w:sz="0" w:space="0" w:color="auto"/>
        <w:right w:val="none" w:sz="0" w:space="0" w:color="auto"/>
      </w:divBdr>
    </w:div>
    <w:div w:id="1442527998">
      <w:bodyDiv w:val="1"/>
      <w:marLeft w:val="0"/>
      <w:marRight w:val="0"/>
      <w:marTop w:val="0"/>
      <w:marBottom w:val="0"/>
      <w:divBdr>
        <w:top w:val="none" w:sz="0" w:space="0" w:color="auto"/>
        <w:left w:val="none" w:sz="0" w:space="0" w:color="auto"/>
        <w:bottom w:val="none" w:sz="0" w:space="0" w:color="auto"/>
        <w:right w:val="none" w:sz="0" w:space="0" w:color="auto"/>
      </w:divBdr>
      <w:divsChild>
        <w:div w:id="218633446">
          <w:marLeft w:val="0"/>
          <w:marRight w:val="0"/>
          <w:marTop w:val="0"/>
          <w:marBottom w:val="0"/>
          <w:divBdr>
            <w:top w:val="none" w:sz="0" w:space="0" w:color="auto"/>
            <w:left w:val="none" w:sz="0" w:space="0" w:color="auto"/>
            <w:bottom w:val="none" w:sz="0" w:space="0" w:color="auto"/>
            <w:right w:val="none" w:sz="0" w:space="0" w:color="auto"/>
          </w:divBdr>
        </w:div>
        <w:div w:id="844398512">
          <w:marLeft w:val="0"/>
          <w:marRight w:val="0"/>
          <w:marTop w:val="0"/>
          <w:marBottom w:val="0"/>
          <w:divBdr>
            <w:top w:val="none" w:sz="0" w:space="0" w:color="auto"/>
            <w:left w:val="none" w:sz="0" w:space="0" w:color="auto"/>
            <w:bottom w:val="none" w:sz="0" w:space="0" w:color="auto"/>
            <w:right w:val="none" w:sz="0" w:space="0" w:color="auto"/>
          </w:divBdr>
        </w:div>
        <w:div w:id="986545907">
          <w:marLeft w:val="0"/>
          <w:marRight w:val="0"/>
          <w:marTop w:val="0"/>
          <w:marBottom w:val="0"/>
          <w:divBdr>
            <w:top w:val="none" w:sz="0" w:space="0" w:color="auto"/>
            <w:left w:val="none" w:sz="0" w:space="0" w:color="auto"/>
            <w:bottom w:val="none" w:sz="0" w:space="0" w:color="auto"/>
            <w:right w:val="none" w:sz="0" w:space="0" w:color="auto"/>
          </w:divBdr>
        </w:div>
        <w:div w:id="1121803763">
          <w:marLeft w:val="0"/>
          <w:marRight w:val="0"/>
          <w:marTop w:val="0"/>
          <w:marBottom w:val="0"/>
          <w:divBdr>
            <w:top w:val="none" w:sz="0" w:space="0" w:color="auto"/>
            <w:left w:val="none" w:sz="0" w:space="0" w:color="auto"/>
            <w:bottom w:val="none" w:sz="0" w:space="0" w:color="auto"/>
            <w:right w:val="none" w:sz="0" w:space="0" w:color="auto"/>
          </w:divBdr>
        </w:div>
        <w:div w:id="1404600208">
          <w:marLeft w:val="0"/>
          <w:marRight w:val="0"/>
          <w:marTop w:val="0"/>
          <w:marBottom w:val="0"/>
          <w:divBdr>
            <w:top w:val="none" w:sz="0" w:space="0" w:color="auto"/>
            <w:left w:val="none" w:sz="0" w:space="0" w:color="auto"/>
            <w:bottom w:val="none" w:sz="0" w:space="0" w:color="auto"/>
            <w:right w:val="none" w:sz="0" w:space="0" w:color="auto"/>
          </w:divBdr>
        </w:div>
        <w:div w:id="1417358014">
          <w:marLeft w:val="0"/>
          <w:marRight w:val="0"/>
          <w:marTop w:val="0"/>
          <w:marBottom w:val="0"/>
          <w:divBdr>
            <w:top w:val="none" w:sz="0" w:space="0" w:color="auto"/>
            <w:left w:val="none" w:sz="0" w:space="0" w:color="auto"/>
            <w:bottom w:val="none" w:sz="0" w:space="0" w:color="auto"/>
            <w:right w:val="none" w:sz="0" w:space="0" w:color="auto"/>
          </w:divBdr>
        </w:div>
        <w:div w:id="1706059186">
          <w:marLeft w:val="0"/>
          <w:marRight w:val="0"/>
          <w:marTop w:val="0"/>
          <w:marBottom w:val="0"/>
          <w:divBdr>
            <w:top w:val="none" w:sz="0" w:space="0" w:color="auto"/>
            <w:left w:val="none" w:sz="0" w:space="0" w:color="auto"/>
            <w:bottom w:val="none" w:sz="0" w:space="0" w:color="auto"/>
            <w:right w:val="none" w:sz="0" w:space="0" w:color="auto"/>
          </w:divBdr>
        </w:div>
        <w:div w:id="1748377451">
          <w:marLeft w:val="0"/>
          <w:marRight w:val="0"/>
          <w:marTop w:val="0"/>
          <w:marBottom w:val="0"/>
          <w:divBdr>
            <w:top w:val="none" w:sz="0" w:space="0" w:color="auto"/>
            <w:left w:val="none" w:sz="0" w:space="0" w:color="auto"/>
            <w:bottom w:val="none" w:sz="0" w:space="0" w:color="auto"/>
            <w:right w:val="none" w:sz="0" w:space="0" w:color="auto"/>
          </w:divBdr>
        </w:div>
        <w:div w:id="2061317879">
          <w:marLeft w:val="0"/>
          <w:marRight w:val="0"/>
          <w:marTop w:val="0"/>
          <w:marBottom w:val="0"/>
          <w:divBdr>
            <w:top w:val="none" w:sz="0" w:space="0" w:color="auto"/>
            <w:left w:val="none" w:sz="0" w:space="0" w:color="auto"/>
            <w:bottom w:val="none" w:sz="0" w:space="0" w:color="auto"/>
            <w:right w:val="none" w:sz="0" w:space="0" w:color="auto"/>
          </w:divBdr>
        </w:div>
      </w:divsChild>
    </w:div>
    <w:div w:id="1445420186">
      <w:bodyDiv w:val="1"/>
      <w:marLeft w:val="0"/>
      <w:marRight w:val="0"/>
      <w:marTop w:val="0"/>
      <w:marBottom w:val="0"/>
      <w:divBdr>
        <w:top w:val="none" w:sz="0" w:space="0" w:color="auto"/>
        <w:left w:val="none" w:sz="0" w:space="0" w:color="auto"/>
        <w:bottom w:val="none" w:sz="0" w:space="0" w:color="auto"/>
        <w:right w:val="none" w:sz="0" w:space="0" w:color="auto"/>
      </w:divBdr>
    </w:div>
    <w:div w:id="1446004807">
      <w:bodyDiv w:val="1"/>
      <w:marLeft w:val="0"/>
      <w:marRight w:val="0"/>
      <w:marTop w:val="0"/>
      <w:marBottom w:val="0"/>
      <w:divBdr>
        <w:top w:val="none" w:sz="0" w:space="0" w:color="auto"/>
        <w:left w:val="none" w:sz="0" w:space="0" w:color="auto"/>
        <w:bottom w:val="none" w:sz="0" w:space="0" w:color="auto"/>
        <w:right w:val="none" w:sz="0" w:space="0" w:color="auto"/>
      </w:divBdr>
      <w:divsChild>
        <w:div w:id="1933198403">
          <w:marLeft w:val="0"/>
          <w:marRight w:val="0"/>
          <w:marTop w:val="0"/>
          <w:marBottom w:val="0"/>
          <w:divBdr>
            <w:top w:val="none" w:sz="0" w:space="0" w:color="auto"/>
            <w:left w:val="none" w:sz="0" w:space="0" w:color="auto"/>
            <w:bottom w:val="none" w:sz="0" w:space="0" w:color="auto"/>
            <w:right w:val="none" w:sz="0" w:space="0" w:color="auto"/>
          </w:divBdr>
        </w:div>
      </w:divsChild>
    </w:div>
    <w:div w:id="1455438770">
      <w:bodyDiv w:val="1"/>
      <w:marLeft w:val="0"/>
      <w:marRight w:val="0"/>
      <w:marTop w:val="0"/>
      <w:marBottom w:val="0"/>
      <w:divBdr>
        <w:top w:val="none" w:sz="0" w:space="0" w:color="auto"/>
        <w:left w:val="none" w:sz="0" w:space="0" w:color="auto"/>
        <w:bottom w:val="none" w:sz="0" w:space="0" w:color="auto"/>
        <w:right w:val="none" w:sz="0" w:space="0" w:color="auto"/>
      </w:divBdr>
    </w:div>
    <w:div w:id="1472555090">
      <w:bodyDiv w:val="1"/>
      <w:marLeft w:val="0"/>
      <w:marRight w:val="0"/>
      <w:marTop w:val="0"/>
      <w:marBottom w:val="0"/>
      <w:divBdr>
        <w:top w:val="none" w:sz="0" w:space="0" w:color="auto"/>
        <w:left w:val="none" w:sz="0" w:space="0" w:color="auto"/>
        <w:bottom w:val="none" w:sz="0" w:space="0" w:color="auto"/>
        <w:right w:val="none" w:sz="0" w:space="0" w:color="auto"/>
      </w:divBdr>
    </w:div>
    <w:div w:id="1514107218">
      <w:bodyDiv w:val="1"/>
      <w:marLeft w:val="0"/>
      <w:marRight w:val="0"/>
      <w:marTop w:val="0"/>
      <w:marBottom w:val="0"/>
      <w:divBdr>
        <w:top w:val="none" w:sz="0" w:space="0" w:color="auto"/>
        <w:left w:val="none" w:sz="0" w:space="0" w:color="auto"/>
        <w:bottom w:val="none" w:sz="0" w:space="0" w:color="auto"/>
        <w:right w:val="none" w:sz="0" w:space="0" w:color="auto"/>
      </w:divBdr>
    </w:div>
    <w:div w:id="1517227988">
      <w:bodyDiv w:val="1"/>
      <w:marLeft w:val="0"/>
      <w:marRight w:val="0"/>
      <w:marTop w:val="0"/>
      <w:marBottom w:val="0"/>
      <w:divBdr>
        <w:top w:val="none" w:sz="0" w:space="0" w:color="auto"/>
        <w:left w:val="none" w:sz="0" w:space="0" w:color="auto"/>
        <w:bottom w:val="none" w:sz="0" w:space="0" w:color="auto"/>
        <w:right w:val="none" w:sz="0" w:space="0" w:color="auto"/>
      </w:divBdr>
    </w:div>
    <w:div w:id="1524587477">
      <w:bodyDiv w:val="1"/>
      <w:marLeft w:val="0"/>
      <w:marRight w:val="0"/>
      <w:marTop w:val="0"/>
      <w:marBottom w:val="0"/>
      <w:divBdr>
        <w:top w:val="none" w:sz="0" w:space="0" w:color="auto"/>
        <w:left w:val="none" w:sz="0" w:space="0" w:color="auto"/>
        <w:bottom w:val="none" w:sz="0" w:space="0" w:color="auto"/>
        <w:right w:val="none" w:sz="0" w:space="0" w:color="auto"/>
      </w:divBdr>
      <w:divsChild>
        <w:div w:id="172769243">
          <w:marLeft w:val="0"/>
          <w:marRight w:val="0"/>
          <w:marTop w:val="0"/>
          <w:marBottom w:val="0"/>
          <w:divBdr>
            <w:top w:val="none" w:sz="0" w:space="0" w:color="auto"/>
            <w:left w:val="none" w:sz="0" w:space="0" w:color="auto"/>
            <w:bottom w:val="none" w:sz="0" w:space="0" w:color="auto"/>
            <w:right w:val="none" w:sz="0" w:space="0" w:color="auto"/>
          </w:divBdr>
        </w:div>
        <w:div w:id="2053845459">
          <w:marLeft w:val="0"/>
          <w:marRight w:val="0"/>
          <w:marTop w:val="0"/>
          <w:marBottom w:val="0"/>
          <w:divBdr>
            <w:top w:val="none" w:sz="0" w:space="0" w:color="auto"/>
            <w:left w:val="none" w:sz="0" w:space="0" w:color="auto"/>
            <w:bottom w:val="none" w:sz="0" w:space="0" w:color="auto"/>
            <w:right w:val="none" w:sz="0" w:space="0" w:color="auto"/>
          </w:divBdr>
        </w:div>
      </w:divsChild>
    </w:div>
    <w:div w:id="1530217311">
      <w:bodyDiv w:val="1"/>
      <w:marLeft w:val="0"/>
      <w:marRight w:val="0"/>
      <w:marTop w:val="0"/>
      <w:marBottom w:val="0"/>
      <w:divBdr>
        <w:top w:val="none" w:sz="0" w:space="0" w:color="auto"/>
        <w:left w:val="none" w:sz="0" w:space="0" w:color="auto"/>
        <w:bottom w:val="none" w:sz="0" w:space="0" w:color="auto"/>
        <w:right w:val="none" w:sz="0" w:space="0" w:color="auto"/>
      </w:divBdr>
    </w:div>
    <w:div w:id="1531143191">
      <w:bodyDiv w:val="1"/>
      <w:marLeft w:val="0"/>
      <w:marRight w:val="0"/>
      <w:marTop w:val="0"/>
      <w:marBottom w:val="0"/>
      <w:divBdr>
        <w:top w:val="none" w:sz="0" w:space="0" w:color="auto"/>
        <w:left w:val="none" w:sz="0" w:space="0" w:color="auto"/>
        <w:bottom w:val="none" w:sz="0" w:space="0" w:color="auto"/>
        <w:right w:val="none" w:sz="0" w:space="0" w:color="auto"/>
      </w:divBdr>
    </w:div>
    <w:div w:id="1548251081">
      <w:bodyDiv w:val="1"/>
      <w:marLeft w:val="0"/>
      <w:marRight w:val="0"/>
      <w:marTop w:val="0"/>
      <w:marBottom w:val="0"/>
      <w:divBdr>
        <w:top w:val="none" w:sz="0" w:space="0" w:color="auto"/>
        <w:left w:val="none" w:sz="0" w:space="0" w:color="auto"/>
        <w:bottom w:val="none" w:sz="0" w:space="0" w:color="auto"/>
        <w:right w:val="none" w:sz="0" w:space="0" w:color="auto"/>
      </w:divBdr>
    </w:div>
    <w:div w:id="1572811872">
      <w:bodyDiv w:val="1"/>
      <w:marLeft w:val="0"/>
      <w:marRight w:val="0"/>
      <w:marTop w:val="0"/>
      <w:marBottom w:val="0"/>
      <w:divBdr>
        <w:top w:val="none" w:sz="0" w:space="0" w:color="auto"/>
        <w:left w:val="none" w:sz="0" w:space="0" w:color="auto"/>
        <w:bottom w:val="none" w:sz="0" w:space="0" w:color="auto"/>
        <w:right w:val="none" w:sz="0" w:space="0" w:color="auto"/>
      </w:divBdr>
      <w:divsChild>
        <w:div w:id="932709152">
          <w:marLeft w:val="0"/>
          <w:marRight w:val="0"/>
          <w:marTop w:val="0"/>
          <w:marBottom w:val="0"/>
          <w:divBdr>
            <w:top w:val="none" w:sz="0" w:space="0" w:color="auto"/>
            <w:left w:val="none" w:sz="0" w:space="0" w:color="auto"/>
            <w:bottom w:val="none" w:sz="0" w:space="0" w:color="auto"/>
            <w:right w:val="none" w:sz="0" w:space="0" w:color="auto"/>
          </w:divBdr>
        </w:div>
        <w:div w:id="2123065470">
          <w:marLeft w:val="0"/>
          <w:marRight w:val="0"/>
          <w:marTop w:val="0"/>
          <w:marBottom w:val="0"/>
          <w:divBdr>
            <w:top w:val="none" w:sz="0" w:space="0" w:color="auto"/>
            <w:left w:val="none" w:sz="0" w:space="0" w:color="auto"/>
            <w:bottom w:val="none" w:sz="0" w:space="0" w:color="auto"/>
            <w:right w:val="none" w:sz="0" w:space="0" w:color="auto"/>
          </w:divBdr>
        </w:div>
      </w:divsChild>
    </w:div>
    <w:div w:id="1593977046">
      <w:bodyDiv w:val="1"/>
      <w:marLeft w:val="0"/>
      <w:marRight w:val="0"/>
      <w:marTop w:val="0"/>
      <w:marBottom w:val="0"/>
      <w:divBdr>
        <w:top w:val="none" w:sz="0" w:space="0" w:color="auto"/>
        <w:left w:val="none" w:sz="0" w:space="0" w:color="auto"/>
        <w:bottom w:val="none" w:sz="0" w:space="0" w:color="auto"/>
        <w:right w:val="none" w:sz="0" w:space="0" w:color="auto"/>
      </w:divBdr>
    </w:div>
    <w:div w:id="1603680030">
      <w:bodyDiv w:val="1"/>
      <w:marLeft w:val="0"/>
      <w:marRight w:val="0"/>
      <w:marTop w:val="0"/>
      <w:marBottom w:val="0"/>
      <w:divBdr>
        <w:top w:val="none" w:sz="0" w:space="0" w:color="auto"/>
        <w:left w:val="none" w:sz="0" w:space="0" w:color="auto"/>
        <w:bottom w:val="none" w:sz="0" w:space="0" w:color="auto"/>
        <w:right w:val="none" w:sz="0" w:space="0" w:color="auto"/>
      </w:divBdr>
      <w:divsChild>
        <w:div w:id="1251770132">
          <w:marLeft w:val="0"/>
          <w:marRight w:val="0"/>
          <w:marTop w:val="0"/>
          <w:marBottom w:val="0"/>
          <w:divBdr>
            <w:top w:val="none" w:sz="0" w:space="0" w:color="auto"/>
            <w:left w:val="none" w:sz="0" w:space="0" w:color="auto"/>
            <w:bottom w:val="none" w:sz="0" w:space="0" w:color="auto"/>
            <w:right w:val="none" w:sz="0" w:space="0" w:color="auto"/>
          </w:divBdr>
          <w:divsChild>
            <w:div w:id="1764496160">
              <w:marLeft w:val="0"/>
              <w:marRight w:val="0"/>
              <w:marTop w:val="0"/>
              <w:marBottom w:val="0"/>
              <w:divBdr>
                <w:top w:val="none" w:sz="0" w:space="0" w:color="auto"/>
                <w:left w:val="none" w:sz="0" w:space="0" w:color="auto"/>
                <w:bottom w:val="none" w:sz="0" w:space="0" w:color="auto"/>
                <w:right w:val="none" w:sz="0" w:space="0" w:color="auto"/>
              </w:divBdr>
              <w:divsChild>
                <w:div w:id="1260411052">
                  <w:marLeft w:val="0"/>
                  <w:marRight w:val="0"/>
                  <w:marTop w:val="0"/>
                  <w:marBottom w:val="0"/>
                  <w:divBdr>
                    <w:top w:val="none" w:sz="0" w:space="0" w:color="auto"/>
                    <w:left w:val="none" w:sz="0" w:space="0" w:color="auto"/>
                    <w:bottom w:val="none" w:sz="0" w:space="0" w:color="auto"/>
                    <w:right w:val="none" w:sz="0" w:space="0" w:color="auto"/>
                  </w:divBdr>
                  <w:divsChild>
                    <w:div w:id="1141079217">
                      <w:marLeft w:val="0"/>
                      <w:marRight w:val="0"/>
                      <w:marTop w:val="0"/>
                      <w:marBottom w:val="0"/>
                      <w:divBdr>
                        <w:top w:val="none" w:sz="0" w:space="0" w:color="auto"/>
                        <w:left w:val="none" w:sz="0" w:space="0" w:color="auto"/>
                        <w:bottom w:val="none" w:sz="0" w:space="0" w:color="auto"/>
                        <w:right w:val="none" w:sz="0" w:space="0" w:color="auto"/>
                      </w:divBdr>
                      <w:divsChild>
                        <w:div w:id="1733000376">
                          <w:marLeft w:val="0"/>
                          <w:marRight w:val="0"/>
                          <w:marTop w:val="0"/>
                          <w:marBottom w:val="0"/>
                          <w:divBdr>
                            <w:top w:val="none" w:sz="0" w:space="0" w:color="auto"/>
                            <w:left w:val="none" w:sz="0" w:space="0" w:color="auto"/>
                            <w:bottom w:val="none" w:sz="0" w:space="0" w:color="auto"/>
                            <w:right w:val="none" w:sz="0" w:space="0" w:color="auto"/>
                          </w:divBdr>
                          <w:divsChild>
                            <w:div w:id="1535537433">
                              <w:marLeft w:val="0"/>
                              <w:marRight w:val="0"/>
                              <w:marTop w:val="0"/>
                              <w:marBottom w:val="0"/>
                              <w:divBdr>
                                <w:top w:val="none" w:sz="0" w:space="0" w:color="auto"/>
                                <w:left w:val="none" w:sz="0" w:space="0" w:color="auto"/>
                                <w:bottom w:val="none" w:sz="0" w:space="0" w:color="auto"/>
                                <w:right w:val="none" w:sz="0" w:space="0" w:color="auto"/>
                              </w:divBdr>
                              <w:divsChild>
                                <w:div w:id="10462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799762">
      <w:bodyDiv w:val="1"/>
      <w:marLeft w:val="0"/>
      <w:marRight w:val="0"/>
      <w:marTop w:val="0"/>
      <w:marBottom w:val="0"/>
      <w:divBdr>
        <w:top w:val="none" w:sz="0" w:space="0" w:color="auto"/>
        <w:left w:val="none" w:sz="0" w:space="0" w:color="auto"/>
        <w:bottom w:val="none" w:sz="0" w:space="0" w:color="auto"/>
        <w:right w:val="none" w:sz="0" w:space="0" w:color="auto"/>
      </w:divBdr>
    </w:div>
    <w:div w:id="1605382457">
      <w:bodyDiv w:val="1"/>
      <w:marLeft w:val="0"/>
      <w:marRight w:val="0"/>
      <w:marTop w:val="0"/>
      <w:marBottom w:val="0"/>
      <w:divBdr>
        <w:top w:val="none" w:sz="0" w:space="0" w:color="auto"/>
        <w:left w:val="none" w:sz="0" w:space="0" w:color="auto"/>
        <w:bottom w:val="none" w:sz="0" w:space="0" w:color="auto"/>
        <w:right w:val="none" w:sz="0" w:space="0" w:color="auto"/>
      </w:divBdr>
    </w:div>
    <w:div w:id="1617562705">
      <w:bodyDiv w:val="1"/>
      <w:marLeft w:val="0"/>
      <w:marRight w:val="0"/>
      <w:marTop w:val="0"/>
      <w:marBottom w:val="0"/>
      <w:divBdr>
        <w:top w:val="none" w:sz="0" w:space="0" w:color="auto"/>
        <w:left w:val="none" w:sz="0" w:space="0" w:color="auto"/>
        <w:bottom w:val="none" w:sz="0" w:space="0" w:color="auto"/>
        <w:right w:val="none" w:sz="0" w:space="0" w:color="auto"/>
      </w:divBdr>
    </w:div>
    <w:div w:id="1629360211">
      <w:bodyDiv w:val="1"/>
      <w:marLeft w:val="0"/>
      <w:marRight w:val="0"/>
      <w:marTop w:val="0"/>
      <w:marBottom w:val="0"/>
      <w:divBdr>
        <w:top w:val="none" w:sz="0" w:space="0" w:color="auto"/>
        <w:left w:val="none" w:sz="0" w:space="0" w:color="auto"/>
        <w:bottom w:val="none" w:sz="0" w:space="0" w:color="auto"/>
        <w:right w:val="none" w:sz="0" w:space="0" w:color="auto"/>
      </w:divBdr>
    </w:div>
    <w:div w:id="1633949675">
      <w:bodyDiv w:val="1"/>
      <w:marLeft w:val="0"/>
      <w:marRight w:val="0"/>
      <w:marTop w:val="0"/>
      <w:marBottom w:val="0"/>
      <w:divBdr>
        <w:top w:val="none" w:sz="0" w:space="0" w:color="auto"/>
        <w:left w:val="none" w:sz="0" w:space="0" w:color="auto"/>
        <w:bottom w:val="none" w:sz="0" w:space="0" w:color="auto"/>
        <w:right w:val="none" w:sz="0" w:space="0" w:color="auto"/>
      </w:divBdr>
    </w:div>
    <w:div w:id="1635676898">
      <w:bodyDiv w:val="1"/>
      <w:marLeft w:val="0"/>
      <w:marRight w:val="0"/>
      <w:marTop w:val="0"/>
      <w:marBottom w:val="0"/>
      <w:divBdr>
        <w:top w:val="none" w:sz="0" w:space="0" w:color="auto"/>
        <w:left w:val="none" w:sz="0" w:space="0" w:color="auto"/>
        <w:bottom w:val="none" w:sz="0" w:space="0" w:color="auto"/>
        <w:right w:val="none" w:sz="0" w:space="0" w:color="auto"/>
      </w:divBdr>
      <w:divsChild>
        <w:div w:id="1210604319">
          <w:marLeft w:val="0"/>
          <w:marRight w:val="0"/>
          <w:marTop w:val="0"/>
          <w:marBottom w:val="0"/>
          <w:divBdr>
            <w:top w:val="none" w:sz="0" w:space="0" w:color="auto"/>
            <w:left w:val="none" w:sz="0" w:space="0" w:color="auto"/>
            <w:bottom w:val="none" w:sz="0" w:space="0" w:color="auto"/>
            <w:right w:val="none" w:sz="0" w:space="0" w:color="auto"/>
          </w:divBdr>
        </w:div>
      </w:divsChild>
    </w:div>
    <w:div w:id="1637685854">
      <w:bodyDiv w:val="1"/>
      <w:marLeft w:val="0"/>
      <w:marRight w:val="0"/>
      <w:marTop w:val="0"/>
      <w:marBottom w:val="0"/>
      <w:divBdr>
        <w:top w:val="none" w:sz="0" w:space="0" w:color="auto"/>
        <w:left w:val="none" w:sz="0" w:space="0" w:color="auto"/>
        <w:bottom w:val="none" w:sz="0" w:space="0" w:color="auto"/>
        <w:right w:val="none" w:sz="0" w:space="0" w:color="auto"/>
      </w:divBdr>
      <w:divsChild>
        <w:div w:id="161168329">
          <w:marLeft w:val="0"/>
          <w:marRight w:val="0"/>
          <w:marTop w:val="0"/>
          <w:marBottom w:val="0"/>
          <w:divBdr>
            <w:top w:val="none" w:sz="0" w:space="0" w:color="auto"/>
            <w:left w:val="none" w:sz="0" w:space="0" w:color="auto"/>
            <w:bottom w:val="none" w:sz="0" w:space="0" w:color="auto"/>
            <w:right w:val="none" w:sz="0" w:space="0" w:color="auto"/>
          </w:divBdr>
          <w:divsChild>
            <w:div w:id="387919659">
              <w:marLeft w:val="0"/>
              <w:marRight w:val="0"/>
              <w:marTop w:val="0"/>
              <w:marBottom w:val="0"/>
              <w:divBdr>
                <w:top w:val="none" w:sz="0" w:space="0" w:color="auto"/>
                <w:left w:val="none" w:sz="0" w:space="0" w:color="auto"/>
                <w:bottom w:val="none" w:sz="0" w:space="0" w:color="auto"/>
                <w:right w:val="none" w:sz="0" w:space="0" w:color="auto"/>
              </w:divBdr>
            </w:div>
          </w:divsChild>
        </w:div>
        <w:div w:id="163714892">
          <w:marLeft w:val="0"/>
          <w:marRight w:val="0"/>
          <w:marTop w:val="0"/>
          <w:marBottom w:val="0"/>
          <w:divBdr>
            <w:top w:val="none" w:sz="0" w:space="0" w:color="auto"/>
            <w:left w:val="none" w:sz="0" w:space="0" w:color="auto"/>
            <w:bottom w:val="none" w:sz="0" w:space="0" w:color="auto"/>
            <w:right w:val="none" w:sz="0" w:space="0" w:color="auto"/>
          </w:divBdr>
          <w:divsChild>
            <w:div w:id="1322197959">
              <w:marLeft w:val="0"/>
              <w:marRight w:val="0"/>
              <w:marTop w:val="0"/>
              <w:marBottom w:val="0"/>
              <w:divBdr>
                <w:top w:val="none" w:sz="0" w:space="0" w:color="auto"/>
                <w:left w:val="none" w:sz="0" w:space="0" w:color="auto"/>
                <w:bottom w:val="none" w:sz="0" w:space="0" w:color="auto"/>
                <w:right w:val="none" w:sz="0" w:space="0" w:color="auto"/>
              </w:divBdr>
            </w:div>
          </w:divsChild>
        </w:div>
        <w:div w:id="264771294">
          <w:marLeft w:val="0"/>
          <w:marRight w:val="0"/>
          <w:marTop w:val="0"/>
          <w:marBottom w:val="0"/>
          <w:divBdr>
            <w:top w:val="none" w:sz="0" w:space="0" w:color="auto"/>
            <w:left w:val="none" w:sz="0" w:space="0" w:color="auto"/>
            <w:bottom w:val="none" w:sz="0" w:space="0" w:color="auto"/>
            <w:right w:val="none" w:sz="0" w:space="0" w:color="auto"/>
          </w:divBdr>
          <w:divsChild>
            <w:div w:id="1708606886">
              <w:marLeft w:val="0"/>
              <w:marRight w:val="0"/>
              <w:marTop w:val="0"/>
              <w:marBottom w:val="0"/>
              <w:divBdr>
                <w:top w:val="none" w:sz="0" w:space="0" w:color="auto"/>
                <w:left w:val="none" w:sz="0" w:space="0" w:color="auto"/>
                <w:bottom w:val="none" w:sz="0" w:space="0" w:color="auto"/>
                <w:right w:val="none" w:sz="0" w:space="0" w:color="auto"/>
              </w:divBdr>
            </w:div>
          </w:divsChild>
        </w:div>
        <w:div w:id="500124556">
          <w:marLeft w:val="0"/>
          <w:marRight w:val="0"/>
          <w:marTop w:val="0"/>
          <w:marBottom w:val="0"/>
          <w:divBdr>
            <w:top w:val="none" w:sz="0" w:space="0" w:color="auto"/>
            <w:left w:val="none" w:sz="0" w:space="0" w:color="auto"/>
            <w:bottom w:val="none" w:sz="0" w:space="0" w:color="auto"/>
            <w:right w:val="none" w:sz="0" w:space="0" w:color="auto"/>
          </w:divBdr>
          <w:divsChild>
            <w:div w:id="71437904">
              <w:marLeft w:val="0"/>
              <w:marRight w:val="0"/>
              <w:marTop w:val="0"/>
              <w:marBottom w:val="0"/>
              <w:divBdr>
                <w:top w:val="none" w:sz="0" w:space="0" w:color="auto"/>
                <w:left w:val="none" w:sz="0" w:space="0" w:color="auto"/>
                <w:bottom w:val="none" w:sz="0" w:space="0" w:color="auto"/>
                <w:right w:val="none" w:sz="0" w:space="0" w:color="auto"/>
              </w:divBdr>
            </w:div>
          </w:divsChild>
        </w:div>
        <w:div w:id="700058723">
          <w:marLeft w:val="0"/>
          <w:marRight w:val="0"/>
          <w:marTop w:val="0"/>
          <w:marBottom w:val="0"/>
          <w:divBdr>
            <w:top w:val="none" w:sz="0" w:space="0" w:color="auto"/>
            <w:left w:val="none" w:sz="0" w:space="0" w:color="auto"/>
            <w:bottom w:val="none" w:sz="0" w:space="0" w:color="auto"/>
            <w:right w:val="none" w:sz="0" w:space="0" w:color="auto"/>
          </w:divBdr>
          <w:divsChild>
            <w:div w:id="1504473447">
              <w:marLeft w:val="0"/>
              <w:marRight w:val="0"/>
              <w:marTop w:val="0"/>
              <w:marBottom w:val="0"/>
              <w:divBdr>
                <w:top w:val="none" w:sz="0" w:space="0" w:color="auto"/>
                <w:left w:val="none" w:sz="0" w:space="0" w:color="auto"/>
                <w:bottom w:val="none" w:sz="0" w:space="0" w:color="auto"/>
                <w:right w:val="none" w:sz="0" w:space="0" w:color="auto"/>
              </w:divBdr>
            </w:div>
          </w:divsChild>
        </w:div>
        <w:div w:id="975531950">
          <w:marLeft w:val="0"/>
          <w:marRight w:val="0"/>
          <w:marTop w:val="0"/>
          <w:marBottom w:val="0"/>
          <w:divBdr>
            <w:top w:val="none" w:sz="0" w:space="0" w:color="auto"/>
            <w:left w:val="none" w:sz="0" w:space="0" w:color="auto"/>
            <w:bottom w:val="none" w:sz="0" w:space="0" w:color="auto"/>
            <w:right w:val="none" w:sz="0" w:space="0" w:color="auto"/>
          </w:divBdr>
          <w:divsChild>
            <w:div w:id="1315185885">
              <w:marLeft w:val="0"/>
              <w:marRight w:val="0"/>
              <w:marTop w:val="0"/>
              <w:marBottom w:val="0"/>
              <w:divBdr>
                <w:top w:val="none" w:sz="0" w:space="0" w:color="auto"/>
                <w:left w:val="none" w:sz="0" w:space="0" w:color="auto"/>
                <w:bottom w:val="none" w:sz="0" w:space="0" w:color="auto"/>
                <w:right w:val="none" w:sz="0" w:space="0" w:color="auto"/>
              </w:divBdr>
            </w:div>
          </w:divsChild>
        </w:div>
        <w:div w:id="1086608660">
          <w:marLeft w:val="0"/>
          <w:marRight w:val="0"/>
          <w:marTop w:val="0"/>
          <w:marBottom w:val="0"/>
          <w:divBdr>
            <w:top w:val="none" w:sz="0" w:space="0" w:color="auto"/>
            <w:left w:val="none" w:sz="0" w:space="0" w:color="auto"/>
            <w:bottom w:val="none" w:sz="0" w:space="0" w:color="auto"/>
            <w:right w:val="none" w:sz="0" w:space="0" w:color="auto"/>
          </w:divBdr>
          <w:divsChild>
            <w:div w:id="514468091">
              <w:marLeft w:val="0"/>
              <w:marRight w:val="0"/>
              <w:marTop w:val="0"/>
              <w:marBottom w:val="0"/>
              <w:divBdr>
                <w:top w:val="none" w:sz="0" w:space="0" w:color="auto"/>
                <w:left w:val="none" w:sz="0" w:space="0" w:color="auto"/>
                <w:bottom w:val="none" w:sz="0" w:space="0" w:color="auto"/>
                <w:right w:val="none" w:sz="0" w:space="0" w:color="auto"/>
              </w:divBdr>
            </w:div>
          </w:divsChild>
        </w:div>
        <w:div w:id="1132796303">
          <w:marLeft w:val="0"/>
          <w:marRight w:val="0"/>
          <w:marTop w:val="0"/>
          <w:marBottom w:val="0"/>
          <w:divBdr>
            <w:top w:val="none" w:sz="0" w:space="0" w:color="auto"/>
            <w:left w:val="none" w:sz="0" w:space="0" w:color="auto"/>
            <w:bottom w:val="none" w:sz="0" w:space="0" w:color="auto"/>
            <w:right w:val="none" w:sz="0" w:space="0" w:color="auto"/>
          </w:divBdr>
          <w:divsChild>
            <w:div w:id="959385109">
              <w:marLeft w:val="0"/>
              <w:marRight w:val="0"/>
              <w:marTop w:val="0"/>
              <w:marBottom w:val="0"/>
              <w:divBdr>
                <w:top w:val="none" w:sz="0" w:space="0" w:color="auto"/>
                <w:left w:val="none" w:sz="0" w:space="0" w:color="auto"/>
                <w:bottom w:val="none" w:sz="0" w:space="0" w:color="auto"/>
                <w:right w:val="none" w:sz="0" w:space="0" w:color="auto"/>
              </w:divBdr>
            </w:div>
          </w:divsChild>
        </w:div>
        <w:div w:id="1262035214">
          <w:marLeft w:val="0"/>
          <w:marRight w:val="0"/>
          <w:marTop w:val="0"/>
          <w:marBottom w:val="0"/>
          <w:divBdr>
            <w:top w:val="none" w:sz="0" w:space="0" w:color="auto"/>
            <w:left w:val="none" w:sz="0" w:space="0" w:color="auto"/>
            <w:bottom w:val="none" w:sz="0" w:space="0" w:color="auto"/>
            <w:right w:val="none" w:sz="0" w:space="0" w:color="auto"/>
          </w:divBdr>
          <w:divsChild>
            <w:div w:id="31266719">
              <w:marLeft w:val="0"/>
              <w:marRight w:val="0"/>
              <w:marTop w:val="0"/>
              <w:marBottom w:val="0"/>
              <w:divBdr>
                <w:top w:val="none" w:sz="0" w:space="0" w:color="auto"/>
                <w:left w:val="none" w:sz="0" w:space="0" w:color="auto"/>
                <w:bottom w:val="none" w:sz="0" w:space="0" w:color="auto"/>
                <w:right w:val="none" w:sz="0" w:space="0" w:color="auto"/>
              </w:divBdr>
            </w:div>
          </w:divsChild>
        </w:div>
        <w:div w:id="1390224165">
          <w:marLeft w:val="0"/>
          <w:marRight w:val="0"/>
          <w:marTop w:val="0"/>
          <w:marBottom w:val="0"/>
          <w:divBdr>
            <w:top w:val="none" w:sz="0" w:space="0" w:color="auto"/>
            <w:left w:val="none" w:sz="0" w:space="0" w:color="auto"/>
            <w:bottom w:val="none" w:sz="0" w:space="0" w:color="auto"/>
            <w:right w:val="none" w:sz="0" w:space="0" w:color="auto"/>
          </w:divBdr>
          <w:divsChild>
            <w:div w:id="1300383988">
              <w:marLeft w:val="0"/>
              <w:marRight w:val="0"/>
              <w:marTop w:val="0"/>
              <w:marBottom w:val="0"/>
              <w:divBdr>
                <w:top w:val="none" w:sz="0" w:space="0" w:color="auto"/>
                <w:left w:val="none" w:sz="0" w:space="0" w:color="auto"/>
                <w:bottom w:val="none" w:sz="0" w:space="0" w:color="auto"/>
                <w:right w:val="none" w:sz="0" w:space="0" w:color="auto"/>
              </w:divBdr>
            </w:div>
          </w:divsChild>
        </w:div>
        <w:div w:id="1406955089">
          <w:marLeft w:val="0"/>
          <w:marRight w:val="0"/>
          <w:marTop w:val="0"/>
          <w:marBottom w:val="0"/>
          <w:divBdr>
            <w:top w:val="none" w:sz="0" w:space="0" w:color="auto"/>
            <w:left w:val="none" w:sz="0" w:space="0" w:color="auto"/>
            <w:bottom w:val="none" w:sz="0" w:space="0" w:color="auto"/>
            <w:right w:val="none" w:sz="0" w:space="0" w:color="auto"/>
          </w:divBdr>
          <w:divsChild>
            <w:div w:id="1396514583">
              <w:marLeft w:val="0"/>
              <w:marRight w:val="0"/>
              <w:marTop w:val="0"/>
              <w:marBottom w:val="0"/>
              <w:divBdr>
                <w:top w:val="none" w:sz="0" w:space="0" w:color="auto"/>
                <w:left w:val="none" w:sz="0" w:space="0" w:color="auto"/>
                <w:bottom w:val="none" w:sz="0" w:space="0" w:color="auto"/>
                <w:right w:val="none" w:sz="0" w:space="0" w:color="auto"/>
              </w:divBdr>
            </w:div>
          </w:divsChild>
        </w:div>
        <w:div w:id="1446801905">
          <w:marLeft w:val="0"/>
          <w:marRight w:val="0"/>
          <w:marTop w:val="0"/>
          <w:marBottom w:val="0"/>
          <w:divBdr>
            <w:top w:val="none" w:sz="0" w:space="0" w:color="auto"/>
            <w:left w:val="none" w:sz="0" w:space="0" w:color="auto"/>
            <w:bottom w:val="none" w:sz="0" w:space="0" w:color="auto"/>
            <w:right w:val="none" w:sz="0" w:space="0" w:color="auto"/>
          </w:divBdr>
          <w:divsChild>
            <w:div w:id="934555784">
              <w:marLeft w:val="0"/>
              <w:marRight w:val="0"/>
              <w:marTop w:val="0"/>
              <w:marBottom w:val="0"/>
              <w:divBdr>
                <w:top w:val="none" w:sz="0" w:space="0" w:color="auto"/>
                <w:left w:val="none" w:sz="0" w:space="0" w:color="auto"/>
                <w:bottom w:val="none" w:sz="0" w:space="0" w:color="auto"/>
                <w:right w:val="none" w:sz="0" w:space="0" w:color="auto"/>
              </w:divBdr>
            </w:div>
          </w:divsChild>
        </w:div>
        <w:div w:id="1631283137">
          <w:marLeft w:val="0"/>
          <w:marRight w:val="0"/>
          <w:marTop w:val="0"/>
          <w:marBottom w:val="0"/>
          <w:divBdr>
            <w:top w:val="none" w:sz="0" w:space="0" w:color="auto"/>
            <w:left w:val="none" w:sz="0" w:space="0" w:color="auto"/>
            <w:bottom w:val="none" w:sz="0" w:space="0" w:color="auto"/>
            <w:right w:val="none" w:sz="0" w:space="0" w:color="auto"/>
          </w:divBdr>
          <w:divsChild>
            <w:div w:id="372509666">
              <w:marLeft w:val="0"/>
              <w:marRight w:val="0"/>
              <w:marTop w:val="0"/>
              <w:marBottom w:val="0"/>
              <w:divBdr>
                <w:top w:val="none" w:sz="0" w:space="0" w:color="auto"/>
                <w:left w:val="none" w:sz="0" w:space="0" w:color="auto"/>
                <w:bottom w:val="none" w:sz="0" w:space="0" w:color="auto"/>
                <w:right w:val="none" w:sz="0" w:space="0" w:color="auto"/>
              </w:divBdr>
            </w:div>
          </w:divsChild>
        </w:div>
        <w:div w:id="1729499209">
          <w:marLeft w:val="0"/>
          <w:marRight w:val="0"/>
          <w:marTop w:val="0"/>
          <w:marBottom w:val="0"/>
          <w:divBdr>
            <w:top w:val="none" w:sz="0" w:space="0" w:color="auto"/>
            <w:left w:val="none" w:sz="0" w:space="0" w:color="auto"/>
            <w:bottom w:val="none" w:sz="0" w:space="0" w:color="auto"/>
            <w:right w:val="none" w:sz="0" w:space="0" w:color="auto"/>
          </w:divBdr>
          <w:divsChild>
            <w:div w:id="1000548037">
              <w:marLeft w:val="0"/>
              <w:marRight w:val="0"/>
              <w:marTop w:val="0"/>
              <w:marBottom w:val="0"/>
              <w:divBdr>
                <w:top w:val="none" w:sz="0" w:space="0" w:color="auto"/>
                <w:left w:val="none" w:sz="0" w:space="0" w:color="auto"/>
                <w:bottom w:val="none" w:sz="0" w:space="0" w:color="auto"/>
                <w:right w:val="none" w:sz="0" w:space="0" w:color="auto"/>
              </w:divBdr>
            </w:div>
          </w:divsChild>
        </w:div>
        <w:div w:id="1850946237">
          <w:marLeft w:val="0"/>
          <w:marRight w:val="0"/>
          <w:marTop w:val="0"/>
          <w:marBottom w:val="0"/>
          <w:divBdr>
            <w:top w:val="none" w:sz="0" w:space="0" w:color="auto"/>
            <w:left w:val="none" w:sz="0" w:space="0" w:color="auto"/>
            <w:bottom w:val="none" w:sz="0" w:space="0" w:color="auto"/>
            <w:right w:val="none" w:sz="0" w:space="0" w:color="auto"/>
          </w:divBdr>
          <w:divsChild>
            <w:div w:id="1348867690">
              <w:marLeft w:val="0"/>
              <w:marRight w:val="0"/>
              <w:marTop w:val="0"/>
              <w:marBottom w:val="0"/>
              <w:divBdr>
                <w:top w:val="none" w:sz="0" w:space="0" w:color="auto"/>
                <w:left w:val="none" w:sz="0" w:space="0" w:color="auto"/>
                <w:bottom w:val="none" w:sz="0" w:space="0" w:color="auto"/>
                <w:right w:val="none" w:sz="0" w:space="0" w:color="auto"/>
              </w:divBdr>
            </w:div>
          </w:divsChild>
        </w:div>
        <w:div w:id="1999920680">
          <w:marLeft w:val="0"/>
          <w:marRight w:val="0"/>
          <w:marTop w:val="0"/>
          <w:marBottom w:val="0"/>
          <w:divBdr>
            <w:top w:val="none" w:sz="0" w:space="0" w:color="auto"/>
            <w:left w:val="none" w:sz="0" w:space="0" w:color="auto"/>
            <w:bottom w:val="none" w:sz="0" w:space="0" w:color="auto"/>
            <w:right w:val="none" w:sz="0" w:space="0" w:color="auto"/>
          </w:divBdr>
          <w:divsChild>
            <w:div w:id="1818717405">
              <w:marLeft w:val="0"/>
              <w:marRight w:val="0"/>
              <w:marTop w:val="0"/>
              <w:marBottom w:val="0"/>
              <w:divBdr>
                <w:top w:val="none" w:sz="0" w:space="0" w:color="auto"/>
                <w:left w:val="none" w:sz="0" w:space="0" w:color="auto"/>
                <w:bottom w:val="none" w:sz="0" w:space="0" w:color="auto"/>
                <w:right w:val="none" w:sz="0" w:space="0" w:color="auto"/>
              </w:divBdr>
            </w:div>
          </w:divsChild>
        </w:div>
        <w:div w:id="2007172999">
          <w:marLeft w:val="0"/>
          <w:marRight w:val="0"/>
          <w:marTop w:val="0"/>
          <w:marBottom w:val="0"/>
          <w:divBdr>
            <w:top w:val="none" w:sz="0" w:space="0" w:color="auto"/>
            <w:left w:val="none" w:sz="0" w:space="0" w:color="auto"/>
            <w:bottom w:val="none" w:sz="0" w:space="0" w:color="auto"/>
            <w:right w:val="none" w:sz="0" w:space="0" w:color="auto"/>
          </w:divBdr>
          <w:divsChild>
            <w:div w:id="1451587342">
              <w:marLeft w:val="0"/>
              <w:marRight w:val="0"/>
              <w:marTop w:val="0"/>
              <w:marBottom w:val="0"/>
              <w:divBdr>
                <w:top w:val="none" w:sz="0" w:space="0" w:color="auto"/>
                <w:left w:val="none" w:sz="0" w:space="0" w:color="auto"/>
                <w:bottom w:val="none" w:sz="0" w:space="0" w:color="auto"/>
                <w:right w:val="none" w:sz="0" w:space="0" w:color="auto"/>
              </w:divBdr>
            </w:div>
          </w:divsChild>
        </w:div>
        <w:div w:id="2055931563">
          <w:marLeft w:val="0"/>
          <w:marRight w:val="0"/>
          <w:marTop w:val="0"/>
          <w:marBottom w:val="0"/>
          <w:divBdr>
            <w:top w:val="none" w:sz="0" w:space="0" w:color="auto"/>
            <w:left w:val="none" w:sz="0" w:space="0" w:color="auto"/>
            <w:bottom w:val="none" w:sz="0" w:space="0" w:color="auto"/>
            <w:right w:val="none" w:sz="0" w:space="0" w:color="auto"/>
          </w:divBdr>
          <w:divsChild>
            <w:div w:id="156552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452090">
      <w:bodyDiv w:val="1"/>
      <w:marLeft w:val="0"/>
      <w:marRight w:val="0"/>
      <w:marTop w:val="0"/>
      <w:marBottom w:val="0"/>
      <w:divBdr>
        <w:top w:val="none" w:sz="0" w:space="0" w:color="auto"/>
        <w:left w:val="none" w:sz="0" w:space="0" w:color="auto"/>
        <w:bottom w:val="none" w:sz="0" w:space="0" w:color="auto"/>
        <w:right w:val="none" w:sz="0" w:space="0" w:color="auto"/>
      </w:divBdr>
    </w:div>
    <w:div w:id="1645043935">
      <w:bodyDiv w:val="1"/>
      <w:marLeft w:val="0"/>
      <w:marRight w:val="0"/>
      <w:marTop w:val="0"/>
      <w:marBottom w:val="0"/>
      <w:divBdr>
        <w:top w:val="none" w:sz="0" w:space="0" w:color="auto"/>
        <w:left w:val="none" w:sz="0" w:space="0" w:color="auto"/>
        <w:bottom w:val="none" w:sz="0" w:space="0" w:color="auto"/>
        <w:right w:val="none" w:sz="0" w:space="0" w:color="auto"/>
      </w:divBdr>
      <w:divsChild>
        <w:div w:id="1450515294">
          <w:marLeft w:val="0"/>
          <w:marRight w:val="0"/>
          <w:marTop w:val="0"/>
          <w:marBottom w:val="0"/>
          <w:divBdr>
            <w:top w:val="none" w:sz="0" w:space="0" w:color="auto"/>
            <w:left w:val="none" w:sz="0" w:space="0" w:color="auto"/>
            <w:bottom w:val="none" w:sz="0" w:space="0" w:color="auto"/>
            <w:right w:val="none" w:sz="0" w:space="0" w:color="auto"/>
          </w:divBdr>
        </w:div>
      </w:divsChild>
    </w:div>
    <w:div w:id="1645313434">
      <w:bodyDiv w:val="1"/>
      <w:marLeft w:val="0"/>
      <w:marRight w:val="0"/>
      <w:marTop w:val="0"/>
      <w:marBottom w:val="0"/>
      <w:divBdr>
        <w:top w:val="none" w:sz="0" w:space="0" w:color="auto"/>
        <w:left w:val="none" w:sz="0" w:space="0" w:color="auto"/>
        <w:bottom w:val="none" w:sz="0" w:space="0" w:color="auto"/>
        <w:right w:val="none" w:sz="0" w:space="0" w:color="auto"/>
      </w:divBdr>
    </w:div>
    <w:div w:id="1649507037">
      <w:bodyDiv w:val="1"/>
      <w:marLeft w:val="0"/>
      <w:marRight w:val="0"/>
      <w:marTop w:val="0"/>
      <w:marBottom w:val="0"/>
      <w:divBdr>
        <w:top w:val="none" w:sz="0" w:space="0" w:color="auto"/>
        <w:left w:val="none" w:sz="0" w:space="0" w:color="auto"/>
        <w:bottom w:val="none" w:sz="0" w:space="0" w:color="auto"/>
        <w:right w:val="none" w:sz="0" w:space="0" w:color="auto"/>
      </w:divBdr>
    </w:div>
    <w:div w:id="1653631813">
      <w:bodyDiv w:val="1"/>
      <w:marLeft w:val="0"/>
      <w:marRight w:val="0"/>
      <w:marTop w:val="0"/>
      <w:marBottom w:val="0"/>
      <w:divBdr>
        <w:top w:val="none" w:sz="0" w:space="0" w:color="auto"/>
        <w:left w:val="none" w:sz="0" w:space="0" w:color="auto"/>
        <w:bottom w:val="none" w:sz="0" w:space="0" w:color="auto"/>
        <w:right w:val="none" w:sz="0" w:space="0" w:color="auto"/>
      </w:divBdr>
    </w:div>
    <w:div w:id="1661348765">
      <w:bodyDiv w:val="1"/>
      <w:marLeft w:val="0"/>
      <w:marRight w:val="0"/>
      <w:marTop w:val="0"/>
      <w:marBottom w:val="0"/>
      <w:divBdr>
        <w:top w:val="none" w:sz="0" w:space="0" w:color="auto"/>
        <w:left w:val="none" w:sz="0" w:space="0" w:color="auto"/>
        <w:bottom w:val="none" w:sz="0" w:space="0" w:color="auto"/>
        <w:right w:val="none" w:sz="0" w:space="0" w:color="auto"/>
      </w:divBdr>
    </w:div>
    <w:div w:id="1665082765">
      <w:bodyDiv w:val="1"/>
      <w:marLeft w:val="0"/>
      <w:marRight w:val="0"/>
      <w:marTop w:val="0"/>
      <w:marBottom w:val="0"/>
      <w:divBdr>
        <w:top w:val="none" w:sz="0" w:space="0" w:color="auto"/>
        <w:left w:val="none" w:sz="0" w:space="0" w:color="auto"/>
        <w:bottom w:val="none" w:sz="0" w:space="0" w:color="auto"/>
        <w:right w:val="none" w:sz="0" w:space="0" w:color="auto"/>
      </w:divBdr>
    </w:div>
    <w:div w:id="1665545014">
      <w:bodyDiv w:val="1"/>
      <w:marLeft w:val="0"/>
      <w:marRight w:val="0"/>
      <w:marTop w:val="0"/>
      <w:marBottom w:val="0"/>
      <w:divBdr>
        <w:top w:val="none" w:sz="0" w:space="0" w:color="auto"/>
        <w:left w:val="none" w:sz="0" w:space="0" w:color="auto"/>
        <w:bottom w:val="none" w:sz="0" w:space="0" w:color="auto"/>
        <w:right w:val="none" w:sz="0" w:space="0" w:color="auto"/>
      </w:divBdr>
      <w:divsChild>
        <w:div w:id="119882282">
          <w:marLeft w:val="0"/>
          <w:marRight w:val="0"/>
          <w:marTop w:val="0"/>
          <w:marBottom w:val="0"/>
          <w:divBdr>
            <w:top w:val="none" w:sz="0" w:space="0" w:color="auto"/>
            <w:left w:val="none" w:sz="0" w:space="0" w:color="auto"/>
            <w:bottom w:val="none" w:sz="0" w:space="0" w:color="auto"/>
            <w:right w:val="none" w:sz="0" w:space="0" w:color="auto"/>
          </w:divBdr>
          <w:divsChild>
            <w:div w:id="531965945">
              <w:marLeft w:val="0"/>
              <w:marRight w:val="0"/>
              <w:marTop w:val="0"/>
              <w:marBottom w:val="0"/>
              <w:divBdr>
                <w:top w:val="none" w:sz="0" w:space="0" w:color="auto"/>
                <w:left w:val="none" w:sz="0" w:space="0" w:color="auto"/>
                <w:bottom w:val="none" w:sz="0" w:space="0" w:color="auto"/>
                <w:right w:val="none" w:sz="0" w:space="0" w:color="auto"/>
              </w:divBdr>
              <w:divsChild>
                <w:div w:id="653485067">
                  <w:marLeft w:val="0"/>
                  <w:marRight w:val="0"/>
                  <w:marTop w:val="0"/>
                  <w:marBottom w:val="0"/>
                  <w:divBdr>
                    <w:top w:val="none" w:sz="0" w:space="0" w:color="auto"/>
                    <w:left w:val="none" w:sz="0" w:space="0" w:color="auto"/>
                    <w:bottom w:val="none" w:sz="0" w:space="0" w:color="auto"/>
                    <w:right w:val="none" w:sz="0" w:space="0" w:color="auto"/>
                  </w:divBdr>
                  <w:divsChild>
                    <w:div w:id="1369530282">
                      <w:marLeft w:val="0"/>
                      <w:marRight w:val="0"/>
                      <w:marTop w:val="0"/>
                      <w:marBottom w:val="0"/>
                      <w:divBdr>
                        <w:top w:val="none" w:sz="0" w:space="0" w:color="auto"/>
                        <w:left w:val="none" w:sz="0" w:space="0" w:color="auto"/>
                        <w:bottom w:val="none" w:sz="0" w:space="0" w:color="auto"/>
                        <w:right w:val="none" w:sz="0" w:space="0" w:color="auto"/>
                      </w:divBdr>
                      <w:divsChild>
                        <w:div w:id="1159081085">
                          <w:marLeft w:val="0"/>
                          <w:marRight w:val="0"/>
                          <w:marTop w:val="0"/>
                          <w:marBottom w:val="0"/>
                          <w:divBdr>
                            <w:top w:val="none" w:sz="0" w:space="0" w:color="auto"/>
                            <w:left w:val="none" w:sz="0" w:space="0" w:color="auto"/>
                            <w:bottom w:val="none" w:sz="0" w:space="0" w:color="auto"/>
                            <w:right w:val="none" w:sz="0" w:space="0" w:color="auto"/>
                          </w:divBdr>
                          <w:divsChild>
                            <w:div w:id="739868015">
                              <w:marLeft w:val="0"/>
                              <w:marRight w:val="0"/>
                              <w:marTop w:val="0"/>
                              <w:marBottom w:val="0"/>
                              <w:divBdr>
                                <w:top w:val="none" w:sz="0" w:space="0" w:color="auto"/>
                                <w:left w:val="none" w:sz="0" w:space="0" w:color="auto"/>
                                <w:bottom w:val="none" w:sz="0" w:space="0" w:color="auto"/>
                                <w:right w:val="none" w:sz="0" w:space="0" w:color="auto"/>
                              </w:divBdr>
                              <w:divsChild>
                                <w:div w:id="16364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1511">
                          <w:marLeft w:val="0"/>
                          <w:marRight w:val="0"/>
                          <w:marTop w:val="0"/>
                          <w:marBottom w:val="0"/>
                          <w:divBdr>
                            <w:top w:val="none" w:sz="0" w:space="0" w:color="auto"/>
                            <w:left w:val="none" w:sz="0" w:space="0" w:color="auto"/>
                            <w:bottom w:val="none" w:sz="0" w:space="0" w:color="auto"/>
                            <w:right w:val="none" w:sz="0" w:space="0" w:color="auto"/>
                          </w:divBdr>
                          <w:divsChild>
                            <w:div w:id="1278488912">
                              <w:marLeft w:val="0"/>
                              <w:marRight w:val="0"/>
                              <w:marTop w:val="0"/>
                              <w:marBottom w:val="0"/>
                              <w:divBdr>
                                <w:top w:val="none" w:sz="0" w:space="0" w:color="auto"/>
                                <w:left w:val="none" w:sz="0" w:space="0" w:color="auto"/>
                                <w:bottom w:val="none" w:sz="0" w:space="0" w:color="auto"/>
                                <w:right w:val="none" w:sz="0" w:space="0" w:color="auto"/>
                              </w:divBdr>
                              <w:divsChild>
                                <w:div w:id="356586679">
                                  <w:marLeft w:val="0"/>
                                  <w:marRight w:val="0"/>
                                  <w:marTop w:val="0"/>
                                  <w:marBottom w:val="0"/>
                                  <w:divBdr>
                                    <w:top w:val="none" w:sz="0" w:space="0" w:color="auto"/>
                                    <w:left w:val="none" w:sz="0" w:space="0" w:color="auto"/>
                                    <w:bottom w:val="none" w:sz="0" w:space="0" w:color="auto"/>
                                    <w:right w:val="none" w:sz="0" w:space="0" w:color="auto"/>
                                  </w:divBdr>
                                  <w:divsChild>
                                    <w:div w:id="209924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9477731">
      <w:bodyDiv w:val="1"/>
      <w:marLeft w:val="0"/>
      <w:marRight w:val="0"/>
      <w:marTop w:val="0"/>
      <w:marBottom w:val="0"/>
      <w:divBdr>
        <w:top w:val="none" w:sz="0" w:space="0" w:color="auto"/>
        <w:left w:val="none" w:sz="0" w:space="0" w:color="auto"/>
        <w:bottom w:val="none" w:sz="0" w:space="0" w:color="auto"/>
        <w:right w:val="none" w:sz="0" w:space="0" w:color="auto"/>
      </w:divBdr>
    </w:div>
    <w:div w:id="1669669341">
      <w:bodyDiv w:val="1"/>
      <w:marLeft w:val="0"/>
      <w:marRight w:val="0"/>
      <w:marTop w:val="0"/>
      <w:marBottom w:val="0"/>
      <w:divBdr>
        <w:top w:val="none" w:sz="0" w:space="0" w:color="auto"/>
        <w:left w:val="none" w:sz="0" w:space="0" w:color="auto"/>
        <w:bottom w:val="none" w:sz="0" w:space="0" w:color="auto"/>
        <w:right w:val="none" w:sz="0" w:space="0" w:color="auto"/>
      </w:divBdr>
    </w:div>
    <w:div w:id="1671634525">
      <w:bodyDiv w:val="1"/>
      <w:marLeft w:val="0"/>
      <w:marRight w:val="0"/>
      <w:marTop w:val="0"/>
      <w:marBottom w:val="0"/>
      <w:divBdr>
        <w:top w:val="none" w:sz="0" w:space="0" w:color="auto"/>
        <w:left w:val="none" w:sz="0" w:space="0" w:color="auto"/>
        <w:bottom w:val="none" w:sz="0" w:space="0" w:color="auto"/>
        <w:right w:val="none" w:sz="0" w:space="0" w:color="auto"/>
      </w:divBdr>
    </w:div>
    <w:div w:id="1672099542">
      <w:bodyDiv w:val="1"/>
      <w:marLeft w:val="0"/>
      <w:marRight w:val="0"/>
      <w:marTop w:val="0"/>
      <w:marBottom w:val="0"/>
      <w:divBdr>
        <w:top w:val="none" w:sz="0" w:space="0" w:color="auto"/>
        <w:left w:val="none" w:sz="0" w:space="0" w:color="auto"/>
        <w:bottom w:val="none" w:sz="0" w:space="0" w:color="auto"/>
        <w:right w:val="none" w:sz="0" w:space="0" w:color="auto"/>
      </w:divBdr>
    </w:div>
    <w:div w:id="1676035413">
      <w:bodyDiv w:val="1"/>
      <w:marLeft w:val="0"/>
      <w:marRight w:val="0"/>
      <w:marTop w:val="0"/>
      <w:marBottom w:val="0"/>
      <w:divBdr>
        <w:top w:val="none" w:sz="0" w:space="0" w:color="auto"/>
        <w:left w:val="none" w:sz="0" w:space="0" w:color="auto"/>
        <w:bottom w:val="none" w:sz="0" w:space="0" w:color="auto"/>
        <w:right w:val="none" w:sz="0" w:space="0" w:color="auto"/>
      </w:divBdr>
    </w:div>
    <w:div w:id="1689864079">
      <w:bodyDiv w:val="1"/>
      <w:marLeft w:val="0"/>
      <w:marRight w:val="0"/>
      <w:marTop w:val="0"/>
      <w:marBottom w:val="0"/>
      <w:divBdr>
        <w:top w:val="none" w:sz="0" w:space="0" w:color="auto"/>
        <w:left w:val="none" w:sz="0" w:space="0" w:color="auto"/>
        <w:bottom w:val="none" w:sz="0" w:space="0" w:color="auto"/>
        <w:right w:val="none" w:sz="0" w:space="0" w:color="auto"/>
      </w:divBdr>
    </w:div>
    <w:div w:id="1694376356">
      <w:bodyDiv w:val="1"/>
      <w:marLeft w:val="0"/>
      <w:marRight w:val="0"/>
      <w:marTop w:val="0"/>
      <w:marBottom w:val="0"/>
      <w:divBdr>
        <w:top w:val="none" w:sz="0" w:space="0" w:color="auto"/>
        <w:left w:val="none" w:sz="0" w:space="0" w:color="auto"/>
        <w:bottom w:val="none" w:sz="0" w:space="0" w:color="auto"/>
        <w:right w:val="none" w:sz="0" w:space="0" w:color="auto"/>
      </w:divBdr>
    </w:div>
    <w:div w:id="1697727412">
      <w:bodyDiv w:val="1"/>
      <w:marLeft w:val="0"/>
      <w:marRight w:val="0"/>
      <w:marTop w:val="0"/>
      <w:marBottom w:val="0"/>
      <w:divBdr>
        <w:top w:val="none" w:sz="0" w:space="0" w:color="auto"/>
        <w:left w:val="none" w:sz="0" w:space="0" w:color="auto"/>
        <w:bottom w:val="none" w:sz="0" w:space="0" w:color="auto"/>
        <w:right w:val="none" w:sz="0" w:space="0" w:color="auto"/>
      </w:divBdr>
    </w:div>
    <w:div w:id="1706254630">
      <w:bodyDiv w:val="1"/>
      <w:marLeft w:val="0"/>
      <w:marRight w:val="0"/>
      <w:marTop w:val="0"/>
      <w:marBottom w:val="0"/>
      <w:divBdr>
        <w:top w:val="none" w:sz="0" w:space="0" w:color="auto"/>
        <w:left w:val="none" w:sz="0" w:space="0" w:color="auto"/>
        <w:bottom w:val="none" w:sz="0" w:space="0" w:color="auto"/>
        <w:right w:val="none" w:sz="0" w:space="0" w:color="auto"/>
      </w:divBdr>
      <w:divsChild>
        <w:div w:id="172914625">
          <w:marLeft w:val="0"/>
          <w:marRight w:val="0"/>
          <w:marTop w:val="0"/>
          <w:marBottom w:val="0"/>
          <w:divBdr>
            <w:top w:val="none" w:sz="0" w:space="0" w:color="auto"/>
            <w:left w:val="none" w:sz="0" w:space="0" w:color="auto"/>
            <w:bottom w:val="none" w:sz="0" w:space="0" w:color="auto"/>
            <w:right w:val="none" w:sz="0" w:space="0" w:color="auto"/>
          </w:divBdr>
        </w:div>
        <w:div w:id="1750082155">
          <w:marLeft w:val="0"/>
          <w:marRight w:val="0"/>
          <w:marTop w:val="0"/>
          <w:marBottom w:val="0"/>
          <w:divBdr>
            <w:top w:val="none" w:sz="0" w:space="0" w:color="auto"/>
            <w:left w:val="none" w:sz="0" w:space="0" w:color="auto"/>
            <w:bottom w:val="none" w:sz="0" w:space="0" w:color="auto"/>
            <w:right w:val="none" w:sz="0" w:space="0" w:color="auto"/>
          </w:divBdr>
        </w:div>
        <w:div w:id="1833988598">
          <w:marLeft w:val="0"/>
          <w:marRight w:val="0"/>
          <w:marTop w:val="0"/>
          <w:marBottom w:val="0"/>
          <w:divBdr>
            <w:top w:val="none" w:sz="0" w:space="0" w:color="auto"/>
            <w:left w:val="none" w:sz="0" w:space="0" w:color="auto"/>
            <w:bottom w:val="none" w:sz="0" w:space="0" w:color="auto"/>
            <w:right w:val="none" w:sz="0" w:space="0" w:color="auto"/>
          </w:divBdr>
        </w:div>
      </w:divsChild>
    </w:div>
    <w:div w:id="1708483665">
      <w:bodyDiv w:val="1"/>
      <w:marLeft w:val="0"/>
      <w:marRight w:val="0"/>
      <w:marTop w:val="0"/>
      <w:marBottom w:val="0"/>
      <w:divBdr>
        <w:top w:val="none" w:sz="0" w:space="0" w:color="auto"/>
        <w:left w:val="none" w:sz="0" w:space="0" w:color="auto"/>
        <w:bottom w:val="none" w:sz="0" w:space="0" w:color="auto"/>
        <w:right w:val="none" w:sz="0" w:space="0" w:color="auto"/>
      </w:divBdr>
    </w:div>
    <w:div w:id="1721981641">
      <w:bodyDiv w:val="1"/>
      <w:marLeft w:val="0"/>
      <w:marRight w:val="0"/>
      <w:marTop w:val="0"/>
      <w:marBottom w:val="0"/>
      <w:divBdr>
        <w:top w:val="none" w:sz="0" w:space="0" w:color="auto"/>
        <w:left w:val="none" w:sz="0" w:space="0" w:color="auto"/>
        <w:bottom w:val="none" w:sz="0" w:space="0" w:color="auto"/>
        <w:right w:val="none" w:sz="0" w:space="0" w:color="auto"/>
      </w:divBdr>
    </w:div>
    <w:div w:id="1733772067">
      <w:bodyDiv w:val="1"/>
      <w:marLeft w:val="0"/>
      <w:marRight w:val="0"/>
      <w:marTop w:val="0"/>
      <w:marBottom w:val="0"/>
      <w:divBdr>
        <w:top w:val="none" w:sz="0" w:space="0" w:color="auto"/>
        <w:left w:val="none" w:sz="0" w:space="0" w:color="auto"/>
        <w:bottom w:val="none" w:sz="0" w:space="0" w:color="auto"/>
        <w:right w:val="none" w:sz="0" w:space="0" w:color="auto"/>
      </w:divBdr>
    </w:div>
    <w:div w:id="1734506915">
      <w:bodyDiv w:val="1"/>
      <w:marLeft w:val="0"/>
      <w:marRight w:val="0"/>
      <w:marTop w:val="0"/>
      <w:marBottom w:val="0"/>
      <w:divBdr>
        <w:top w:val="none" w:sz="0" w:space="0" w:color="auto"/>
        <w:left w:val="none" w:sz="0" w:space="0" w:color="auto"/>
        <w:bottom w:val="none" w:sz="0" w:space="0" w:color="auto"/>
        <w:right w:val="none" w:sz="0" w:space="0" w:color="auto"/>
      </w:divBdr>
    </w:div>
    <w:div w:id="1741246120">
      <w:bodyDiv w:val="1"/>
      <w:marLeft w:val="0"/>
      <w:marRight w:val="0"/>
      <w:marTop w:val="0"/>
      <w:marBottom w:val="0"/>
      <w:divBdr>
        <w:top w:val="none" w:sz="0" w:space="0" w:color="auto"/>
        <w:left w:val="none" w:sz="0" w:space="0" w:color="auto"/>
        <w:bottom w:val="none" w:sz="0" w:space="0" w:color="auto"/>
        <w:right w:val="none" w:sz="0" w:space="0" w:color="auto"/>
      </w:divBdr>
    </w:div>
    <w:div w:id="1747918491">
      <w:bodyDiv w:val="1"/>
      <w:marLeft w:val="0"/>
      <w:marRight w:val="0"/>
      <w:marTop w:val="0"/>
      <w:marBottom w:val="0"/>
      <w:divBdr>
        <w:top w:val="none" w:sz="0" w:space="0" w:color="auto"/>
        <w:left w:val="none" w:sz="0" w:space="0" w:color="auto"/>
        <w:bottom w:val="none" w:sz="0" w:space="0" w:color="auto"/>
        <w:right w:val="none" w:sz="0" w:space="0" w:color="auto"/>
      </w:divBdr>
    </w:div>
    <w:div w:id="1752580457">
      <w:bodyDiv w:val="1"/>
      <w:marLeft w:val="0"/>
      <w:marRight w:val="0"/>
      <w:marTop w:val="0"/>
      <w:marBottom w:val="0"/>
      <w:divBdr>
        <w:top w:val="none" w:sz="0" w:space="0" w:color="auto"/>
        <w:left w:val="none" w:sz="0" w:space="0" w:color="auto"/>
        <w:bottom w:val="none" w:sz="0" w:space="0" w:color="auto"/>
        <w:right w:val="none" w:sz="0" w:space="0" w:color="auto"/>
      </w:divBdr>
    </w:div>
    <w:div w:id="1754430924">
      <w:bodyDiv w:val="1"/>
      <w:marLeft w:val="0"/>
      <w:marRight w:val="0"/>
      <w:marTop w:val="0"/>
      <w:marBottom w:val="0"/>
      <w:divBdr>
        <w:top w:val="none" w:sz="0" w:space="0" w:color="auto"/>
        <w:left w:val="none" w:sz="0" w:space="0" w:color="auto"/>
        <w:bottom w:val="none" w:sz="0" w:space="0" w:color="auto"/>
        <w:right w:val="none" w:sz="0" w:space="0" w:color="auto"/>
      </w:divBdr>
      <w:divsChild>
        <w:div w:id="287973728">
          <w:marLeft w:val="0"/>
          <w:marRight w:val="0"/>
          <w:marTop w:val="0"/>
          <w:marBottom w:val="0"/>
          <w:divBdr>
            <w:top w:val="none" w:sz="0" w:space="0" w:color="auto"/>
            <w:left w:val="none" w:sz="0" w:space="0" w:color="auto"/>
            <w:bottom w:val="none" w:sz="0" w:space="0" w:color="auto"/>
            <w:right w:val="none" w:sz="0" w:space="0" w:color="auto"/>
          </w:divBdr>
        </w:div>
        <w:div w:id="1893615131">
          <w:marLeft w:val="0"/>
          <w:marRight w:val="0"/>
          <w:marTop w:val="0"/>
          <w:marBottom w:val="0"/>
          <w:divBdr>
            <w:top w:val="none" w:sz="0" w:space="0" w:color="auto"/>
            <w:left w:val="none" w:sz="0" w:space="0" w:color="auto"/>
            <w:bottom w:val="none" w:sz="0" w:space="0" w:color="auto"/>
            <w:right w:val="none" w:sz="0" w:space="0" w:color="auto"/>
          </w:divBdr>
        </w:div>
      </w:divsChild>
    </w:div>
    <w:div w:id="1770201585">
      <w:bodyDiv w:val="1"/>
      <w:marLeft w:val="0"/>
      <w:marRight w:val="0"/>
      <w:marTop w:val="0"/>
      <w:marBottom w:val="0"/>
      <w:divBdr>
        <w:top w:val="none" w:sz="0" w:space="0" w:color="auto"/>
        <w:left w:val="none" w:sz="0" w:space="0" w:color="auto"/>
        <w:bottom w:val="none" w:sz="0" w:space="0" w:color="auto"/>
        <w:right w:val="none" w:sz="0" w:space="0" w:color="auto"/>
      </w:divBdr>
    </w:div>
    <w:div w:id="1775251012">
      <w:bodyDiv w:val="1"/>
      <w:marLeft w:val="0"/>
      <w:marRight w:val="0"/>
      <w:marTop w:val="0"/>
      <w:marBottom w:val="0"/>
      <w:divBdr>
        <w:top w:val="none" w:sz="0" w:space="0" w:color="auto"/>
        <w:left w:val="none" w:sz="0" w:space="0" w:color="auto"/>
        <w:bottom w:val="none" w:sz="0" w:space="0" w:color="auto"/>
        <w:right w:val="none" w:sz="0" w:space="0" w:color="auto"/>
      </w:divBdr>
    </w:div>
    <w:div w:id="1795519592">
      <w:bodyDiv w:val="1"/>
      <w:marLeft w:val="0"/>
      <w:marRight w:val="0"/>
      <w:marTop w:val="0"/>
      <w:marBottom w:val="0"/>
      <w:divBdr>
        <w:top w:val="none" w:sz="0" w:space="0" w:color="auto"/>
        <w:left w:val="none" w:sz="0" w:space="0" w:color="auto"/>
        <w:bottom w:val="none" w:sz="0" w:space="0" w:color="auto"/>
        <w:right w:val="none" w:sz="0" w:space="0" w:color="auto"/>
      </w:divBdr>
    </w:div>
    <w:div w:id="1808206867">
      <w:bodyDiv w:val="1"/>
      <w:marLeft w:val="0"/>
      <w:marRight w:val="0"/>
      <w:marTop w:val="0"/>
      <w:marBottom w:val="0"/>
      <w:divBdr>
        <w:top w:val="none" w:sz="0" w:space="0" w:color="auto"/>
        <w:left w:val="none" w:sz="0" w:space="0" w:color="auto"/>
        <w:bottom w:val="none" w:sz="0" w:space="0" w:color="auto"/>
        <w:right w:val="none" w:sz="0" w:space="0" w:color="auto"/>
      </w:divBdr>
    </w:div>
    <w:div w:id="1815609517">
      <w:bodyDiv w:val="1"/>
      <w:marLeft w:val="0"/>
      <w:marRight w:val="0"/>
      <w:marTop w:val="0"/>
      <w:marBottom w:val="0"/>
      <w:divBdr>
        <w:top w:val="none" w:sz="0" w:space="0" w:color="auto"/>
        <w:left w:val="none" w:sz="0" w:space="0" w:color="auto"/>
        <w:bottom w:val="none" w:sz="0" w:space="0" w:color="auto"/>
        <w:right w:val="none" w:sz="0" w:space="0" w:color="auto"/>
      </w:divBdr>
    </w:div>
    <w:div w:id="1816489761">
      <w:bodyDiv w:val="1"/>
      <w:marLeft w:val="0"/>
      <w:marRight w:val="0"/>
      <w:marTop w:val="0"/>
      <w:marBottom w:val="0"/>
      <w:divBdr>
        <w:top w:val="none" w:sz="0" w:space="0" w:color="auto"/>
        <w:left w:val="none" w:sz="0" w:space="0" w:color="auto"/>
        <w:bottom w:val="none" w:sz="0" w:space="0" w:color="auto"/>
        <w:right w:val="none" w:sz="0" w:space="0" w:color="auto"/>
      </w:divBdr>
    </w:div>
    <w:div w:id="1833908606">
      <w:bodyDiv w:val="1"/>
      <w:marLeft w:val="0"/>
      <w:marRight w:val="0"/>
      <w:marTop w:val="0"/>
      <w:marBottom w:val="0"/>
      <w:divBdr>
        <w:top w:val="none" w:sz="0" w:space="0" w:color="auto"/>
        <w:left w:val="none" w:sz="0" w:space="0" w:color="auto"/>
        <w:bottom w:val="none" w:sz="0" w:space="0" w:color="auto"/>
        <w:right w:val="none" w:sz="0" w:space="0" w:color="auto"/>
      </w:divBdr>
      <w:divsChild>
        <w:div w:id="1226184865">
          <w:marLeft w:val="0"/>
          <w:marRight w:val="0"/>
          <w:marTop w:val="0"/>
          <w:marBottom w:val="0"/>
          <w:divBdr>
            <w:top w:val="none" w:sz="0" w:space="0" w:color="auto"/>
            <w:left w:val="none" w:sz="0" w:space="0" w:color="auto"/>
            <w:bottom w:val="none" w:sz="0" w:space="0" w:color="auto"/>
            <w:right w:val="none" w:sz="0" w:space="0" w:color="auto"/>
          </w:divBdr>
        </w:div>
        <w:div w:id="1576354873">
          <w:marLeft w:val="0"/>
          <w:marRight w:val="0"/>
          <w:marTop w:val="0"/>
          <w:marBottom w:val="0"/>
          <w:divBdr>
            <w:top w:val="none" w:sz="0" w:space="0" w:color="auto"/>
            <w:left w:val="none" w:sz="0" w:space="0" w:color="auto"/>
            <w:bottom w:val="none" w:sz="0" w:space="0" w:color="auto"/>
            <w:right w:val="none" w:sz="0" w:space="0" w:color="auto"/>
          </w:divBdr>
        </w:div>
      </w:divsChild>
    </w:div>
    <w:div w:id="1838419092">
      <w:bodyDiv w:val="1"/>
      <w:marLeft w:val="0"/>
      <w:marRight w:val="0"/>
      <w:marTop w:val="0"/>
      <w:marBottom w:val="0"/>
      <w:divBdr>
        <w:top w:val="none" w:sz="0" w:space="0" w:color="auto"/>
        <w:left w:val="none" w:sz="0" w:space="0" w:color="auto"/>
        <w:bottom w:val="none" w:sz="0" w:space="0" w:color="auto"/>
        <w:right w:val="none" w:sz="0" w:space="0" w:color="auto"/>
      </w:divBdr>
    </w:div>
    <w:div w:id="1881892671">
      <w:bodyDiv w:val="1"/>
      <w:marLeft w:val="0"/>
      <w:marRight w:val="0"/>
      <w:marTop w:val="0"/>
      <w:marBottom w:val="0"/>
      <w:divBdr>
        <w:top w:val="none" w:sz="0" w:space="0" w:color="auto"/>
        <w:left w:val="none" w:sz="0" w:space="0" w:color="auto"/>
        <w:bottom w:val="none" w:sz="0" w:space="0" w:color="auto"/>
        <w:right w:val="none" w:sz="0" w:space="0" w:color="auto"/>
      </w:divBdr>
    </w:div>
    <w:div w:id="1883208158">
      <w:bodyDiv w:val="1"/>
      <w:marLeft w:val="0"/>
      <w:marRight w:val="0"/>
      <w:marTop w:val="0"/>
      <w:marBottom w:val="0"/>
      <w:divBdr>
        <w:top w:val="none" w:sz="0" w:space="0" w:color="auto"/>
        <w:left w:val="none" w:sz="0" w:space="0" w:color="auto"/>
        <w:bottom w:val="none" w:sz="0" w:space="0" w:color="auto"/>
        <w:right w:val="none" w:sz="0" w:space="0" w:color="auto"/>
      </w:divBdr>
    </w:div>
    <w:div w:id="1885367543">
      <w:bodyDiv w:val="1"/>
      <w:marLeft w:val="0"/>
      <w:marRight w:val="0"/>
      <w:marTop w:val="0"/>
      <w:marBottom w:val="0"/>
      <w:divBdr>
        <w:top w:val="none" w:sz="0" w:space="0" w:color="auto"/>
        <w:left w:val="none" w:sz="0" w:space="0" w:color="auto"/>
        <w:bottom w:val="none" w:sz="0" w:space="0" w:color="auto"/>
        <w:right w:val="none" w:sz="0" w:space="0" w:color="auto"/>
      </w:divBdr>
    </w:div>
    <w:div w:id="1902983579">
      <w:bodyDiv w:val="1"/>
      <w:marLeft w:val="0"/>
      <w:marRight w:val="0"/>
      <w:marTop w:val="0"/>
      <w:marBottom w:val="0"/>
      <w:divBdr>
        <w:top w:val="none" w:sz="0" w:space="0" w:color="auto"/>
        <w:left w:val="none" w:sz="0" w:space="0" w:color="auto"/>
        <w:bottom w:val="none" w:sz="0" w:space="0" w:color="auto"/>
        <w:right w:val="none" w:sz="0" w:space="0" w:color="auto"/>
      </w:divBdr>
    </w:div>
    <w:div w:id="1922595168">
      <w:bodyDiv w:val="1"/>
      <w:marLeft w:val="0"/>
      <w:marRight w:val="0"/>
      <w:marTop w:val="0"/>
      <w:marBottom w:val="0"/>
      <w:divBdr>
        <w:top w:val="none" w:sz="0" w:space="0" w:color="auto"/>
        <w:left w:val="none" w:sz="0" w:space="0" w:color="auto"/>
        <w:bottom w:val="none" w:sz="0" w:space="0" w:color="auto"/>
        <w:right w:val="none" w:sz="0" w:space="0" w:color="auto"/>
      </w:divBdr>
    </w:div>
    <w:div w:id="1924875691">
      <w:bodyDiv w:val="1"/>
      <w:marLeft w:val="0"/>
      <w:marRight w:val="0"/>
      <w:marTop w:val="0"/>
      <w:marBottom w:val="0"/>
      <w:divBdr>
        <w:top w:val="none" w:sz="0" w:space="0" w:color="auto"/>
        <w:left w:val="none" w:sz="0" w:space="0" w:color="auto"/>
        <w:bottom w:val="none" w:sz="0" w:space="0" w:color="auto"/>
        <w:right w:val="none" w:sz="0" w:space="0" w:color="auto"/>
      </w:divBdr>
    </w:div>
    <w:div w:id="1925333973">
      <w:bodyDiv w:val="1"/>
      <w:marLeft w:val="0"/>
      <w:marRight w:val="0"/>
      <w:marTop w:val="0"/>
      <w:marBottom w:val="0"/>
      <w:divBdr>
        <w:top w:val="none" w:sz="0" w:space="0" w:color="auto"/>
        <w:left w:val="none" w:sz="0" w:space="0" w:color="auto"/>
        <w:bottom w:val="none" w:sz="0" w:space="0" w:color="auto"/>
        <w:right w:val="none" w:sz="0" w:space="0" w:color="auto"/>
      </w:divBdr>
      <w:divsChild>
        <w:div w:id="592933745">
          <w:marLeft w:val="0"/>
          <w:marRight w:val="0"/>
          <w:marTop w:val="0"/>
          <w:marBottom w:val="0"/>
          <w:divBdr>
            <w:top w:val="none" w:sz="0" w:space="0" w:color="auto"/>
            <w:left w:val="none" w:sz="0" w:space="0" w:color="auto"/>
            <w:bottom w:val="none" w:sz="0" w:space="0" w:color="auto"/>
            <w:right w:val="none" w:sz="0" w:space="0" w:color="auto"/>
          </w:divBdr>
        </w:div>
        <w:div w:id="1639384067">
          <w:marLeft w:val="0"/>
          <w:marRight w:val="0"/>
          <w:marTop w:val="0"/>
          <w:marBottom w:val="0"/>
          <w:divBdr>
            <w:top w:val="none" w:sz="0" w:space="0" w:color="auto"/>
            <w:left w:val="none" w:sz="0" w:space="0" w:color="auto"/>
            <w:bottom w:val="none" w:sz="0" w:space="0" w:color="auto"/>
            <w:right w:val="none" w:sz="0" w:space="0" w:color="auto"/>
          </w:divBdr>
        </w:div>
      </w:divsChild>
    </w:div>
    <w:div w:id="1930578028">
      <w:bodyDiv w:val="1"/>
      <w:marLeft w:val="0"/>
      <w:marRight w:val="0"/>
      <w:marTop w:val="0"/>
      <w:marBottom w:val="0"/>
      <w:divBdr>
        <w:top w:val="none" w:sz="0" w:space="0" w:color="auto"/>
        <w:left w:val="none" w:sz="0" w:space="0" w:color="auto"/>
        <w:bottom w:val="none" w:sz="0" w:space="0" w:color="auto"/>
        <w:right w:val="none" w:sz="0" w:space="0" w:color="auto"/>
      </w:divBdr>
      <w:divsChild>
        <w:div w:id="375931559">
          <w:marLeft w:val="0"/>
          <w:marRight w:val="0"/>
          <w:marTop w:val="0"/>
          <w:marBottom w:val="0"/>
          <w:divBdr>
            <w:top w:val="none" w:sz="0" w:space="0" w:color="auto"/>
            <w:left w:val="none" w:sz="0" w:space="0" w:color="auto"/>
            <w:bottom w:val="none" w:sz="0" w:space="0" w:color="auto"/>
            <w:right w:val="none" w:sz="0" w:space="0" w:color="auto"/>
          </w:divBdr>
        </w:div>
        <w:div w:id="418409179">
          <w:marLeft w:val="0"/>
          <w:marRight w:val="0"/>
          <w:marTop w:val="0"/>
          <w:marBottom w:val="0"/>
          <w:divBdr>
            <w:top w:val="none" w:sz="0" w:space="0" w:color="auto"/>
            <w:left w:val="none" w:sz="0" w:space="0" w:color="auto"/>
            <w:bottom w:val="none" w:sz="0" w:space="0" w:color="auto"/>
            <w:right w:val="none" w:sz="0" w:space="0" w:color="auto"/>
          </w:divBdr>
        </w:div>
        <w:div w:id="767433690">
          <w:marLeft w:val="0"/>
          <w:marRight w:val="0"/>
          <w:marTop w:val="0"/>
          <w:marBottom w:val="0"/>
          <w:divBdr>
            <w:top w:val="none" w:sz="0" w:space="0" w:color="auto"/>
            <w:left w:val="none" w:sz="0" w:space="0" w:color="auto"/>
            <w:bottom w:val="none" w:sz="0" w:space="0" w:color="auto"/>
            <w:right w:val="none" w:sz="0" w:space="0" w:color="auto"/>
          </w:divBdr>
        </w:div>
        <w:div w:id="771047876">
          <w:marLeft w:val="0"/>
          <w:marRight w:val="0"/>
          <w:marTop w:val="0"/>
          <w:marBottom w:val="0"/>
          <w:divBdr>
            <w:top w:val="none" w:sz="0" w:space="0" w:color="auto"/>
            <w:left w:val="none" w:sz="0" w:space="0" w:color="auto"/>
            <w:bottom w:val="none" w:sz="0" w:space="0" w:color="auto"/>
            <w:right w:val="none" w:sz="0" w:space="0" w:color="auto"/>
          </w:divBdr>
        </w:div>
      </w:divsChild>
    </w:div>
    <w:div w:id="1937129719">
      <w:bodyDiv w:val="1"/>
      <w:marLeft w:val="0"/>
      <w:marRight w:val="0"/>
      <w:marTop w:val="0"/>
      <w:marBottom w:val="0"/>
      <w:divBdr>
        <w:top w:val="none" w:sz="0" w:space="0" w:color="auto"/>
        <w:left w:val="none" w:sz="0" w:space="0" w:color="auto"/>
        <w:bottom w:val="none" w:sz="0" w:space="0" w:color="auto"/>
        <w:right w:val="none" w:sz="0" w:space="0" w:color="auto"/>
      </w:divBdr>
      <w:divsChild>
        <w:div w:id="107817449">
          <w:marLeft w:val="0"/>
          <w:marRight w:val="0"/>
          <w:marTop w:val="0"/>
          <w:marBottom w:val="0"/>
          <w:divBdr>
            <w:top w:val="none" w:sz="0" w:space="0" w:color="auto"/>
            <w:left w:val="none" w:sz="0" w:space="0" w:color="auto"/>
            <w:bottom w:val="none" w:sz="0" w:space="0" w:color="auto"/>
            <w:right w:val="none" w:sz="0" w:space="0" w:color="auto"/>
          </w:divBdr>
          <w:divsChild>
            <w:div w:id="38017699">
              <w:marLeft w:val="0"/>
              <w:marRight w:val="0"/>
              <w:marTop w:val="0"/>
              <w:marBottom w:val="0"/>
              <w:divBdr>
                <w:top w:val="none" w:sz="0" w:space="0" w:color="auto"/>
                <w:left w:val="none" w:sz="0" w:space="0" w:color="auto"/>
                <w:bottom w:val="none" w:sz="0" w:space="0" w:color="auto"/>
                <w:right w:val="none" w:sz="0" w:space="0" w:color="auto"/>
              </w:divBdr>
            </w:div>
            <w:div w:id="505287203">
              <w:marLeft w:val="0"/>
              <w:marRight w:val="0"/>
              <w:marTop w:val="0"/>
              <w:marBottom w:val="0"/>
              <w:divBdr>
                <w:top w:val="none" w:sz="0" w:space="0" w:color="auto"/>
                <w:left w:val="none" w:sz="0" w:space="0" w:color="auto"/>
                <w:bottom w:val="none" w:sz="0" w:space="0" w:color="auto"/>
                <w:right w:val="none" w:sz="0" w:space="0" w:color="auto"/>
              </w:divBdr>
            </w:div>
            <w:div w:id="575474259">
              <w:marLeft w:val="0"/>
              <w:marRight w:val="0"/>
              <w:marTop w:val="0"/>
              <w:marBottom w:val="0"/>
              <w:divBdr>
                <w:top w:val="none" w:sz="0" w:space="0" w:color="auto"/>
                <w:left w:val="none" w:sz="0" w:space="0" w:color="auto"/>
                <w:bottom w:val="none" w:sz="0" w:space="0" w:color="auto"/>
                <w:right w:val="none" w:sz="0" w:space="0" w:color="auto"/>
              </w:divBdr>
            </w:div>
            <w:div w:id="1039352933">
              <w:marLeft w:val="0"/>
              <w:marRight w:val="0"/>
              <w:marTop w:val="0"/>
              <w:marBottom w:val="0"/>
              <w:divBdr>
                <w:top w:val="none" w:sz="0" w:space="0" w:color="auto"/>
                <w:left w:val="none" w:sz="0" w:space="0" w:color="auto"/>
                <w:bottom w:val="none" w:sz="0" w:space="0" w:color="auto"/>
                <w:right w:val="none" w:sz="0" w:space="0" w:color="auto"/>
              </w:divBdr>
            </w:div>
            <w:div w:id="1226917467">
              <w:marLeft w:val="0"/>
              <w:marRight w:val="0"/>
              <w:marTop w:val="0"/>
              <w:marBottom w:val="0"/>
              <w:divBdr>
                <w:top w:val="none" w:sz="0" w:space="0" w:color="auto"/>
                <w:left w:val="none" w:sz="0" w:space="0" w:color="auto"/>
                <w:bottom w:val="none" w:sz="0" w:space="0" w:color="auto"/>
                <w:right w:val="none" w:sz="0" w:space="0" w:color="auto"/>
              </w:divBdr>
            </w:div>
            <w:div w:id="1265842979">
              <w:marLeft w:val="0"/>
              <w:marRight w:val="0"/>
              <w:marTop w:val="0"/>
              <w:marBottom w:val="0"/>
              <w:divBdr>
                <w:top w:val="none" w:sz="0" w:space="0" w:color="auto"/>
                <w:left w:val="none" w:sz="0" w:space="0" w:color="auto"/>
                <w:bottom w:val="none" w:sz="0" w:space="0" w:color="auto"/>
                <w:right w:val="none" w:sz="0" w:space="0" w:color="auto"/>
              </w:divBdr>
            </w:div>
            <w:div w:id="1410421595">
              <w:marLeft w:val="0"/>
              <w:marRight w:val="0"/>
              <w:marTop w:val="0"/>
              <w:marBottom w:val="0"/>
              <w:divBdr>
                <w:top w:val="none" w:sz="0" w:space="0" w:color="auto"/>
                <w:left w:val="none" w:sz="0" w:space="0" w:color="auto"/>
                <w:bottom w:val="none" w:sz="0" w:space="0" w:color="auto"/>
                <w:right w:val="none" w:sz="0" w:space="0" w:color="auto"/>
              </w:divBdr>
            </w:div>
            <w:div w:id="1436705170">
              <w:marLeft w:val="0"/>
              <w:marRight w:val="0"/>
              <w:marTop w:val="0"/>
              <w:marBottom w:val="0"/>
              <w:divBdr>
                <w:top w:val="none" w:sz="0" w:space="0" w:color="auto"/>
                <w:left w:val="none" w:sz="0" w:space="0" w:color="auto"/>
                <w:bottom w:val="none" w:sz="0" w:space="0" w:color="auto"/>
                <w:right w:val="none" w:sz="0" w:space="0" w:color="auto"/>
              </w:divBdr>
            </w:div>
            <w:div w:id="1725718196">
              <w:marLeft w:val="0"/>
              <w:marRight w:val="0"/>
              <w:marTop w:val="0"/>
              <w:marBottom w:val="0"/>
              <w:divBdr>
                <w:top w:val="none" w:sz="0" w:space="0" w:color="auto"/>
                <w:left w:val="none" w:sz="0" w:space="0" w:color="auto"/>
                <w:bottom w:val="none" w:sz="0" w:space="0" w:color="auto"/>
                <w:right w:val="none" w:sz="0" w:space="0" w:color="auto"/>
              </w:divBdr>
            </w:div>
            <w:div w:id="2066174964">
              <w:marLeft w:val="0"/>
              <w:marRight w:val="0"/>
              <w:marTop w:val="0"/>
              <w:marBottom w:val="0"/>
              <w:divBdr>
                <w:top w:val="none" w:sz="0" w:space="0" w:color="auto"/>
                <w:left w:val="none" w:sz="0" w:space="0" w:color="auto"/>
                <w:bottom w:val="none" w:sz="0" w:space="0" w:color="auto"/>
                <w:right w:val="none" w:sz="0" w:space="0" w:color="auto"/>
              </w:divBdr>
            </w:div>
            <w:div w:id="2073773907">
              <w:marLeft w:val="0"/>
              <w:marRight w:val="0"/>
              <w:marTop w:val="0"/>
              <w:marBottom w:val="0"/>
              <w:divBdr>
                <w:top w:val="none" w:sz="0" w:space="0" w:color="auto"/>
                <w:left w:val="none" w:sz="0" w:space="0" w:color="auto"/>
                <w:bottom w:val="none" w:sz="0" w:space="0" w:color="auto"/>
                <w:right w:val="none" w:sz="0" w:space="0" w:color="auto"/>
              </w:divBdr>
            </w:div>
          </w:divsChild>
        </w:div>
        <w:div w:id="1753971444">
          <w:marLeft w:val="0"/>
          <w:marRight w:val="0"/>
          <w:marTop w:val="0"/>
          <w:marBottom w:val="0"/>
          <w:divBdr>
            <w:top w:val="none" w:sz="0" w:space="0" w:color="auto"/>
            <w:left w:val="none" w:sz="0" w:space="0" w:color="auto"/>
            <w:bottom w:val="none" w:sz="0" w:space="0" w:color="auto"/>
            <w:right w:val="none" w:sz="0" w:space="0" w:color="auto"/>
          </w:divBdr>
          <w:divsChild>
            <w:div w:id="1004167731">
              <w:marLeft w:val="0"/>
              <w:marRight w:val="0"/>
              <w:marTop w:val="0"/>
              <w:marBottom w:val="0"/>
              <w:divBdr>
                <w:top w:val="none" w:sz="0" w:space="0" w:color="auto"/>
                <w:left w:val="none" w:sz="0" w:space="0" w:color="auto"/>
                <w:bottom w:val="none" w:sz="0" w:space="0" w:color="auto"/>
                <w:right w:val="none" w:sz="0" w:space="0" w:color="auto"/>
              </w:divBdr>
            </w:div>
            <w:div w:id="1435788303">
              <w:marLeft w:val="0"/>
              <w:marRight w:val="0"/>
              <w:marTop w:val="0"/>
              <w:marBottom w:val="0"/>
              <w:divBdr>
                <w:top w:val="none" w:sz="0" w:space="0" w:color="auto"/>
                <w:left w:val="none" w:sz="0" w:space="0" w:color="auto"/>
                <w:bottom w:val="none" w:sz="0" w:space="0" w:color="auto"/>
                <w:right w:val="none" w:sz="0" w:space="0" w:color="auto"/>
              </w:divBdr>
            </w:div>
          </w:divsChild>
        </w:div>
        <w:div w:id="1836216160">
          <w:marLeft w:val="0"/>
          <w:marRight w:val="0"/>
          <w:marTop w:val="0"/>
          <w:marBottom w:val="0"/>
          <w:divBdr>
            <w:top w:val="none" w:sz="0" w:space="0" w:color="auto"/>
            <w:left w:val="none" w:sz="0" w:space="0" w:color="auto"/>
            <w:bottom w:val="none" w:sz="0" w:space="0" w:color="auto"/>
            <w:right w:val="none" w:sz="0" w:space="0" w:color="auto"/>
          </w:divBdr>
          <w:divsChild>
            <w:div w:id="687408874">
              <w:marLeft w:val="0"/>
              <w:marRight w:val="0"/>
              <w:marTop w:val="0"/>
              <w:marBottom w:val="0"/>
              <w:divBdr>
                <w:top w:val="none" w:sz="0" w:space="0" w:color="auto"/>
                <w:left w:val="none" w:sz="0" w:space="0" w:color="auto"/>
                <w:bottom w:val="none" w:sz="0" w:space="0" w:color="auto"/>
                <w:right w:val="none" w:sz="0" w:space="0" w:color="auto"/>
              </w:divBdr>
            </w:div>
            <w:div w:id="137450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328731">
      <w:bodyDiv w:val="1"/>
      <w:marLeft w:val="0"/>
      <w:marRight w:val="0"/>
      <w:marTop w:val="0"/>
      <w:marBottom w:val="0"/>
      <w:divBdr>
        <w:top w:val="none" w:sz="0" w:space="0" w:color="auto"/>
        <w:left w:val="none" w:sz="0" w:space="0" w:color="auto"/>
        <w:bottom w:val="none" w:sz="0" w:space="0" w:color="auto"/>
        <w:right w:val="none" w:sz="0" w:space="0" w:color="auto"/>
      </w:divBdr>
    </w:div>
    <w:div w:id="1944650011">
      <w:bodyDiv w:val="1"/>
      <w:marLeft w:val="0"/>
      <w:marRight w:val="0"/>
      <w:marTop w:val="0"/>
      <w:marBottom w:val="0"/>
      <w:divBdr>
        <w:top w:val="none" w:sz="0" w:space="0" w:color="auto"/>
        <w:left w:val="none" w:sz="0" w:space="0" w:color="auto"/>
        <w:bottom w:val="none" w:sz="0" w:space="0" w:color="auto"/>
        <w:right w:val="none" w:sz="0" w:space="0" w:color="auto"/>
      </w:divBdr>
    </w:div>
    <w:div w:id="1963881283">
      <w:bodyDiv w:val="1"/>
      <w:marLeft w:val="0"/>
      <w:marRight w:val="0"/>
      <w:marTop w:val="0"/>
      <w:marBottom w:val="0"/>
      <w:divBdr>
        <w:top w:val="none" w:sz="0" w:space="0" w:color="auto"/>
        <w:left w:val="none" w:sz="0" w:space="0" w:color="auto"/>
        <w:bottom w:val="none" w:sz="0" w:space="0" w:color="auto"/>
        <w:right w:val="none" w:sz="0" w:space="0" w:color="auto"/>
      </w:divBdr>
    </w:div>
    <w:div w:id="1968074897">
      <w:bodyDiv w:val="1"/>
      <w:marLeft w:val="0"/>
      <w:marRight w:val="0"/>
      <w:marTop w:val="0"/>
      <w:marBottom w:val="0"/>
      <w:divBdr>
        <w:top w:val="none" w:sz="0" w:space="0" w:color="auto"/>
        <w:left w:val="none" w:sz="0" w:space="0" w:color="auto"/>
        <w:bottom w:val="none" w:sz="0" w:space="0" w:color="auto"/>
        <w:right w:val="none" w:sz="0" w:space="0" w:color="auto"/>
      </w:divBdr>
    </w:div>
    <w:div w:id="1976907609">
      <w:bodyDiv w:val="1"/>
      <w:marLeft w:val="0"/>
      <w:marRight w:val="0"/>
      <w:marTop w:val="0"/>
      <w:marBottom w:val="0"/>
      <w:divBdr>
        <w:top w:val="none" w:sz="0" w:space="0" w:color="auto"/>
        <w:left w:val="none" w:sz="0" w:space="0" w:color="auto"/>
        <w:bottom w:val="none" w:sz="0" w:space="0" w:color="auto"/>
        <w:right w:val="none" w:sz="0" w:space="0" w:color="auto"/>
      </w:divBdr>
    </w:div>
    <w:div w:id="1990863705">
      <w:bodyDiv w:val="1"/>
      <w:marLeft w:val="0"/>
      <w:marRight w:val="0"/>
      <w:marTop w:val="0"/>
      <w:marBottom w:val="0"/>
      <w:divBdr>
        <w:top w:val="none" w:sz="0" w:space="0" w:color="auto"/>
        <w:left w:val="none" w:sz="0" w:space="0" w:color="auto"/>
        <w:bottom w:val="none" w:sz="0" w:space="0" w:color="auto"/>
        <w:right w:val="none" w:sz="0" w:space="0" w:color="auto"/>
      </w:divBdr>
      <w:divsChild>
        <w:div w:id="554052838">
          <w:marLeft w:val="0"/>
          <w:marRight w:val="0"/>
          <w:marTop w:val="0"/>
          <w:marBottom w:val="0"/>
          <w:divBdr>
            <w:top w:val="none" w:sz="0" w:space="0" w:color="auto"/>
            <w:left w:val="none" w:sz="0" w:space="0" w:color="auto"/>
            <w:bottom w:val="none" w:sz="0" w:space="0" w:color="auto"/>
            <w:right w:val="none" w:sz="0" w:space="0" w:color="auto"/>
          </w:divBdr>
        </w:div>
        <w:div w:id="1345354728">
          <w:marLeft w:val="0"/>
          <w:marRight w:val="0"/>
          <w:marTop w:val="0"/>
          <w:marBottom w:val="0"/>
          <w:divBdr>
            <w:top w:val="none" w:sz="0" w:space="0" w:color="auto"/>
            <w:left w:val="none" w:sz="0" w:space="0" w:color="auto"/>
            <w:bottom w:val="none" w:sz="0" w:space="0" w:color="auto"/>
            <w:right w:val="none" w:sz="0" w:space="0" w:color="auto"/>
          </w:divBdr>
        </w:div>
      </w:divsChild>
    </w:div>
    <w:div w:id="1995721441">
      <w:bodyDiv w:val="1"/>
      <w:marLeft w:val="0"/>
      <w:marRight w:val="0"/>
      <w:marTop w:val="0"/>
      <w:marBottom w:val="0"/>
      <w:divBdr>
        <w:top w:val="none" w:sz="0" w:space="0" w:color="auto"/>
        <w:left w:val="none" w:sz="0" w:space="0" w:color="auto"/>
        <w:bottom w:val="none" w:sz="0" w:space="0" w:color="auto"/>
        <w:right w:val="none" w:sz="0" w:space="0" w:color="auto"/>
      </w:divBdr>
    </w:div>
    <w:div w:id="2006400382">
      <w:bodyDiv w:val="1"/>
      <w:marLeft w:val="0"/>
      <w:marRight w:val="0"/>
      <w:marTop w:val="0"/>
      <w:marBottom w:val="0"/>
      <w:divBdr>
        <w:top w:val="none" w:sz="0" w:space="0" w:color="auto"/>
        <w:left w:val="none" w:sz="0" w:space="0" w:color="auto"/>
        <w:bottom w:val="none" w:sz="0" w:space="0" w:color="auto"/>
        <w:right w:val="none" w:sz="0" w:space="0" w:color="auto"/>
      </w:divBdr>
    </w:div>
    <w:div w:id="2039502856">
      <w:bodyDiv w:val="1"/>
      <w:marLeft w:val="0"/>
      <w:marRight w:val="0"/>
      <w:marTop w:val="0"/>
      <w:marBottom w:val="0"/>
      <w:divBdr>
        <w:top w:val="none" w:sz="0" w:space="0" w:color="auto"/>
        <w:left w:val="none" w:sz="0" w:space="0" w:color="auto"/>
        <w:bottom w:val="none" w:sz="0" w:space="0" w:color="auto"/>
        <w:right w:val="none" w:sz="0" w:space="0" w:color="auto"/>
      </w:divBdr>
    </w:div>
    <w:div w:id="2040158573">
      <w:bodyDiv w:val="1"/>
      <w:marLeft w:val="0"/>
      <w:marRight w:val="0"/>
      <w:marTop w:val="0"/>
      <w:marBottom w:val="0"/>
      <w:divBdr>
        <w:top w:val="none" w:sz="0" w:space="0" w:color="auto"/>
        <w:left w:val="none" w:sz="0" w:space="0" w:color="auto"/>
        <w:bottom w:val="none" w:sz="0" w:space="0" w:color="auto"/>
        <w:right w:val="none" w:sz="0" w:space="0" w:color="auto"/>
      </w:divBdr>
    </w:div>
    <w:div w:id="2040929342">
      <w:bodyDiv w:val="1"/>
      <w:marLeft w:val="0"/>
      <w:marRight w:val="0"/>
      <w:marTop w:val="0"/>
      <w:marBottom w:val="0"/>
      <w:divBdr>
        <w:top w:val="none" w:sz="0" w:space="0" w:color="auto"/>
        <w:left w:val="none" w:sz="0" w:space="0" w:color="auto"/>
        <w:bottom w:val="none" w:sz="0" w:space="0" w:color="auto"/>
        <w:right w:val="none" w:sz="0" w:space="0" w:color="auto"/>
      </w:divBdr>
    </w:div>
    <w:div w:id="2047480169">
      <w:bodyDiv w:val="1"/>
      <w:marLeft w:val="0"/>
      <w:marRight w:val="0"/>
      <w:marTop w:val="0"/>
      <w:marBottom w:val="0"/>
      <w:divBdr>
        <w:top w:val="none" w:sz="0" w:space="0" w:color="auto"/>
        <w:left w:val="none" w:sz="0" w:space="0" w:color="auto"/>
        <w:bottom w:val="none" w:sz="0" w:space="0" w:color="auto"/>
        <w:right w:val="none" w:sz="0" w:space="0" w:color="auto"/>
      </w:divBdr>
    </w:div>
    <w:div w:id="2054888912">
      <w:bodyDiv w:val="1"/>
      <w:marLeft w:val="0"/>
      <w:marRight w:val="0"/>
      <w:marTop w:val="0"/>
      <w:marBottom w:val="0"/>
      <w:divBdr>
        <w:top w:val="none" w:sz="0" w:space="0" w:color="auto"/>
        <w:left w:val="none" w:sz="0" w:space="0" w:color="auto"/>
        <w:bottom w:val="none" w:sz="0" w:space="0" w:color="auto"/>
        <w:right w:val="none" w:sz="0" w:space="0" w:color="auto"/>
      </w:divBdr>
    </w:div>
    <w:div w:id="2063670531">
      <w:bodyDiv w:val="1"/>
      <w:marLeft w:val="0"/>
      <w:marRight w:val="0"/>
      <w:marTop w:val="0"/>
      <w:marBottom w:val="0"/>
      <w:divBdr>
        <w:top w:val="none" w:sz="0" w:space="0" w:color="auto"/>
        <w:left w:val="none" w:sz="0" w:space="0" w:color="auto"/>
        <w:bottom w:val="none" w:sz="0" w:space="0" w:color="auto"/>
        <w:right w:val="none" w:sz="0" w:space="0" w:color="auto"/>
      </w:divBdr>
      <w:divsChild>
        <w:div w:id="74205583">
          <w:marLeft w:val="0"/>
          <w:marRight w:val="0"/>
          <w:marTop w:val="0"/>
          <w:marBottom w:val="0"/>
          <w:divBdr>
            <w:top w:val="none" w:sz="0" w:space="0" w:color="auto"/>
            <w:left w:val="none" w:sz="0" w:space="0" w:color="auto"/>
            <w:bottom w:val="none" w:sz="0" w:space="0" w:color="auto"/>
            <w:right w:val="none" w:sz="0" w:space="0" w:color="auto"/>
          </w:divBdr>
        </w:div>
        <w:div w:id="578640488">
          <w:marLeft w:val="0"/>
          <w:marRight w:val="0"/>
          <w:marTop w:val="0"/>
          <w:marBottom w:val="0"/>
          <w:divBdr>
            <w:top w:val="none" w:sz="0" w:space="0" w:color="auto"/>
            <w:left w:val="none" w:sz="0" w:space="0" w:color="auto"/>
            <w:bottom w:val="none" w:sz="0" w:space="0" w:color="auto"/>
            <w:right w:val="none" w:sz="0" w:space="0" w:color="auto"/>
          </w:divBdr>
        </w:div>
        <w:div w:id="697045700">
          <w:marLeft w:val="0"/>
          <w:marRight w:val="0"/>
          <w:marTop w:val="0"/>
          <w:marBottom w:val="0"/>
          <w:divBdr>
            <w:top w:val="none" w:sz="0" w:space="0" w:color="auto"/>
            <w:left w:val="none" w:sz="0" w:space="0" w:color="auto"/>
            <w:bottom w:val="none" w:sz="0" w:space="0" w:color="auto"/>
            <w:right w:val="none" w:sz="0" w:space="0" w:color="auto"/>
          </w:divBdr>
        </w:div>
        <w:div w:id="2079084897">
          <w:marLeft w:val="0"/>
          <w:marRight w:val="0"/>
          <w:marTop w:val="0"/>
          <w:marBottom w:val="0"/>
          <w:divBdr>
            <w:top w:val="none" w:sz="0" w:space="0" w:color="auto"/>
            <w:left w:val="none" w:sz="0" w:space="0" w:color="auto"/>
            <w:bottom w:val="none" w:sz="0" w:space="0" w:color="auto"/>
            <w:right w:val="none" w:sz="0" w:space="0" w:color="auto"/>
          </w:divBdr>
        </w:div>
      </w:divsChild>
    </w:div>
    <w:div w:id="2063946699">
      <w:bodyDiv w:val="1"/>
      <w:marLeft w:val="0"/>
      <w:marRight w:val="0"/>
      <w:marTop w:val="0"/>
      <w:marBottom w:val="0"/>
      <w:divBdr>
        <w:top w:val="none" w:sz="0" w:space="0" w:color="auto"/>
        <w:left w:val="none" w:sz="0" w:space="0" w:color="auto"/>
        <w:bottom w:val="none" w:sz="0" w:space="0" w:color="auto"/>
        <w:right w:val="none" w:sz="0" w:space="0" w:color="auto"/>
      </w:divBdr>
    </w:div>
    <w:div w:id="2064282789">
      <w:bodyDiv w:val="1"/>
      <w:marLeft w:val="0"/>
      <w:marRight w:val="0"/>
      <w:marTop w:val="0"/>
      <w:marBottom w:val="0"/>
      <w:divBdr>
        <w:top w:val="none" w:sz="0" w:space="0" w:color="auto"/>
        <w:left w:val="none" w:sz="0" w:space="0" w:color="auto"/>
        <w:bottom w:val="none" w:sz="0" w:space="0" w:color="auto"/>
        <w:right w:val="none" w:sz="0" w:space="0" w:color="auto"/>
      </w:divBdr>
    </w:div>
    <w:div w:id="2066755796">
      <w:bodyDiv w:val="1"/>
      <w:marLeft w:val="0"/>
      <w:marRight w:val="0"/>
      <w:marTop w:val="0"/>
      <w:marBottom w:val="0"/>
      <w:divBdr>
        <w:top w:val="none" w:sz="0" w:space="0" w:color="auto"/>
        <w:left w:val="none" w:sz="0" w:space="0" w:color="auto"/>
        <w:bottom w:val="none" w:sz="0" w:space="0" w:color="auto"/>
        <w:right w:val="none" w:sz="0" w:space="0" w:color="auto"/>
      </w:divBdr>
      <w:divsChild>
        <w:div w:id="258023738">
          <w:marLeft w:val="0"/>
          <w:marRight w:val="0"/>
          <w:marTop w:val="0"/>
          <w:marBottom w:val="0"/>
          <w:divBdr>
            <w:top w:val="none" w:sz="0" w:space="0" w:color="auto"/>
            <w:left w:val="none" w:sz="0" w:space="0" w:color="auto"/>
            <w:bottom w:val="none" w:sz="0" w:space="0" w:color="auto"/>
            <w:right w:val="none" w:sz="0" w:space="0" w:color="auto"/>
          </w:divBdr>
        </w:div>
        <w:div w:id="747116122">
          <w:marLeft w:val="0"/>
          <w:marRight w:val="0"/>
          <w:marTop w:val="0"/>
          <w:marBottom w:val="0"/>
          <w:divBdr>
            <w:top w:val="none" w:sz="0" w:space="0" w:color="auto"/>
            <w:left w:val="none" w:sz="0" w:space="0" w:color="auto"/>
            <w:bottom w:val="none" w:sz="0" w:space="0" w:color="auto"/>
            <w:right w:val="none" w:sz="0" w:space="0" w:color="auto"/>
          </w:divBdr>
        </w:div>
        <w:div w:id="855659508">
          <w:marLeft w:val="0"/>
          <w:marRight w:val="0"/>
          <w:marTop w:val="0"/>
          <w:marBottom w:val="0"/>
          <w:divBdr>
            <w:top w:val="none" w:sz="0" w:space="0" w:color="auto"/>
            <w:left w:val="none" w:sz="0" w:space="0" w:color="auto"/>
            <w:bottom w:val="none" w:sz="0" w:space="0" w:color="auto"/>
            <w:right w:val="none" w:sz="0" w:space="0" w:color="auto"/>
          </w:divBdr>
        </w:div>
        <w:div w:id="1663435629">
          <w:marLeft w:val="0"/>
          <w:marRight w:val="0"/>
          <w:marTop w:val="0"/>
          <w:marBottom w:val="0"/>
          <w:divBdr>
            <w:top w:val="none" w:sz="0" w:space="0" w:color="auto"/>
            <w:left w:val="none" w:sz="0" w:space="0" w:color="auto"/>
            <w:bottom w:val="none" w:sz="0" w:space="0" w:color="auto"/>
            <w:right w:val="none" w:sz="0" w:space="0" w:color="auto"/>
          </w:divBdr>
        </w:div>
        <w:div w:id="1793984122">
          <w:marLeft w:val="0"/>
          <w:marRight w:val="0"/>
          <w:marTop w:val="0"/>
          <w:marBottom w:val="0"/>
          <w:divBdr>
            <w:top w:val="none" w:sz="0" w:space="0" w:color="auto"/>
            <w:left w:val="none" w:sz="0" w:space="0" w:color="auto"/>
            <w:bottom w:val="none" w:sz="0" w:space="0" w:color="auto"/>
            <w:right w:val="none" w:sz="0" w:space="0" w:color="auto"/>
          </w:divBdr>
        </w:div>
        <w:div w:id="2040546437">
          <w:marLeft w:val="0"/>
          <w:marRight w:val="0"/>
          <w:marTop w:val="0"/>
          <w:marBottom w:val="0"/>
          <w:divBdr>
            <w:top w:val="none" w:sz="0" w:space="0" w:color="auto"/>
            <w:left w:val="none" w:sz="0" w:space="0" w:color="auto"/>
            <w:bottom w:val="none" w:sz="0" w:space="0" w:color="auto"/>
            <w:right w:val="none" w:sz="0" w:space="0" w:color="auto"/>
          </w:divBdr>
        </w:div>
      </w:divsChild>
    </w:div>
    <w:div w:id="2070838981">
      <w:bodyDiv w:val="1"/>
      <w:marLeft w:val="0"/>
      <w:marRight w:val="0"/>
      <w:marTop w:val="0"/>
      <w:marBottom w:val="0"/>
      <w:divBdr>
        <w:top w:val="none" w:sz="0" w:space="0" w:color="auto"/>
        <w:left w:val="none" w:sz="0" w:space="0" w:color="auto"/>
        <w:bottom w:val="none" w:sz="0" w:space="0" w:color="auto"/>
        <w:right w:val="none" w:sz="0" w:space="0" w:color="auto"/>
      </w:divBdr>
    </w:div>
    <w:div w:id="2076660955">
      <w:bodyDiv w:val="1"/>
      <w:marLeft w:val="0"/>
      <w:marRight w:val="0"/>
      <w:marTop w:val="0"/>
      <w:marBottom w:val="0"/>
      <w:divBdr>
        <w:top w:val="none" w:sz="0" w:space="0" w:color="auto"/>
        <w:left w:val="none" w:sz="0" w:space="0" w:color="auto"/>
        <w:bottom w:val="none" w:sz="0" w:space="0" w:color="auto"/>
        <w:right w:val="none" w:sz="0" w:space="0" w:color="auto"/>
      </w:divBdr>
    </w:div>
    <w:div w:id="2076662008">
      <w:bodyDiv w:val="1"/>
      <w:marLeft w:val="0"/>
      <w:marRight w:val="0"/>
      <w:marTop w:val="0"/>
      <w:marBottom w:val="0"/>
      <w:divBdr>
        <w:top w:val="none" w:sz="0" w:space="0" w:color="auto"/>
        <w:left w:val="none" w:sz="0" w:space="0" w:color="auto"/>
        <w:bottom w:val="none" w:sz="0" w:space="0" w:color="auto"/>
        <w:right w:val="none" w:sz="0" w:space="0" w:color="auto"/>
      </w:divBdr>
    </w:div>
    <w:div w:id="2080248943">
      <w:bodyDiv w:val="1"/>
      <w:marLeft w:val="0"/>
      <w:marRight w:val="0"/>
      <w:marTop w:val="0"/>
      <w:marBottom w:val="0"/>
      <w:divBdr>
        <w:top w:val="none" w:sz="0" w:space="0" w:color="auto"/>
        <w:left w:val="none" w:sz="0" w:space="0" w:color="auto"/>
        <w:bottom w:val="none" w:sz="0" w:space="0" w:color="auto"/>
        <w:right w:val="none" w:sz="0" w:space="0" w:color="auto"/>
      </w:divBdr>
    </w:div>
    <w:div w:id="2089422484">
      <w:bodyDiv w:val="1"/>
      <w:marLeft w:val="0"/>
      <w:marRight w:val="0"/>
      <w:marTop w:val="0"/>
      <w:marBottom w:val="0"/>
      <w:divBdr>
        <w:top w:val="none" w:sz="0" w:space="0" w:color="auto"/>
        <w:left w:val="none" w:sz="0" w:space="0" w:color="auto"/>
        <w:bottom w:val="none" w:sz="0" w:space="0" w:color="auto"/>
        <w:right w:val="none" w:sz="0" w:space="0" w:color="auto"/>
      </w:divBdr>
    </w:div>
    <w:div w:id="2095080390">
      <w:bodyDiv w:val="1"/>
      <w:marLeft w:val="0"/>
      <w:marRight w:val="0"/>
      <w:marTop w:val="0"/>
      <w:marBottom w:val="0"/>
      <w:divBdr>
        <w:top w:val="none" w:sz="0" w:space="0" w:color="auto"/>
        <w:left w:val="none" w:sz="0" w:space="0" w:color="auto"/>
        <w:bottom w:val="none" w:sz="0" w:space="0" w:color="auto"/>
        <w:right w:val="none" w:sz="0" w:space="0" w:color="auto"/>
      </w:divBdr>
    </w:div>
    <w:div w:id="2101103717">
      <w:bodyDiv w:val="1"/>
      <w:marLeft w:val="0"/>
      <w:marRight w:val="0"/>
      <w:marTop w:val="0"/>
      <w:marBottom w:val="0"/>
      <w:divBdr>
        <w:top w:val="none" w:sz="0" w:space="0" w:color="auto"/>
        <w:left w:val="none" w:sz="0" w:space="0" w:color="auto"/>
        <w:bottom w:val="none" w:sz="0" w:space="0" w:color="auto"/>
        <w:right w:val="none" w:sz="0" w:space="0" w:color="auto"/>
      </w:divBdr>
      <w:divsChild>
        <w:div w:id="332147381">
          <w:marLeft w:val="0"/>
          <w:marRight w:val="0"/>
          <w:marTop w:val="0"/>
          <w:marBottom w:val="0"/>
          <w:divBdr>
            <w:top w:val="none" w:sz="0" w:space="0" w:color="auto"/>
            <w:left w:val="none" w:sz="0" w:space="0" w:color="auto"/>
            <w:bottom w:val="none" w:sz="0" w:space="0" w:color="auto"/>
            <w:right w:val="none" w:sz="0" w:space="0" w:color="auto"/>
          </w:divBdr>
        </w:div>
        <w:div w:id="425419274">
          <w:marLeft w:val="0"/>
          <w:marRight w:val="0"/>
          <w:marTop w:val="0"/>
          <w:marBottom w:val="0"/>
          <w:divBdr>
            <w:top w:val="none" w:sz="0" w:space="0" w:color="auto"/>
            <w:left w:val="none" w:sz="0" w:space="0" w:color="auto"/>
            <w:bottom w:val="none" w:sz="0" w:space="0" w:color="auto"/>
            <w:right w:val="none" w:sz="0" w:space="0" w:color="auto"/>
          </w:divBdr>
        </w:div>
        <w:div w:id="1139495330">
          <w:marLeft w:val="0"/>
          <w:marRight w:val="0"/>
          <w:marTop w:val="0"/>
          <w:marBottom w:val="0"/>
          <w:divBdr>
            <w:top w:val="none" w:sz="0" w:space="0" w:color="auto"/>
            <w:left w:val="none" w:sz="0" w:space="0" w:color="auto"/>
            <w:bottom w:val="none" w:sz="0" w:space="0" w:color="auto"/>
            <w:right w:val="none" w:sz="0" w:space="0" w:color="auto"/>
          </w:divBdr>
        </w:div>
        <w:div w:id="1192114450">
          <w:marLeft w:val="0"/>
          <w:marRight w:val="0"/>
          <w:marTop w:val="0"/>
          <w:marBottom w:val="0"/>
          <w:divBdr>
            <w:top w:val="none" w:sz="0" w:space="0" w:color="auto"/>
            <w:left w:val="none" w:sz="0" w:space="0" w:color="auto"/>
            <w:bottom w:val="none" w:sz="0" w:space="0" w:color="auto"/>
            <w:right w:val="none" w:sz="0" w:space="0" w:color="auto"/>
          </w:divBdr>
        </w:div>
        <w:div w:id="1199706354">
          <w:marLeft w:val="0"/>
          <w:marRight w:val="0"/>
          <w:marTop w:val="0"/>
          <w:marBottom w:val="0"/>
          <w:divBdr>
            <w:top w:val="none" w:sz="0" w:space="0" w:color="auto"/>
            <w:left w:val="none" w:sz="0" w:space="0" w:color="auto"/>
            <w:bottom w:val="none" w:sz="0" w:space="0" w:color="auto"/>
            <w:right w:val="none" w:sz="0" w:space="0" w:color="auto"/>
          </w:divBdr>
        </w:div>
        <w:div w:id="1595282630">
          <w:marLeft w:val="0"/>
          <w:marRight w:val="0"/>
          <w:marTop w:val="0"/>
          <w:marBottom w:val="0"/>
          <w:divBdr>
            <w:top w:val="none" w:sz="0" w:space="0" w:color="auto"/>
            <w:left w:val="none" w:sz="0" w:space="0" w:color="auto"/>
            <w:bottom w:val="none" w:sz="0" w:space="0" w:color="auto"/>
            <w:right w:val="none" w:sz="0" w:space="0" w:color="auto"/>
          </w:divBdr>
        </w:div>
        <w:div w:id="1655912843">
          <w:marLeft w:val="0"/>
          <w:marRight w:val="0"/>
          <w:marTop w:val="0"/>
          <w:marBottom w:val="0"/>
          <w:divBdr>
            <w:top w:val="none" w:sz="0" w:space="0" w:color="auto"/>
            <w:left w:val="none" w:sz="0" w:space="0" w:color="auto"/>
            <w:bottom w:val="none" w:sz="0" w:space="0" w:color="auto"/>
            <w:right w:val="none" w:sz="0" w:space="0" w:color="auto"/>
          </w:divBdr>
        </w:div>
        <w:div w:id="1860123864">
          <w:marLeft w:val="0"/>
          <w:marRight w:val="0"/>
          <w:marTop w:val="0"/>
          <w:marBottom w:val="0"/>
          <w:divBdr>
            <w:top w:val="none" w:sz="0" w:space="0" w:color="auto"/>
            <w:left w:val="none" w:sz="0" w:space="0" w:color="auto"/>
            <w:bottom w:val="none" w:sz="0" w:space="0" w:color="auto"/>
            <w:right w:val="none" w:sz="0" w:space="0" w:color="auto"/>
          </w:divBdr>
        </w:div>
        <w:div w:id="1959531870">
          <w:marLeft w:val="0"/>
          <w:marRight w:val="0"/>
          <w:marTop w:val="0"/>
          <w:marBottom w:val="0"/>
          <w:divBdr>
            <w:top w:val="none" w:sz="0" w:space="0" w:color="auto"/>
            <w:left w:val="none" w:sz="0" w:space="0" w:color="auto"/>
            <w:bottom w:val="none" w:sz="0" w:space="0" w:color="auto"/>
            <w:right w:val="none" w:sz="0" w:space="0" w:color="auto"/>
          </w:divBdr>
        </w:div>
        <w:div w:id="2043482439">
          <w:marLeft w:val="0"/>
          <w:marRight w:val="0"/>
          <w:marTop w:val="0"/>
          <w:marBottom w:val="0"/>
          <w:divBdr>
            <w:top w:val="none" w:sz="0" w:space="0" w:color="auto"/>
            <w:left w:val="none" w:sz="0" w:space="0" w:color="auto"/>
            <w:bottom w:val="none" w:sz="0" w:space="0" w:color="auto"/>
            <w:right w:val="none" w:sz="0" w:space="0" w:color="auto"/>
          </w:divBdr>
        </w:div>
      </w:divsChild>
    </w:div>
    <w:div w:id="2121292260">
      <w:bodyDiv w:val="1"/>
      <w:marLeft w:val="0"/>
      <w:marRight w:val="0"/>
      <w:marTop w:val="0"/>
      <w:marBottom w:val="0"/>
      <w:divBdr>
        <w:top w:val="none" w:sz="0" w:space="0" w:color="auto"/>
        <w:left w:val="none" w:sz="0" w:space="0" w:color="auto"/>
        <w:bottom w:val="none" w:sz="0" w:space="0" w:color="auto"/>
        <w:right w:val="none" w:sz="0" w:space="0" w:color="auto"/>
      </w:divBdr>
    </w:div>
    <w:div w:id="2125688826">
      <w:bodyDiv w:val="1"/>
      <w:marLeft w:val="0"/>
      <w:marRight w:val="0"/>
      <w:marTop w:val="0"/>
      <w:marBottom w:val="0"/>
      <w:divBdr>
        <w:top w:val="none" w:sz="0" w:space="0" w:color="auto"/>
        <w:left w:val="none" w:sz="0" w:space="0" w:color="auto"/>
        <w:bottom w:val="none" w:sz="0" w:space="0" w:color="auto"/>
        <w:right w:val="none" w:sz="0" w:space="0" w:color="auto"/>
      </w:divBdr>
    </w:div>
    <w:div w:id="2137673000">
      <w:bodyDiv w:val="1"/>
      <w:marLeft w:val="0"/>
      <w:marRight w:val="0"/>
      <w:marTop w:val="0"/>
      <w:marBottom w:val="0"/>
      <w:divBdr>
        <w:top w:val="none" w:sz="0" w:space="0" w:color="auto"/>
        <w:left w:val="none" w:sz="0" w:space="0" w:color="auto"/>
        <w:bottom w:val="none" w:sz="0" w:space="0" w:color="auto"/>
        <w:right w:val="none" w:sz="0" w:space="0" w:color="auto"/>
      </w:divBdr>
      <w:divsChild>
        <w:div w:id="955059996">
          <w:marLeft w:val="0"/>
          <w:marRight w:val="0"/>
          <w:marTop w:val="0"/>
          <w:marBottom w:val="0"/>
          <w:divBdr>
            <w:top w:val="none" w:sz="0" w:space="0" w:color="auto"/>
            <w:left w:val="none" w:sz="0" w:space="0" w:color="auto"/>
            <w:bottom w:val="none" w:sz="0" w:space="0" w:color="auto"/>
            <w:right w:val="none" w:sz="0" w:space="0" w:color="auto"/>
          </w:divBdr>
          <w:divsChild>
            <w:div w:id="94523024">
              <w:marLeft w:val="0"/>
              <w:marRight w:val="0"/>
              <w:marTop w:val="0"/>
              <w:marBottom w:val="0"/>
              <w:divBdr>
                <w:top w:val="none" w:sz="0" w:space="0" w:color="auto"/>
                <w:left w:val="none" w:sz="0" w:space="0" w:color="auto"/>
                <w:bottom w:val="none" w:sz="0" w:space="0" w:color="auto"/>
                <w:right w:val="none" w:sz="0" w:space="0" w:color="auto"/>
              </w:divBdr>
            </w:div>
            <w:div w:id="213083962">
              <w:marLeft w:val="0"/>
              <w:marRight w:val="0"/>
              <w:marTop w:val="0"/>
              <w:marBottom w:val="0"/>
              <w:divBdr>
                <w:top w:val="none" w:sz="0" w:space="0" w:color="auto"/>
                <w:left w:val="none" w:sz="0" w:space="0" w:color="auto"/>
                <w:bottom w:val="none" w:sz="0" w:space="0" w:color="auto"/>
                <w:right w:val="none" w:sz="0" w:space="0" w:color="auto"/>
              </w:divBdr>
            </w:div>
          </w:divsChild>
        </w:div>
        <w:div w:id="966282717">
          <w:marLeft w:val="0"/>
          <w:marRight w:val="0"/>
          <w:marTop w:val="0"/>
          <w:marBottom w:val="0"/>
          <w:divBdr>
            <w:top w:val="none" w:sz="0" w:space="0" w:color="auto"/>
            <w:left w:val="none" w:sz="0" w:space="0" w:color="auto"/>
            <w:bottom w:val="none" w:sz="0" w:space="0" w:color="auto"/>
            <w:right w:val="none" w:sz="0" w:space="0" w:color="auto"/>
          </w:divBdr>
          <w:divsChild>
            <w:div w:id="105257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64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ipo.dnp.gov.co/detalleindicador/XRbkN6wseg2Pv7Mk)" TargetMode="External"/><Relationship Id="rId18" Type="http://schemas.openxmlformats.org/officeDocument/2006/relationships/hyperlink" Target="https://siipo.dnp.gov.co/detalleindicador/UAPkM6wsegvNv653)" TargetMode="External"/><Relationship Id="rId26" Type="http://schemas.openxmlformats.org/officeDocument/2006/relationships/hyperlink" Target="https://www.suin-juriscol.gov.co/viewDocument.asp?id=30055341" TargetMode="External"/><Relationship Id="rId39" Type="http://schemas.openxmlformats.org/officeDocument/2006/relationships/hyperlink" Target="https://www.colombiacompra.gov.co/secop/busqueda-de-procesos-de-contratacion" TargetMode="External"/><Relationship Id="rId21" Type="http://schemas.openxmlformats.org/officeDocument/2006/relationships/hyperlink" Target="https://siipo.dnp.gov.co/detalleindicador/UQDndKwsZwAbcYqdqLdo)" TargetMode="External"/><Relationship Id="rId34" Type="http://schemas.openxmlformats.org/officeDocument/2006/relationships/hyperlink" Target="https://www.reincorporacion.gov.co/es/participa/Paginas/Rendicion-de-Cuentas.aspx" TargetMode="External"/><Relationship Id="rId42" Type="http://schemas.openxmlformats.org/officeDocument/2006/relationships/hyperlink" Target="mailto:cgr@contraloria.gov.co" TargetMode="External"/><Relationship Id="rId47" Type="http://schemas.openxmlformats.org/officeDocument/2006/relationships/hyperlink" Target="https://www.reincorporacion.gov.co/es/Paginas/calendario.aspx" TargetMode="External"/><Relationship Id="rId50" Type="http://schemas.openxmlformats.org/officeDocument/2006/relationships/hyperlink" Target="mailto:taniarodriguez@reincorporacion.gov.co" TargetMode="External"/><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incorporacion.gov.co/es/sala-de-prensa/noticias/SiteAssets/Cartilla_Paso_Paso.pdf" TargetMode="External"/><Relationship Id="rId29" Type="http://schemas.openxmlformats.org/officeDocument/2006/relationships/hyperlink" Target="https://www.reincorporacion.gov.co/es/agencia/Paginas/normatividad.aspx" TargetMode="External"/><Relationship Id="rId11" Type="http://schemas.openxmlformats.org/officeDocument/2006/relationships/image" Target="media/image1.png"/><Relationship Id="rId24" Type="http://schemas.openxmlformats.org/officeDocument/2006/relationships/hyperlink" Target="https://youtu.be/WgtG49dbb-w?si=bxdf8MWlOlvH7Lam" TargetMode="External"/><Relationship Id="rId32" Type="http://schemas.openxmlformats.org/officeDocument/2006/relationships/hyperlink" Target="https://www.reincorporacion.gov.co/es/agencia/Paginas/pqrs-d.aspx" TargetMode="External"/><Relationship Id="rId37" Type="http://schemas.openxmlformats.org/officeDocument/2006/relationships/hyperlink" Target="https://www.reincorporacion.gov.co/es/participa/Paginas/Rendicion-de-Cuentas.aspx" TargetMode="External"/><Relationship Id="rId40" Type="http://schemas.openxmlformats.org/officeDocument/2006/relationships/hyperlink" Target="https://www.contratos.gov.co/consultas/inicioConsulta.do" TargetMode="External"/><Relationship Id="rId45" Type="http://schemas.openxmlformats.org/officeDocument/2006/relationships/hyperlink" Target="https://www.fiscalia.gov.co/colombia/servicios-de-informacion-al-ciudadano/donde-y-como-denunciar/" TargetMode="External"/><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customXml" Target="../customXml/item5.xml"/><Relationship Id="rId19" Type="http://schemas.openxmlformats.org/officeDocument/2006/relationships/hyperlink" Target="https://siipo.dnp.gov.co/detalleindicador/CUAbcYqgcqwsegbdpad8)" TargetMode="External"/><Relationship Id="rId14" Type="http://schemas.openxmlformats.org/officeDocument/2006/relationships/image" Target="media/image2.png"/><Relationship Id="rId22" Type="http://schemas.openxmlformats.org/officeDocument/2006/relationships/hyperlink" Target="https://siipo.dnp.gov.co/detalleindicador/VEnuYKwsZwqM6Klg" TargetMode="External"/><Relationship Id="rId27" Type="http://schemas.openxmlformats.org/officeDocument/2006/relationships/hyperlink" Target="https://www.reincorporacion.gov.co/es/agencia/Paginas/normatividad.aspx" TargetMode="External"/><Relationship Id="rId30" Type="http://schemas.openxmlformats.org/officeDocument/2006/relationships/hyperlink" Target="https://word-edit.officeapps.live.com/we/wordeditorframe.aspx?ui=es-ES&amp;rs=es-ES&amp;wopisrc=https%3A%2F%2Ffuncionpublicagovco-my.sharepoint.com%2Fpersonal%2Fequinones_funcionpublica_gov_co%2F_vti_bin%2Fwopi.ashx%2Ffiles%2Fc5dccc5b0c554d048c95990dbd26390a&amp;wdorigin=ItemsView&amp;wdenableroaming=1&amp;mscc=1&amp;wdodb=1&amp;hid=BD1F7AA1-D001-7000-7A68-42FAFA402482.0&amp;uih=sharepointcom&amp;wdlcid=es-ES&amp;jsapi=1&amp;jsapiver=v2&amp;corrid=411d7c44-97a9-8b21-f9c1-14b69240696f&amp;usid=411d7c44-97a9-8b21-f9c1-14b69240696f&amp;newsession=1&amp;sftc=1&amp;uihit=docaspx&amp;muv=1&amp;cac=1&amp;sams=1&amp;mtf=1&amp;sfp=1&amp;sdp=1&amp;hch=1&amp;hwfh=1&amp;dchat=1&amp;sc=%7B%22pmo%22%3A%22https%3A%2F%2Ffuncionpublicagovco-my.sharepoint.com%22%2C%22pmshare%22%3Atrue%7D&amp;ctp=LeastProtected&amp;rct=Normal&amp;wdhostclicktime=1737579491333&amp;csc=1&amp;instantedit=1&amp;wopicomplete=1&amp;wdredirectionreason=Unified_SingleFlush" TargetMode="External"/><Relationship Id="rId35" Type="http://schemas.openxmlformats.org/officeDocument/2006/relationships/hyperlink" Target="https://www.reincorporacion.gov.co/es/agencia/Paginas/Informes-de-rendicion-de-cuentas.aspx" TargetMode="External"/><Relationship Id="rId43" Type="http://schemas.openxmlformats.org/officeDocument/2006/relationships/hyperlink" Target="https://sedeelectronica.procuraduria.gov.co/PQRDSF/denuncia-acuerdo-de-paz/?typeform=denuncia-acuerdo-de-paz" TargetMode="External"/><Relationship Id="rId48" Type="http://schemas.openxmlformats.org/officeDocument/2006/relationships/image" Target="media/image4.png"/><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mailto:carmenbernal@reincorporacion.gov.co" TargetMode="External"/><Relationship Id="rId3" Type="http://schemas.openxmlformats.org/officeDocument/2006/relationships/customXml" Target="../customXml/item3.xml"/><Relationship Id="rId12" Type="http://schemas.openxmlformats.org/officeDocument/2006/relationships/hyperlink" Target="https://www.youtube.com/playlist?list=PL2YQ_jjjSXuv-lDh2QOUrWm5r5NDYqFgg" TargetMode="External"/><Relationship Id="rId17" Type="http://schemas.openxmlformats.org/officeDocument/2006/relationships/hyperlink" Target="https://siipo.dnp.gov.co/detalleindicador/VgrqYcbAe6wsegjY5Lkr" TargetMode="External"/><Relationship Id="rId25" Type="http://schemas.openxmlformats.org/officeDocument/2006/relationships/hyperlink" Target="https://www.suin-juriscol.gov.co/viewDocument.asp?id=30054449" TargetMode="External"/><Relationship Id="rId33" Type="http://schemas.openxmlformats.org/officeDocument/2006/relationships/hyperlink" Target="https://www.reincorporacion.gov.co/es/agencia/Paginas/Proyectos-Normativos.aspx?RootFolder=%2Fes%2Fagencia%2FProyectos%5FNormativos%2FVigencia%2D2024&amp;FolderCTID=0x012000A4A8E327ECB3CB4B8AFF93BA62655786&amp;View=%7B4098DC3D%2DA9C3%2D4C78%2D8A34%2DE204CCA1CEBE%7D" TargetMode="External"/><Relationship Id="rId38" Type="http://schemas.openxmlformats.org/officeDocument/2006/relationships/hyperlink" Target="http://www.colombiacompra.gov.co" TargetMode="External"/><Relationship Id="rId46" Type="http://schemas.openxmlformats.org/officeDocument/2006/relationships/hyperlink" Target="https://www.policia.gov.co" TargetMode="External"/><Relationship Id="rId59" Type="http://schemas.microsoft.com/office/2019/05/relationships/documenttasks" Target="documenttasks/documenttasks1.xml"/><Relationship Id="rId20" Type="http://schemas.openxmlformats.org/officeDocument/2006/relationships/hyperlink" Target="https://siipo.dnp.gov.co/detalleindicador/CwGheqwseheJsKkh" TargetMode="External"/><Relationship Id="rId41" Type="http://schemas.openxmlformats.org/officeDocument/2006/relationships/hyperlink" Target="https://www.contraloria.gov.co/es/web/guest/atencion-al-ciudadano/denuncias-y-otras-solicitudes-pqrd"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youtu.be/vcWNNmq07A0?si=_36aY4gKrBRq-ZqY" TargetMode="External"/><Relationship Id="rId28" Type="http://schemas.openxmlformats.org/officeDocument/2006/relationships/hyperlink" Target="https://www.reincorporacion.gov.co/es/agencia/Paginas/normatividad.aspx" TargetMode="External"/><Relationship Id="rId36" Type="http://schemas.openxmlformats.org/officeDocument/2006/relationships/hyperlink" Target="https://www.youtube.com/@ARNColombia/search?query=cnr" TargetMode="External"/><Relationship Id="rId49" Type="http://schemas.openxmlformats.org/officeDocument/2006/relationships/hyperlink" Target="mailto:mariluzramirez@reincorporacion.gov.co"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ord-edit.officeapps.live.com/we/wordeditorframe.aspx?ui=es-ES&amp;rs=es-ES&amp;wopisrc=https%3A%2F%2Ffuncionpublicagovco-my.sharepoint.com%2Fpersonal%2Fequinones_funcionpublica_gov_co%2F_vti_bin%2Fwopi.ashx%2Ffiles%2Fc5dccc5b0c554d048c95990dbd26390a&amp;wdorigin=ItemsView&amp;wdenableroaming=1&amp;mscc=1&amp;wdodb=1&amp;hid=BD1F7AA1-D001-7000-7A68-42FAFA402482.0&amp;uih=sharepointcom&amp;wdlcid=es-ES&amp;jsapi=1&amp;jsapiver=v2&amp;corrid=411d7c44-97a9-8b21-f9c1-14b69240696f&amp;usid=411d7c44-97a9-8b21-f9c1-14b69240696f&amp;newsession=1&amp;sftc=1&amp;uihit=docaspx&amp;muv=1&amp;cac=1&amp;sams=1&amp;mtf=1&amp;sfp=1&amp;sdp=1&amp;hch=1&amp;hwfh=1&amp;dchat=1&amp;sc=%7B%22pmo%22%3A%22https%3A%2F%2Ffuncionpublicagovco-my.sharepoint.com%22%2C%22pmshare%22%3Atrue%7D&amp;ctp=LeastProtected&amp;rct=Normal&amp;wdhostclicktime=1737579491333&amp;csc=1&amp;instantedit=1&amp;wopicomplete=1&amp;wdredirectionreason=Unified_SingleFlush" TargetMode="External"/><Relationship Id="rId44" Type="http://schemas.openxmlformats.org/officeDocument/2006/relationships/hyperlink" Target="mailto:quejas@procuraduria.gov.co" TargetMode="External"/><Relationship Id="rId52" Type="http://schemas.openxmlformats.org/officeDocument/2006/relationships/hyperlink" Target="mailto:linazambrano@reincorporacion.gov.co" TargetMode="External"/><Relationship Id="rId60"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FD1D8FC3-FF07-4B46-9A89-7044D0075C61}">
    <t:Anchor>
      <t:Comment id="1480693854"/>
    </t:Anchor>
    <t:History>
      <t:Event id="{6713EACE-17A5-4872-96C4-B91FC4BCDF93}" time="2025-02-21T22:58:56.531Z">
        <t:Attribution userId="S::gladysvelasquez@reincorporacion.gov.co::efbecaeb-aa45-49c6-8793-2fa53080d34e" userProvider="AD" userName="Gladys Marlenny Velasquez Acosta"/>
        <t:Anchor>
          <t:Comment id="1480693854"/>
        </t:Anchor>
        <t:Create/>
      </t:Event>
      <t:Event id="{DC33DC83-AD2C-47C0-863B-46CCAA1ACCB0}" time="2025-02-21T22:58:56.531Z">
        <t:Attribution userId="S::gladysvelasquez@reincorporacion.gov.co::efbecaeb-aa45-49c6-8793-2fa53080d34e" userProvider="AD" userName="Gladys Marlenny Velasquez Acosta"/>
        <t:Anchor>
          <t:Comment id="1480693854"/>
        </t:Anchor>
        <t:Assign userId="S::juangarnica@reincorporacion.gov.co::7719c8e9-aed6-4aaf-8ecf-e641353ea8cb" userProvider="AD" userName="Juan Ricardo Garnica Rodriguez"/>
      </t:Event>
      <t:Event id="{E5767229-2F9C-44C4-8D9B-6212F9EA7255}" time="2025-02-21T22:58:56.531Z">
        <t:Attribution userId="S::gladysvelasquez@reincorporacion.gov.co::efbecaeb-aa45-49c6-8793-2fa53080d34e" userProvider="AD" userName="Gladys Marlenny Velasquez Acosta"/>
        <t:Anchor>
          <t:Comment id="1480693854"/>
        </t:Anchor>
        <t:SetTitle title="@Juan Ricardo Garnica Rodriguez completar la información y revisar las observaciones de la oficina jurídica"/>
      </t:Event>
    </t:History>
  </t:Task>
  <t:Task id="{00805160-3A3D-49AE-AC4D-50440BAC769B}">
    <t:Anchor>
      <t:Comment id="1471895061"/>
    </t:Anchor>
    <t:History>
      <t:Event id="{E01EEDA6-CBE9-47A1-A0BA-B201FB5BD3D1}" time="2025-02-27T15:53:33.016Z">
        <t:Attribution userId="S::vanessabonilla@reincorporacion.gov.co::ca5cc225-233f-49e8-9e3f-bf0977b7d83b" userProvider="AD" userName="Wbiter Vanessa Bonilla Navia"/>
        <t:Anchor>
          <t:Comment id="1471895061"/>
        </t:Anchor>
        <t:Create/>
      </t:Event>
      <t:Event id="{6CF5B6F0-595D-49CB-94D4-BDE289C78B8C}" time="2025-02-27T15:53:33.016Z">
        <t:Attribution userId="S::vanessabonilla@reincorporacion.gov.co::ca5cc225-233f-49e8-9e3f-bf0977b7d83b" userProvider="AD" userName="Wbiter Vanessa Bonilla Navia"/>
        <t:Anchor>
          <t:Comment id="1471895061"/>
        </t:Anchor>
        <t:Assign userId="S::leonelsalguero@reincorporacion.gov.co::f9cf0fea-8f1f-4b45-92cc-80339c6b1c3a" userProvider="AD" userName="Leonel Rodrigo Salguero Cardenas"/>
      </t:Event>
      <t:Event id="{051613A0-6398-4AA6-88EC-5AB241E3F341}" time="2025-02-27T15:53:33.016Z">
        <t:Attribution userId="S::vanessabonilla@reincorporacion.gov.co::ca5cc225-233f-49e8-9e3f-bf0977b7d83b" userProvider="AD" userName="Wbiter Vanessa Bonilla Navia"/>
        <t:Anchor>
          <t:Comment id="1471895061"/>
        </t:Anchor>
        <t:SetTitle title="@Leonel Rodrigo Salguero Cardenas falta fuente de recursos"/>
      </t:Event>
    </t:History>
  </t:Task>
  <t:Task id="{7CA275F9-93EB-4123-8E3E-F98BF0FDB1E0}">
    <t:Anchor>
      <t:Comment id="736492576"/>
    </t:Anchor>
    <t:History>
      <t:Event id="{65A5E207-CBB4-41A8-8BA7-1B89505E7E71}" time="2025-02-27T23:59:35.8Z">
        <t:Attribution userId="S::gladysvelasquez@reincorporacion.gov.co::efbecaeb-aa45-49c6-8793-2fa53080d34e" userProvider="AD" userName="Gladys Marlenny Velasquez Acosta"/>
        <t:Anchor>
          <t:Comment id="736492576"/>
        </t:Anchor>
        <t:Create/>
      </t:Event>
      <t:Event id="{81B912FA-DF12-44EE-9AF9-D92D4BEE09A8}" time="2025-02-27T23:59:35.8Z">
        <t:Attribution userId="S::gladysvelasquez@reincorporacion.gov.co::efbecaeb-aa45-49c6-8793-2fa53080d34e" userProvider="AD" userName="Gladys Marlenny Velasquez Acosta"/>
        <t:Anchor>
          <t:Comment id="736492576"/>
        </t:Anchor>
        <t:Assign userId="S::yeimypena@reincorporacion.gov.co::603c772e-37ec-4649-86ed-8d9321ff8b45" userProvider="AD" userName="Yeimy Carolina Pena Gonzalez"/>
      </t:Event>
      <t:Event id="{D8FF47C3-A195-4185-AE4C-C3F8379581AD}" time="2025-02-27T23:59:35.8Z">
        <t:Attribution userId="S::gladysvelasquez@reincorporacion.gov.co::efbecaeb-aa45-49c6-8793-2fa53080d34e" userProvider="AD" userName="Gladys Marlenny Velasquez Acosta"/>
        <t:Anchor>
          <t:Comment id="736492576"/>
        </t:Anchor>
        <t:SetTitle title="@Yeimy Carolina Pena Gonzalez Favor completar con el número de convenio"/>
      </t:Event>
    </t:History>
  </t:Task>
  <t:Task id="{5CE0AA87-EE6A-45DE-82EF-282ED56C0E16}">
    <t:Anchor>
      <t:Comment id="826622522"/>
    </t:Anchor>
    <t:History>
      <t:Event id="{56AC018B-0567-441D-AEC8-F7A738EC6045}" time="2026-03-22T23:52:46.838Z">
        <t:Attribution userId="S::gladysvelasquez@reincorporacion.gov.co::efbecaeb-aa45-49c6-8793-2fa53080d34e" userProvider="AD" userName="Gladys Marlenny Velasquez Acosta"/>
        <t:Anchor>
          <t:Comment id="1801367981"/>
        </t:Anchor>
        <t:Create/>
      </t:Event>
      <t:Event id="{39B53576-BD8D-4C26-85CD-E50C6E38A806}" time="2026-03-22T23:52:46.838Z">
        <t:Attribution userId="S::gladysvelasquez@reincorporacion.gov.co::efbecaeb-aa45-49c6-8793-2fa53080d34e" userProvider="AD" userName="Gladys Marlenny Velasquez Acosta"/>
        <t:Anchor>
          <t:Comment id="1801367981"/>
        </t:Anchor>
        <t:Assign userId="S::leonelsalguero@reincorporacion.gov.co::f9cf0fea-8f1f-4b45-92cc-80339c6b1c3a" userProvider="AD" userName="Leonel Rodrigo Salguero Cardenas"/>
      </t:Event>
      <t:Event id="{5CAFA5CC-646C-493A-A318-CF8332699F42}" time="2026-03-22T23:52:46.838Z">
        <t:Attribution userId="S::gladysvelasquez@reincorporacion.gov.co::efbecaeb-aa45-49c6-8793-2fa53080d34e" userProvider="AD" userName="Gladys Marlenny Velasquez Acosta"/>
        <t:Anchor>
          <t:Comment id="1801367981"/>
        </t:Anchor>
        <t:SetTitle title="@Leonel Rodrigo Salguero Cardenas , Leo por favor revisas esta redacció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1E98A2535252E47BD2D497B4B7303FC" ma:contentTypeVersion="2" ma:contentTypeDescription="Crear nuevo documento." ma:contentTypeScope="" ma:versionID="c476a704506e3616e2c0a408f7d257d6">
  <xsd:schema xmlns:xsd="http://www.w3.org/2001/XMLSchema" xmlns:xs="http://www.w3.org/2001/XMLSchema" xmlns:p="http://schemas.microsoft.com/office/2006/metadata/properties" xmlns:ns1="http://schemas.microsoft.com/sharepoint/v3" xmlns:ns2="6e2a57a2-9d48-4009-82e5-3fe89fb6c543" targetNamespace="http://schemas.microsoft.com/office/2006/metadata/properties" ma:root="true" ma:fieldsID="93286bf3371f7d7b21c46c79fa7eeb6e" ns1:_="" ns2:_="">
    <xsd:import namespace="http://schemas.microsoft.com/sharepoint/v3"/>
    <xsd:import namespace="6e2a57a2-9d48-4009-82e5-3fe89fb6c543"/>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2a57a2-9d48-4009-82e5-3fe89fb6c543" elementFormDefault="qualified">
    <xsd:import namespace="http://schemas.microsoft.com/office/2006/documentManagement/types"/>
    <xsd:import namespace="http://schemas.microsoft.com/office/infopath/2007/PartnerControls"/>
    <xsd:element name="_dlc_DocId" ma:index="10" nillable="true" ma:displayName="Valor de Id. de documento" ma:description="El valor del identificador de documento asignado a este elemento." ma:internalName="_dlc_DocId" ma:readOnly="true">
      <xsd:simpleType>
        <xsd:restriction base="dms:Text"/>
      </xsd:simpleType>
    </xsd:element>
    <xsd:element name="_dlc_DocIdUrl" ma:index="11"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Identificador persistente" ma:description="Mantener el identificador al agregar." ma:hidden="true" ma:internalName="_dlc_DocIdPersistId" ma:readOnly="true">
      <xsd:simpleType>
        <xsd:restriction base="dms:Boolean"/>
      </xsd:simpleType>
    </xsd:element>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_dlc_DocId xmlns="6e2a57a2-9d48-4009-82e5-3fe89fb6c543">3CFCSSYJ6V66-28-125</_dlc_DocId>
    <_dlc_DocIdUrl xmlns="6e2a57a2-9d48-4009-82e5-3fe89fb6c543">
      <Url>https://www.reincorporacion.gov.co/es/agencia/_layouts/15/DocIdRedir.aspx?ID=3CFCSSYJ6V66-28-125</Url>
      <Description>3CFCSSYJ6V66-28-125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AB4688-9CC9-4635-9842-7DA8AAA36758}"/>
</file>

<file path=customXml/itemProps2.xml><?xml version="1.0" encoding="utf-8"?>
<ds:datastoreItem xmlns:ds="http://schemas.openxmlformats.org/officeDocument/2006/customXml" ds:itemID="{CBCC97C6-1FEB-498A-B181-FC255CF70349}">
  <ds:schemaRefs>
    <ds:schemaRef ds:uri="http://schemas.microsoft.com/office/2006/metadata/properties"/>
    <ds:schemaRef ds:uri="http://schemas.microsoft.com/office/infopath/2007/PartnerControls"/>
    <ds:schemaRef ds:uri="edf53953-fed0-44fa-9510-1b0e9b212578"/>
    <ds:schemaRef ds:uri="4a590c2a-6f6b-44c9-b607-89f5d63e518f"/>
  </ds:schemaRefs>
</ds:datastoreItem>
</file>

<file path=customXml/itemProps3.xml><?xml version="1.0" encoding="utf-8"?>
<ds:datastoreItem xmlns:ds="http://schemas.openxmlformats.org/officeDocument/2006/customXml" ds:itemID="{C3C52F53-E2A0-45B6-92E9-BF8C6EE6BA94}">
  <ds:schemaRefs>
    <ds:schemaRef ds:uri="http://schemas.microsoft.com/sharepoint/v3/contenttype/forms"/>
  </ds:schemaRefs>
</ds:datastoreItem>
</file>

<file path=customXml/itemProps4.xml><?xml version="1.0" encoding="utf-8"?>
<ds:datastoreItem xmlns:ds="http://schemas.openxmlformats.org/officeDocument/2006/customXml" ds:itemID="{E79EB0F8-5CCA-4F34-A633-B9A02F2D797B}">
  <ds:schemaRefs>
    <ds:schemaRef ds:uri="http://schemas.openxmlformats.org/officeDocument/2006/bibliography"/>
  </ds:schemaRefs>
</ds:datastoreItem>
</file>

<file path=customXml/itemProps5.xml><?xml version="1.0" encoding="utf-8"?>
<ds:datastoreItem xmlns:ds="http://schemas.openxmlformats.org/officeDocument/2006/customXml" ds:itemID="{150A010B-C6E0-4685-A152-5570AAE140E9}"/>
</file>

<file path=docProps/app.xml><?xml version="1.0" encoding="utf-8"?>
<Properties xmlns="http://schemas.openxmlformats.org/officeDocument/2006/extended-properties" xmlns:vt="http://schemas.openxmlformats.org/officeDocument/2006/docPropsVTypes">
  <Template>Normal</Template>
  <TotalTime>305</TotalTime>
  <Pages>101</Pages>
  <Words>32196</Words>
  <Characters>177081</Characters>
  <Application>Microsoft Office Word</Application>
  <DocSecurity>0</DocSecurity>
  <Lines>1475</Lines>
  <Paragraphs>417</Paragraphs>
  <ScaleCrop>false</ScaleCrop>
  <Company/>
  <LinksUpToDate>false</LinksUpToDate>
  <CharactersWithSpaces>208860</CharactersWithSpaces>
  <SharedDoc>false</SharedDoc>
  <HLinks>
    <vt:vector size="744" baseType="variant">
      <vt:variant>
        <vt:i4>4259902</vt:i4>
      </vt:variant>
      <vt:variant>
        <vt:i4>858</vt:i4>
      </vt:variant>
      <vt:variant>
        <vt:i4>0</vt:i4>
      </vt:variant>
      <vt:variant>
        <vt:i4>5</vt:i4>
      </vt:variant>
      <vt:variant>
        <vt:lpwstr>mailto:linazambrano@reincorporacion.gov.co</vt:lpwstr>
      </vt:variant>
      <vt:variant>
        <vt:lpwstr/>
      </vt:variant>
      <vt:variant>
        <vt:i4>5046334</vt:i4>
      </vt:variant>
      <vt:variant>
        <vt:i4>855</vt:i4>
      </vt:variant>
      <vt:variant>
        <vt:i4>0</vt:i4>
      </vt:variant>
      <vt:variant>
        <vt:i4>5</vt:i4>
      </vt:variant>
      <vt:variant>
        <vt:lpwstr>mailto:carmenbernal@reincorporacion.gov.co</vt:lpwstr>
      </vt:variant>
      <vt:variant>
        <vt:lpwstr/>
      </vt:variant>
      <vt:variant>
        <vt:i4>2883651</vt:i4>
      </vt:variant>
      <vt:variant>
        <vt:i4>852</vt:i4>
      </vt:variant>
      <vt:variant>
        <vt:i4>0</vt:i4>
      </vt:variant>
      <vt:variant>
        <vt:i4>5</vt:i4>
      </vt:variant>
      <vt:variant>
        <vt:lpwstr>mailto:taniarodriguez@reincorporacion.gov.co</vt:lpwstr>
      </vt:variant>
      <vt:variant>
        <vt:lpwstr/>
      </vt:variant>
      <vt:variant>
        <vt:i4>2883665</vt:i4>
      </vt:variant>
      <vt:variant>
        <vt:i4>849</vt:i4>
      </vt:variant>
      <vt:variant>
        <vt:i4>0</vt:i4>
      </vt:variant>
      <vt:variant>
        <vt:i4>5</vt:i4>
      </vt:variant>
      <vt:variant>
        <vt:lpwstr>mailto:mariluzramirez@reincorporacion.gov.co</vt:lpwstr>
      </vt:variant>
      <vt:variant>
        <vt:lpwstr/>
      </vt:variant>
      <vt:variant>
        <vt:i4>4325459</vt:i4>
      </vt:variant>
      <vt:variant>
        <vt:i4>840</vt:i4>
      </vt:variant>
      <vt:variant>
        <vt:i4>0</vt:i4>
      </vt:variant>
      <vt:variant>
        <vt:i4>5</vt:i4>
      </vt:variant>
      <vt:variant>
        <vt:lpwstr>https://www.reincorporacion.gov.co/es/Paginas/calendario.aspx</vt:lpwstr>
      </vt:variant>
      <vt:variant>
        <vt:lpwstr/>
      </vt:variant>
      <vt:variant>
        <vt:i4>2555948</vt:i4>
      </vt:variant>
      <vt:variant>
        <vt:i4>837</vt:i4>
      </vt:variant>
      <vt:variant>
        <vt:i4>0</vt:i4>
      </vt:variant>
      <vt:variant>
        <vt:i4>5</vt:i4>
      </vt:variant>
      <vt:variant>
        <vt:lpwstr>https://www.policia.gov.co/</vt:lpwstr>
      </vt:variant>
      <vt:variant>
        <vt:lpwstr/>
      </vt:variant>
      <vt:variant>
        <vt:i4>7995429</vt:i4>
      </vt:variant>
      <vt:variant>
        <vt:i4>834</vt:i4>
      </vt:variant>
      <vt:variant>
        <vt:i4>0</vt:i4>
      </vt:variant>
      <vt:variant>
        <vt:i4>5</vt:i4>
      </vt:variant>
      <vt:variant>
        <vt:lpwstr>https://www.fiscalia.gov.co/colombia/servicios-de-informacion-al-ciudadano/donde-y-como-denunciar/</vt:lpwstr>
      </vt:variant>
      <vt:variant>
        <vt:lpwstr/>
      </vt:variant>
      <vt:variant>
        <vt:i4>3211358</vt:i4>
      </vt:variant>
      <vt:variant>
        <vt:i4>831</vt:i4>
      </vt:variant>
      <vt:variant>
        <vt:i4>0</vt:i4>
      </vt:variant>
      <vt:variant>
        <vt:i4>5</vt:i4>
      </vt:variant>
      <vt:variant>
        <vt:lpwstr>mailto:quejas@procuraduria.gov.co</vt:lpwstr>
      </vt:variant>
      <vt:variant>
        <vt:lpwstr/>
      </vt:variant>
      <vt:variant>
        <vt:i4>5505039</vt:i4>
      </vt:variant>
      <vt:variant>
        <vt:i4>828</vt:i4>
      </vt:variant>
      <vt:variant>
        <vt:i4>0</vt:i4>
      </vt:variant>
      <vt:variant>
        <vt:i4>5</vt:i4>
      </vt:variant>
      <vt:variant>
        <vt:lpwstr>https://sedeelectronica.procuraduria.gov.co/PQRDSF/denuncia-acuerdo-de-paz/?typeform=denuncia-acuerdo-de-paz</vt:lpwstr>
      </vt:variant>
      <vt:variant>
        <vt:lpwstr/>
      </vt:variant>
      <vt:variant>
        <vt:i4>65662</vt:i4>
      </vt:variant>
      <vt:variant>
        <vt:i4>825</vt:i4>
      </vt:variant>
      <vt:variant>
        <vt:i4>0</vt:i4>
      </vt:variant>
      <vt:variant>
        <vt:i4>5</vt:i4>
      </vt:variant>
      <vt:variant>
        <vt:lpwstr>mailto:cgr@contraloria.gov.co</vt:lpwstr>
      </vt:variant>
      <vt:variant>
        <vt:lpwstr/>
      </vt:variant>
      <vt:variant>
        <vt:i4>589897</vt:i4>
      </vt:variant>
      <vt:variant>
        <vt:i4>822</vt:i4>
      </vt:variant>
      <vt:variant>
        <vt:i4>0</vt:i4>
      </vt:variant>
      <vt:variant>
        <vt:i4>5</vt:i4>
      </vt:variant>
      <vt:variant>
        <vt:lpwstr>https://www.contraloria.gov.co/es/web/guest/atencion-al-ciudadano/denuncias-y-otras-solicitudes-pqrd</vt:lpwstr>
      </vt:variant>
      <vt:variant>
        <vt:lpwstr/>
      </vt:variant>
      <vt:variant>
        <vt:i4>393292</vt:i4>
      </vt:variant>
      <vt:variant>
        <vt:i4>813</vt:i4>
      </vt:variant>
      <vt:variant>
        <vt:i4>0</vt:i4>
      </vt:variant>
      <vt:variant>
        <vt:i4>5</vt:i4>
      </vt:variant>
      <vt:variant>
        <vt:lpwstr>https://www.contratos.gov.co/consultas/inicioConsulta.do</vt:lpwstr>
      </vt:variant>
      <vt:variant>
        <vt:lpwstr/>
      </vt:variant>
      <vt:variant>
        <vt:i4>4194373</vt:i4>
      </vt:variant>
      <vt:variant>
        <vt:i4>810</vt:i4>
      </vt:variant>
      <vt:variant>
        <vt:i4>0</vt:i4>
      </vt:variant>
      <vt:variant>
        <vt:i4>5</vt:i4>
      </vt:variant>
      <vt:variant>
        <vt:lpwstr>https://www.colombiacompra.gov.co/secop/busqueda-de-procesos-de-contratacion</vt:lpwstr>
      </vt:variant>
      <vt:variant>
        <vt:lpwstr/>
      </vt:variant>
      <vt:variant>
        <vt:i4>6029407</vt:i4>
      </vt:variant>
      <vt:variant>
        <vt:i4>807</vt:i4>
      </vt:variant>
      <vt:variant>
        <vt:i4>0</vt:i4>
      </vt:variant>
      <vt:variant>
        <vt:i4>5</vt:i4>
      </vt:variant>
      <vt:variant>
        <vt:lpwstr>http://www.colombiacompra.gov.co/</vt:lpwstr>
      </vt:variant>
      <vt:variant>
        <vt:lpwstr/>
      </vt:variant>
      <vt:variant>
        <vt:i4>5373976</vt:i4>
      </vt:variant>
      <vt:variant>
        <vt:i4>804</vt:i4>
      </vt:variant>
      <vt:variant>
        <vt:i4>0</vt:i4>
      </vt:variant>
      <vt:variant>
        <vt:i4>5</vt:i4>
      </vt:variant>
      <vt:variant>
        <vt:lpwstr>https://www.reincorporacion.gov.co/es/participa/Paginas/Rendicion-de-Cuentas.aspx</vt:lpwstr>
      </vt:variant>
      <vt:variant>
        <vt:lpwstr/>
      </vt:variant>
      <vt:variant>
        <vt:i4>4784181</vt:i4>
      </vt:variant>
      <vt:variant>
        <vt:i4>801</vt:i4>
      </vt:variant>
      <vt:variant>
        <vt:i4>0</vt:i4>
      </vt:variant>
      <vt:variant>
        <vt:i4>5</vt:i4>
      </vt:variant>
      <vt:variant>
        <vt:lpwstr>https://www.youtube.com/@ARNColombia/search?query=cnr</vt:lpwstr>
      </vt:variant>
      <vt:variant>
        <vt:lpwstr/>
      </vt:variant>
      <vt:variant>
        <vt:i4>6422573</vt:i4>
      </vt:variant>
      <vt:variant>
        <vt:i4>798</vt:i4>
      </vt:variant>
      <vt:variant>
        <vt:i4>0</vt:i4>
      </vt:variant>
      <vt:variant>
        <vt:i4>5</vt:i4>
      </vt:variant>
      <vt:variant>
        <vt:lpwstr>https://www.reincorporacion.gov.co/es/agencia/Paginas/Informes-de-rendicion-de-cuentas.aspx</vt:lpwstr>
      </vt:variant>
      <vt:variant>
        <vt:lpwstr/>
      </vt:variant>
      <vt:variant>
        <vt:i4>5373976</vt:i4>
      </vt:variant>
      <vt:variant>
        <vt:i4>795</vt:i4>
      </vt:variant>
      <vt:variant>
        <vt:i4>0</vt:i4>
      </vt:variant>
      <vt:variant>
        <vt:i4>5</vt:i4>
      </vt:variant>
      <vt:variant>
        <vt:lpwstr>https://www.reincorporacion.gov.co/es/participa/Paginas/Rendicion-de-Cuentas.aspx</vt:lpwstr>
      </vt:variant>
      <vt:variant>
        <vt:lpwstr/>
      </vt:variant>
      <vt:variant>
        <vt:i4>3801151</vt:i4>
      </vt:variant>
      <vt:variant>
        <vt:i4>792</vt:i4>
      </vt:variant>
      <vt:variant>
        <vt:i4>0</vt:i4>
      </vt:variant>
      <vt:variant>
        <vt:i4>5</vt:i4>
      </vt:variant>
      <vt:variant>
        <vt:lpwstr>https://www.reincorporacion.gov.co/es/agencia/Paginas/Proyectos-Normativos.aspx?RootFolder=%2Fes%2Fagencia%2FProyectos%5FNormativos%2FVigencia%2D2024&amp;FolderCTID=0x012000A4A8E327ECB3CB4B8AFF93BA62655786&amp;View=%7B4098DC3D%2DA9C3%2D4C78%2D8A34%2DE204CCA1CEBE%7D</vt:lpwstr>
      </vt:variant>
      <vt:variant>
        <vt:lpwstr/>
      </vt:variant>
      <vt:variant>
        <vt:i4>1441811</vt:i4>
      </vt:variant>
      <vt:variant>
        <vt:i4>789</vt:i4>
      </vt:variant>
      <vt:variant>
        <vt:i4>0</vt:i4>
      </vt:variant>
      <vt:variant>
        <vt:i4>5</vt:i4>
      </vt:variant>
      <vt:variant>
        <vt:lpwstr>https://www.reincorporacion.gov.co/es/agencia/Paginas/pqrs-d.aspx</vt:lpwstr>
      </vt:variant>
      <vt:variant>
        <vt:lpwstr/>
      </vt:variant>
      <vt:variant>
        <vt:i4>7274597</vt:i4>
      </vt:variant>
      <vt:variant>
        <vt:i4>786</vt:i4>
      </vt:variant>
      <vt:variant>
        <vt:i4>0</vt:i4>
      </vt:variant>
      <vt:variant>
        <vt:i4>5</vt:i4>
      </vt:variant>
      <vt:variant>
        <vt:lpwstr>https://word-edit.officeapps.live.com/we/wordeditorframe.aspx?ui=es-ES&amp;rs=es-ES&amp;wopisrc=https%3A%2F%2Ffuncionpublicagovco-my.sharepoint.com%2Fpersonal%2Fequinones_funcionpublica_gov_co%2F_vti_bin%2Fwopi.ashx%2Ffiles%2Fc5dccc5b0c554d048c95990dbd26390a&amp;wdorigin=ItemsView&amp;wdenableroaming=1&amp;mscc=1&amp;wdodb=1&amp;hid=BD1F7AA1-D001-7000-7A68-42FAFA402482.0&amp;uih=sharepointcom&amp;wdlcid=es-ES&amp;jsapi=1&amp;jsapiver=v2&amp;corrid=411d7c44-97a9-8b21-f9c1-14b69240696f&amp;usid=411d7c44-97a9-8b21-f9c1-14b69240696f&amp;newsession=1&amp;sftc=1&amp;uihit=docaspx&amp;muv=1&amp;cac=1&amp;sams=1&amp;mtf=1&amp;sfp=1&amp;sdp=1&amp;hch=1&amp;hwfh=1&amp;dchat=1&amp;sc=%7B%22pmo%22%3A%22https%3A%2F%2Ffuncionpublicagovco-my.sharepoint.com%22%2C%22pmshare%22%3Atrue%7D&amp;ctp=LeastProtected&amp;rct=Normal&amp;wdhostclicktime=1737579491333&amp;csc=1&amp;instantedit=1&amp;wopicomplete=1&amp;wdredirectionreason=Unified_SingleFlush</vt:lpwstr>
      </vt:variant>
      <vt:variant>
        <vt:lpwstr>_ftn1</vt:lpwstr>
      </vt:variant>
      <vt:variant>
        <vt:i4>7274597</vt:i4>
      </vt:variant>
      <vt:variant>
        <vt:i4>783</vt:i4>
      </vt:variant>
      <vt:variant>
        <vt:i4>0</vt:i4>
      </vt:variant>
      <vt:variant>
        <vt:i4>5</vt:i4>
      </vt:variant>
      <vt:variant>
        <vt:lpwstr>https://word-edit.officeapps.live.com/we/wordeditorframe.aspx?ui=es-ES&amp;rs=es-ES&amp;wopisrc=https%3A%2F%2Ffuncionpublicagovco-my.sharepoint.com%2Fpersonal%2Fequinones_funcionpublica_gov_co%2F_vti_bin%2Fwopi.ashx%2Ffiles%2Fc5dccc5b0c554d048c95990dbd26390a&amp;wdorigin=ItemsView&amp;wdenableroaming=1&amp;mscc=1&amp;wdodb=1&amp;hid=BD1F7AA1-D001-7000-7A68-42FAFA402482.0&amp;uih=sharepointcom&amp;wdlcid=es-ES&amp;jsapi=1&amp;jsapiver=v2&amp;corrid=411d7c44-97a9-8b21-f9c1-14b69240696f&amp;usid=411d7c44-97a9-8b21-f9c1-14b69240696f&amp;newsession=1&amp;sftc=1&amp;uihit=docaspx&amp;muv=1&amp;cac=1&amp;sams=1&amp;mtf=1&amp;sfp=1&amp;sdp=1&amp;hch=1&amp;hwfh=1&amp;dchat=1&amp;sc=%7B%22pmo%22%3A%22https%3A%2F%2Ffuncionpublicagovco-my.sharepoint.com%22%2C%22pmshare%22%3Atrue%7D&amp;ctp=LeastProtected&amp;rct=Normal&amp;wdhostclicktime=1737579491333&amp;csc=1&amp;instantedit=1&amp;wopicomplete=1&amp;wdredirectionreason=Unified_SingleFlush</vt:lpwstr>
      </vt:variant>
      <vt:variant>
        <vt:lpwstr>_ftn2</vt:lpwstr>
      </vt:variant>
      <vt:variant>
        <vt:i4>7340064</vt:i4>
      </vt:variant>
      <vt:variant>
        <vt:i4>777</vt:i4>
      </vt:variant>
      <vt:variant>
        <vt:i4>0</vt:i4>
      </vt:variant>
      <vt:variant>
        <vt:i4>5</vt:i4>
      </vt:variant>
      <vt:variant>
        <vt:lpwstr>https://www.reincorporacion.gov.co/es/agencia/Paginas/normatividad.aspx</vt:lpwstr>
      </vt:variant>
      <vt:variant>
        <vt:lpwstr/>
      </vt:variant>
      <vt:variant>
        <vt:i4>7340064</vt:i4>
      </vt:variant>
      <vt:variant>
        <vt:i4>774</vt:i4>
      </vt:variant>
      <vt:variant>
        <vt:i4>0</vt:i4>
      </vt:variant>
      <vt:variant>
        <vt:i4>5</vt:i4>
      </vt:variant>
      <vt:variant>
        <vt:lpwstr>https://www.reincorporacion.gov.co/es/agencia/Paginas/normatividad.aspx</vt:lpwstr>
      </vt:variant>
      <vt:variant>
        <vt:lpwstr/>
      </vt:variant>
      <vt:variant>
        <vt:i4>7340064</vt:i4>
      </vt:variant>
      <vt:variant>
        <vt:i4>771</vt:i4>
      </vt:variant>
      <vt:variant>
        <vt:i4>0</vt:i4>
      </vt:variant>
      <vt:variant>
        <vt:i4>5</vt:i4>
      </vt:variant>
      <vt:variant>
        <vt:lpwstr>https://www.reincorporacion.gov.co/es/agencia/Paginas/normatividad.aspx</vt:lpwstr>
      </vt:variant>
      <vt:variant>
        <vt:lpwstr/>
      </vt:variant>
      <vt:variant>
        <vt:i4>2883690</vt:i4>
      </vt:variant>
      <vt:variant>
        <vt:i4>768</vt:i4>
      </vt:variant>
      <vt:variant>
        <vt:i4>0</vt:i4>
      </vt:variant>
      <vt:variant>
        <vt:i4>5</vt:i4>
      </vt:variant>
      <vt:variant>
        <vt:lpwstr>https://www.suin-juriscol.gov.co/viewDocument.asp?id=30055341</vt:lpwstr>
      </vt:variant>
      <vt:variant>
        <vt:lpwstr>:~:text=DECRETO%20856%20DE%202025&amp;text=(julio%2030)-,por%20medio%20del%20cual%20se%20adiciona%20el%20Cap%C3%ADtulo%209%2C%20al,y%20se%20dictan%20otras%20disposiciones%E2%80%9D</vt:lpwstr>
      </vt:variant>
      <vt:variant>
        <vt:i4>4522072</vt:i4>
      </vt:variant>
      <vt:variant>
        <vt:i4>765</vt:i4>
      </vt:variant>
      <vt:variant>
        <vt:i4>0</vt:i4>
      </vt:variant>
      <vt:variant>
        <vt:i4>5</vt:i4>
      </vt:variant>
      <vt:variant>
        <vt:lpwstr>https://www.suin-juriscol.gov.co/viewDocument.asp?id=30054449</vt:lpwstr>
      </vt:variant>
      <vt:variant>
        <vt:lpwstr/>
      </vt:variant>
      <vt:variant>
        <vt:i4>5439570</vt:i4>
      </vt:variant>
      <vt:variant>
        <vt:i4>717</vt:i4>
      </vt:variant>
      <vt:variant>
        <vt:i4>0</vt:i4>
      </vt:variant>
      <vt:variant>
        <vt:i4>5</vt:i4>
      </vt:variant>
      <vt:variant>
        <vt:lpwstr>https://youtu.be/WgtG49dbb-w?si=bxdf8MWlOlvH7Lam</vt:lpwstr>
      </vt:variant>
      <vt:variant>
        <vt:lpwstr/>
      </vt:variant>
      <vt:variant>
        <vt:i4>720952</vt:i4>
      </vt:variant>
      <vt:variant>
        <vt:i4>714</vt:i4>
      </vt:variant>
      <vt:variant>
        <vt:i4>0</vt:i4>
      </vt:variant>
      <vt:variant>
        <vt:i4>5</vt:i4>
      </vt:variant>
      <vt:variant>
        <vt:lpwstr>https://youtu.be/vcWNNmq07A0?si=_36aY4gKrBRq-ZqY</vt:lpwstr>
      </vt:variant>
      <vt:variant>
        <vt:lpwstr/>
      </vt:variant>
      <vt:variant>
        <vt:i4>6881323</vt:i4>
      </vt:variant>
      <vt:variant>
        <vt:i4>711</vt:i4>
      </vt:variant>
      <vt:variant>
        <vt:i4>0</vt:i4>
      </vt:variant>
      <vt:variant>
        <vt:i4>5</vt:i4>
      </vt:variant>
      <vt:variant>
        <vt:lpwstr>https://siipo.dnp.gov.co/detalleindicador/VEnuYKwsZwqM6Klg</vt:lpwstr>
      </vt:variant>
      <vt:variant>
        <vt:lpwstr/>
      </vt:variant>
      <vt:variant>
        <vt:i4>8061042</vt:i4>
      </vt:variant>
      <vt:variant>
        <vt:i4>696</vt:i4>
      </vt:variant>
      <vt:variant>
        <vt:i4>0</vt:i4>
      </vt:variant>
      <vt:variant>
        <vt:i4>5</vt:i4>
      </vt:variant>
      <vt:variant>
        <vt:lpwstr>https://siipo.dnp.gov.co/detalleindicador/UQDndKwsZwAbcYqdqLdo)</vt:lpwstr>
      </vt:variant>
      <vt:variant>
        <vt:lpwstr/>
      </vt:variant>
      <vt:variant>
        <vt:i4>7012450</vt:i4>
      </vt:variant>
      <vt:variant>
        <vt:i4>681</vt:i4>
      </vt:variant>
      <vt:variant>
        <vt:i4>0</vt:i4>
      </vt:variant>
      <vt:variant>
        <vt:i4>5</vt:i4>
      </vt:variant>
      <vt:variant>
        <vt:lpwstr>https://siipo.dnp.gov.co/detalleindicador/CwGheqwseheJsKkh</vt:lpwstr>
      </vt:variant>
      <vt:variant>
        <vt:lpwstr/>
      </vt:variant>
      <vt:variant>
        <vt:i4>2490491</vt:i4>
      </vt:variant>
      <vt:variant>
        <vt:i4>660</vt:i4>
      </vt:variant>
      <vt:variant>
        <vt:i4>0</vt:i4>
      </vt:variant>
      <vt:variant>
        <vt:i4>5</vt:i4>
      </vt:variant>
      <vt:variant>
        <vt:lpwstr>https://siipo.dnp.gov.co/detalleindicador/CUAbcYqgcqwsegbdpad8)</vt:lpwstr>
      </vt:variant>
      <vt:variant>
        <vt:lpwstr/>
      </vt:variant>
      <vt:variant>
        <vt:i4>3407907</vt:i4>
      </vt:variant>
      <vt:variant>
        <vt:i4>645</vt:i4>
      </vt:variant>
      <vt:variant>
        <vt:i4>0</vt:i4>
      </vt:variant>
      <vt:variant>
        <vt:i4>5</vt:i4>
      </vt:variant>
      <vt:variant>
        <vt:lpwstr>https://siipo.dnp.gov.co/detalleindicador/UAPkM6wsegvNv653)</vt:lpwstr>
      </vt:variant>
      <vt:variant>
        <vt:lpwstr/>
      </vt:variant>
      <vt:variant>
        <vt:i4>2490416</vt:i4>
      </vt:variant>
      <vt:variant>
        <vt:i4>630</vt:i4>
      </vt:variant>
      <vt:variant>
        <vt:i4>0</vt:i4>
      </vt:variant>
      <vt:variant>
        <vt:i4>5</vt:i4>
      </vt:variant>
      <vt:variant>
        <vt:lpwstr>https://siipo.dnp.gov.co/detalleindicador/VgrqYcbAe6wsegjY5Lkr</vt:lpwstr>
      </vt:variant>
      <vt:variant>
        <vt:lpwstr/>
      </vt:variant>
      <vt:variant>
        <vt:i4>6619182</vt:i4>
      </vt:variant>
      <vt:variant>
        <vt:i4>618</vt:i4>
      </vt:variant>
      <vt:variant>
        <vt:i4>0</vt:i4>
      </vt:variant>
      <vt:variant>
        <vt:i4>5</vt:i4>
      </vt:variant>
      <vt:variant>
        <vt:lpwstr>https://www.reincorporacion.gov.co/es/sala-de-prensa/noticias/SiteAssets/Cartilla_Paso_Paso.pdf</vt:lpwstr>
      </vt:variant>
      <vt:variant>
        <vt:lpwstr>search=cartilla</vt:lpwstr>
      </vt:variant>
      <vt:variant>
        <vt:i4>6291491</vt:i4>
      </vt:variant>
      <vt:variant>
        <vt:i4>606</vt:i4>
      </vt:variant>
      <vt:variant>
        <vt:i4>0</vt:i4>
      </vt:variant>
      <vt:variant>
        <vt:i4>5</vt:i4>
      </vt:variant>
      <vt:variant>
        <vt:lpwstr>https://siipo.dnp.gov.co/detalleindicador/XRbkN6wseg2Pv7Mk)</vt:lpwstr>
      </vt:variant>
      <vt:variant>
        <vt:lpwstr/>
      </vt:variant>
      <vt:variant>
        <vt:i4>3932230</vt:i4>
      </vt:variant>
      <vt:variant>
        <vt:i4>591</vt:i4>
      </vt:variant>
      <vt:variant>
        <vt:i4>0</vt:i4>
      </vt:variant>
      <vt:variant>
        <vt:i4>5</vt:i4>
      </vt:variant>
      <vt:variant>
        <vt:lpwstr>https://www.youtube.com/playlist?list=PL2YQ_jjjSXuv-lDh2QOUrWm5r5NDYqFgg</vt:lpwstr>
      </vt:variant>
      <vt:variant>
        <vt:lpwstr/>
      </vt:variant>
      <vt:variant>
        <vt:i4>1507377</vt:i4>
      </vt:variant>
      <vt:variant>
        <vt:i4>512</vt:i4>
      </vt:variant>
      <vt:variant>
        <vt:i4>0</vt:i4>
      </vt:variant>
      <vt:variant>
        <vt:i4>5</vt:i4>
      </vt:variant>
      <vt:variant>
        <vt:lpwstr/>
      </vt:variant>
      <vt:variant>
        <vt:lpwstr>_Toc225265051</vt:lpwstr>
      </vt:variant>
      <vt:variant>
        <vt:i4>1507377</vt:i4>
      </vt:variant>
      <vt:variant>
        <vt:i4>506</vt:i4>
      </vt:variant>
      <vt:variant>
        <vt:i4>0</vt:i4>
      </vt:variant>
      <vt:variant>
        <vt:i4>5</vt:i4>
      </vt:variant>
      <vt:variant>
        <vt:lpwstr/>
      </vt:variant>
      <vt:variant>
        <vt:lpwstr>_Toc225265050</vt:lpwstr>
      </vt:variant>
      <vt:variant>
        <vt:i4>1441841</vt:i4>
      </vt:variant>
      <vt:variant>
        <vt:i4>500</vt:i4>
      </vt:variant>
      <vt:variant>
        <vt:i4>0</vt:i4>
      </vt:variant>
      <vt:variant>
        <vt:i4>5</vt:i4>
      </vt:variant>
      <vt:variant>
        <vt:lpwstr/>
      </vt:variant>
      <vt:variant>
        <vt:lpwstr>_Toc225265049</vt:lpwstr>
      </vt:variant>
      <vt:variant>
        <vt:i4>1441841</vt:i4>
      </vt:variant>
      <vt:variant>
        <vt:i4>491</vt:i4>
      </vt:variant>
      <vt:variant>
        <vt:i4>0</vt:i4>
      </vt:variant>
      <vt:variant>
        <vt:i4>5</vt:i4>
      </vt:variant>
      <vt:variant>
        <vt:lpwstr/>
      </vt:variant>
      <vt:variant>
        <vt:lpwstr>_Toc225265048</vt:lpwstr>
      </vt:variant>
      <vt:variant>
        <vt:i4>1441841</vt:i4>
      </vt:variant>
      <vt:variant>
        <vt:i4>485</vt:i4>
      </vt:variant>
      <vt:variant>
        <vt:i4>0</vt:i4>
      </vt:variant>
      <vt:variant>
        <vt:i4>5</vt:i4>
      </vt:variant>
      <vt:variant>
        <vt:lpwstr/>
      </vt:variant>
      <vt:variant>
        <vt:lpwstr>_Toc225265047</vt:lpwstr>
      </vt:variant>
      <vt:variant>
        <vt:i4>1441841</vt:i4>
      </vt:variant>
      <vt:variant>
        <vt:i4>479</vt:i4>
      </vt:variant>
      <vt:variant>
        <vt:i4>0</vt:i4>
      </vt:variant>
      <vt:variant>
        <vt:i4>5</vt:i4>
      </vt:variant>
      <vt:variant>
        <vt:lpwstr/>
      </vt:variant>
      <vt:variant>
        <vt:lpwstr>_Toc225265046</vt:lpwstr>
      </vt:variant>
      <vt:variant>
        <vt:i4>1441841</vt:i4>
      </vt:variant>
      <vt:variant>
        <vt:i4>473</vt:i4>
      </vt:variant>
      <vt:variant>
        <vt:i4>0</vt:i4>
      </vt:variant>
      <vt:variant>
        <vt:i4>5</vt:i4>
      </vt:variant>
      <vt:variant>
        <vt:lpwstr/>
      </vt:variant>
      <vt:variant>
        <vt:lpwstr>_Toc225265045</vt:lpwstr>
      </vt:variant>
      <vt:variant>
        <vt:i4>1441841</vt:i4>
      </vt:variant>
      <vt:variant>
        <vt:i4>467</vt:i4>
      </vt:variant>
      <vt:variant>
        <vt:i4>0</vt:i4>
      </vt:variant>
      <vt:variant>
        <vt:i4>5</vt:i4>
      </vt:variant>
      <vt:variant>
        <vt:lpwstr/>
      </vt:variant>
      <vt:variant>
        <vt:lpwstr>_Toc225265044</vt:lpwstr>
      </vt:variant>
      <vt:variant>
        <vt:i4>1441841</vt:i4>
      </vt:variant>
      <vt:variant>
        <vt:i4>461</vt:i4>
      </vt:variant>
      <vt:variant>
        <vt:i4>0</vt:i4>
      </vt:variant>
      <vt:variant>
        <vt:i4>5</vt:i4>
      </vt:variant>
      <vt:variant>
        <vt:lpwstr/>
      </vt:variant>
      <vt:variant>
        <vt:lpwstr>_Toc225265043</vt:lpwstr>
      </vt:variant>
      <vt:variant>
        <vt:i4>1441841</vt:i4>
      </vt:variant>
      <vt:variant>
        <vt:i4>455</vt:i4>
      </vt:variant>
      <vt:variant>
        <vt:i4>0</vt:i4>
      </vt:variant>
      <vt:variant>
        <vt:i4>5</vt:i4>
      </vt:variant>
      <vt:variant>
        <vt:lpwstr/>
      </vt:variant>
      <vt:variant>
        <vt:lpwstr>_Toc225265042</vt:lpwstr>
      </vt:variant>
      <vt:variant>
        <vt:i4>1441841</vt:i4>
      </vt:variant>
      <vt:variant>
        <vt:i4>449</vt:i4>
      </vt:variant>
      <vt:variant>
        <vt:i4>0</vt:i4>
      </vt:variant>
      <vt:variant>
        <vt:i4>5</vt:i4>
      </vt:variant>
      <vt:variant>
        <vt:lpwstr/>
      </vt:variant>
      <vt:variant>
        <vt:lpwstr>_Toc225265041</vt:lpwstr>
      </vt:variant>
      <vt:variant>
        <vt:i4>1441841</vt:i4>
      </vt:variant>
      <vt:variant>
        <vt:i4>443</vt:i4>
      </vt:variant>
      <vt:variant>
        <vt:i4>0</vt:i4>
      </vt:variant>
      <vt:variant>
        <vt:i4>5</vt:i4>
      </vt:variant>
      <vt:variant>
        <vt:lpwstr/>
      </vt:variant>
      <vt:variant>
        <vt:lpwstr>_Toc225265040</vt:lpwstr>
      </vt:variant>
      <vt:variant>
        <vt:i4>1114161</vt:i4>
      </vt:variant>
      <vt:variant>
        <vt:i4>437</vt:i4>
      </vt:variant>
      <vt:variant>
        <vt:i4>0</vt:i4>
      </vt:variant>
      <vt:variant>
        <vt:i4>5</vt:i4>
      </vt:variant>
      <vt:variant>
        <vt:lpwstr/>
      </vt:variant>
      <vt:variant>
        <vt:lpwstr>_Toc225265039</vt:lpwstr>
      </vt:variant>
      <vt:variant>
        <vt:i4>1114161</vt:i4>
      </vt:variant>
      <vt:variant>
        <vt:i4>431</vt:i4>
      </vt:variant>
      <vt:variant>
        <vt:i4>0</vt:i4>
      </vt:variant>
      <vt:variant>
        <vt:i4>5</vt:i4>
      </vt:variant>
      <vt:variant>
        <vt:lpwstr/>
      </vt:variant>
      <vt:variant>
        <vt:lpwstr>_Toc225265038</vt:lpwstr>
      </vt:variant>
      <vt:variant>
        <vt:i4>1114161</vt:i4>
      </vt:variant>
      <vt:variant>
        <vt:i4>425</vt:i4>
      </vt:variant>
      <vt:variant>
        <vt:i4>0</vt:i4>
      </vt:variant>
      <vt:variant>
        <vt:i4>5</vt:i4>
      </vt:variant>
      <vt:variant>
        <vt:lpwstr/>
      </vt:variant>
      <vt:variant>
        <vt:lpwstr>_Toc225265037</vt:lpwstr>
      </vt:variant>
      <vt:variant>
        <vt:i4>1114161</vt:i4>
      </vt:variant>
      <vt:variant>
        <vt:i4>419</vt:i4>
      </vt:variant>
      <vt:variant>
        <vt:i4>0</vt:i4>
      </vt:variant>
      <vt:variant>
        <vt:i4>5</vt:i4>
      </vt:variant>
      <vt:variant>
        <vt:lpwstr/>
      </vt:variant>
      <vt:variant>
        <vt:lpwstr>_Toc225265036</vt:lpwstr>
      </vt:variant>
      <vt:variant>
        <vt:i4>1114161</vt:i4>
      </vt:variant>
      <vt:variant>
        <vt:i4>413</vt:i4>
      </vt:variant>
      <vt:variant>
        <vt:i4>0</vt:i4>
      </vt:variant>
      <vt:variant>
        <vt:i4>5</vt:i4>
      </vt:variant>
      <vt:variant>
        <vt:lpwstr/>
      </vt:variant>
      <vt:variant>
        <vt:lpwstr>_Toc225265035</vt:lpwstr>
      </vt:variant>
      <vt:variant>
        <vt:i4>1114161</vt:i4>
      </vt:variant>
      <vt:variant>
        <vt:i4>407</vt:i4>
      </vt:variant>
      <vt:variant>
        <vt:i4>0</vt:i4>
      </vt:variant>
      <vt:variant>
        <vt:i4>5</vt:i4>
      </vt:variant>
      <vt:variant>
        <vt:lpwstr/>
      </vt:variant>
      <vt:variant>
        <vt:lpwstr>_Toc225265034</vt:lpwstr>
      </vt:variant>
      <vt:variant>
        <vt:i4>1114161</vt:i4>
      </vt:variant>
      <vt:variant>
        <vt:i4>401</vt:i4>
      </vt:variant>
      <vt:variant>
        <vt:i4>0</vt:i4>
      </vt:variant>
      <vt:variant>
        <vt:i4>5</vt:i4>
      </vt:variant>
      <vt:variant>
        <vt:lpwstr/>
      </vt:variant>
      <vt:variant>
        <vt:lpwstr>_Toc225265033</vt:lpwstr>
      </vt:variant>
      <vt:variant>
        <vt:i4>1114161</vt:i4>
      </vt:variant>
      <vt:variant>
        <vt:i4>395</vt:i4>
      </vt:variant>
      <vt:variant>
        <vt:i4>0</vt:i4>
      </vt:variant>
      <vt:variant>
        <vt:i4>5</vt:i4>
      </vt:variant>
      <vt:variant>
        <vt:lpwstr/>
      </vt:variant>
      <vt:variant>
        <vt:lpwstr>_Toc225265032</vt:lpwstr>
      </vt:variant>
      <vt:variant>
        <vt:i4>1114161</vt:i4>
      </vt:variant>
      <vt:variant>
        <vt:i4>389</vt:i4>
      </vt:variant>
      <vt:variant>
        <vt:i4>0</vt:i4>
      </vt:variant>
      <vt:variant>
        <vt:i4>5</vt:i4>
      </vt:variant>
      <vt:variant>
        <vt:lpwstr/>
      </vt:variant>
      <vt:variant>
        <vt:lpwstr>_Toc225265031</vt:lpwstr>
      </vt:variant>
      <vt:variant>
        <vt:i4>1114161</vt:i4>
      </vt:variant>
      <vt:variant>
        <vt:i4>383</vt:i4>
      </vt:variant>
      <vt:variant>
        <vt:i4>0</vt:i4>
      </vt:variant>
      <vt:variant>
        <vt:i4>5</vt:i4>
      </vt:variant>
      <vt:variant>
        <vt:lpwstr/>
      </vt:variant>
      <vt:variant>
        <vt:lpwstr>_Toc225265030</vt:lpwstr>
      </vt:variant>
      <vt:variant>
        <vt:i4>1048625</vt:i4>
      </vt:variant>
      <vt:variant>
        <vt:i4>377</vt:i4>
      </vt:variant>
      <vt:variant>
        <vt:i4>0</vt:i4>
      </vt:variant>
      <vt:variant>
        <vt:i4>5</vt:i4>
      </vt:variant>
      <vt:variant>
        <vt:lpwstr/>
      </vt:variant>
      <vt:variant>
        <vt:lpwstr>_Toc225265029</vt:lpwstr>
      </vt:variant>
      <vt:variant>
        <vt:i4>1048625</vt:i4>
      </vt:variant>
      <vt:variant>
        <vt:i4>371</vt:i4>
      </vt:variant>
      <vt:variant>
        <vt:i4>0</vt:i4>
      </vt:variant>
      <vt:variant>
        <vt:i4>5</vt:i4>
      </vt:variant>
      <vt:variant>
        <vt:lpwstr/>
      </vt:variant>
      <vt:variant>
        <vt:lpwstr>_Toc225265028</vt:lpwstr>
      </vt:variant>
      <vt:variant>
        <vt:i4>1048625</vt:i4>
      </vt:variant>
      <vt:variant>
        <vt:i4>365</vt:i4>
      </vt:variant>
      <vt:variant>
        <vt:i4>0</vt:i4>
      </vt:variant>
      <vt:variant>
        <vt:i4>5</vt:i4>
      </vt:variant>
      <vt:variant>
        <vt:lpwstr/>
      </vt:variant>
      <vt:variant>
        <vt:lpwstr>_Toc225265027</vt:lpwstr>
      </vt:variant>
      <vt:variant>
        <vt:i4>1048625</vt:i4>
      </vt:variant>
      <vt:variant>
        <vt:i4>359</vt:i4>
      </vt:variant>
      <vt:variant>
        <vt:i4>0</vt:i4>
      </vt:variant>
      <vt:variant>
        <vt:i4>5</vt:i4>
      </vt:variant>
      <vt:variant>
        <vt:lpwstr/>
      </vt:variant>
      <vt:variant>
        <vt:lpwstr>_Toc225265026</vt:lpwstr>
      </vt:variant>
      <vt:variant>
        <vt:i4>1048625</vt:i4>
      </vt:variant>
      <vt:variant>
        <vt:i4>353</vt:i4>
      </vt:variant>
      <vt:variant>
        <vt:i4>0</vt:i4>
      </vt:variant>
      <vt:variant>
        <vt:i4>5</vt:i4>
      </vt:variant>
      <vt:variant>
        <vt:lpwstr/>
      </vt:variant>
      <vt:variant>
        <vt:lpwstr>_Toc225265025</vt:lpwstr>
      </vt:variant>
      <vt:variant>
        <vt:i4>1048625</vt:i4>
      </vt:variant>
      <vt:variant>
        <vt:i4>347</vt:i4>
      </vt:variant>
      <vt:variant>
        <vt:i4>0</vt:i4>
      </vt:variant>
      <vt:variant>
        <vt:i4>5</vt:i4>
      </vt:variant>
      <vt:variant>
        <vt:lpwstr/>
      </vt:variant>
      <vt:variant>
        <vt:lpwstr>_Toc225265024</vt:lpwstr>
      </vt:variant>
      <vt:variant>
        <vt:i4>1048625</vt:i4>
      </vt:variant>
      <vt:variant>
        <vt:i4>341</vt:i4>
      </vt:variant>
      <vt:variant>
        <vt:i4>0</vt:i4>
      </vt:variant>
      <vt:variant>
        <vt:i4>5</vt:i4>
      </vt:variant>
      <vt:variant>
        <vt:lpwstr/>
      </vt:variant>
      <vt:variant>
        <vt:lpwstr>_Toc225265023</vt:lpwstr>
      </vt:variant>
      <vt:variant>
        <vt:i4>1048625</vt:i4>
      </vt:variant>
      <vt:variant>
        <vt:i4>335</vt:i4>
      </vt:variant>
      <vt:variant>
        <vt:i4>0</vt:i4>
      </vt:variant>
      <vt:variant>
        <vt:i4>5</vt:i4>
      </vt:variant>
      <vt:variant>
        <vt:lpwstr/>
      </vt:variant>
      <vt:variant>
        <vt:lpwstr>_Toc225265022</vt:lpwstr>
      </vt:variant>
      <vt:variant>
        <vt:i4>1048625</vt:i4>
      </vt:variant>
      <vt:variant>
        <vt:i4>329</vt:i4>
      </vt:variant>
      <vt:variant>
        <vt:i4>0</vt:i4>
      </vt:variant>
      <vt:variant>
        <vt:i4>5</vt:i4>
      </vt:variant>
      <vt:variant>
        <vt:lpwstr/>
      </vt:variant>
      <vt:variant>
        <vt:lpwstr>_Toc225265021</vt:lpwstr>
      </vt:variant>
      <vt:variant>
        <vt:i4>1048625</vt:i4>
      </vt:variant>
      <vt:variant>
        <vt:i4>323</vt:i4>
      </vt:variant>
      <vt:variant>
        <vt:i4>0</vt:i4>
      </vt:variant>
      <vt:variant>
        <vt:i4>5</vt:i4>
      </vt:variant>
      <vt:variant>
        <vt:lpwstr/>
      </vt:variant>
      <vt:variant>
        <vt:lpwstr>_Toc225265020</vt:lpwstr>
      </vt:variant>
      <vt:variant>
        <vt:i4>1245233</vt:i4>
      </vt:variant>
      <vt:variant>
        <vt:i4>317</vt:i4>
      </vt:variant>
      <vt:variant>
        <vt:i4>0</vt:i4>
      </vt:variant>
      <vt:variant>
        <vt:i4>5</vt:i4>
      </vt:variant>
      <vt:variant>
        <vt:lpwstr/>
      </vt:variant>
      <vt:variant>
        <vt:lpwstr>_Toc225265019</vt:lpwstr>
      </vt:variant>
      <vt:variant>
        <vt:i4>1245233</vt:i4>
      </vt:variant>
      <vt:variant>
        <vt:i4>311</vt:i4>
      </vt:variant>
      <vt:variant>
        <vt:i4>0</vt:i4>
      </vt:variant>
      <vt:variant>
        <vt:i4>5</vt:i4>
      </vt:variant>
      <vt:variant>
        <vt:lpwstr/>
      </vt:variant>
      <vt:variant>
        <vt:lpwstr>_Toc225265018</vt:lpwstr>
      </vt:variant>
      <vt:variant>
        <vt:i4>1245233</vt:i4>
      </vt:variant>
      <vt:variant>
        <vt:i4>305</vt:i4>
      </vt:variant>
      <vt:variant>
        <vt:i4>0</vt:i4>
      </vt:variant>
      <vt:variant>
        <vt:i4>5</vt:i4>
      </vt:variant>
      <vt:variant>
        <vt:lpwstr/>
      </vt:variant>
      <vt:variant>
        <vt:lpwstr>_Toc225265017</vt:lpwstr>
      </vt:variant>
      <vt:variant>
        <vt:i4>1245233</vt:i4>
      </vt:variant>
      <vt:variant>
        <vt:i4>299</vt:i4>
      </vt:variant>
      <vt:variant>
        <vt:i4>0</vt:i4>
      </vt:variant>
      <vt:variant>
        <vt:i4>5</vt:i4>
      </vt:variant>
      <vt:variant>
        <vt:lpwstr/>
      </vt:variant>
      <vt:variant>
        <vt:lpwstr>_Toc225265016</vt:lpwstr>
      </vt:variant>
      <vt:variant>
        <vt:i4>1245233</vt:i4>
      </vt:variant>
      <vt:variant>
        <vt:i4>293</vt:i4>
      </vt:variant>
      <vt:variant>
        <vt:i4>0</vt:i4>
      </vt:variant>
      <vt:variant>
        <vt:i4>5</vt:i4>
      </vt:variant>
      <vt:variant>
        <vt:lpwstr/>
      </vt:variant>
      <vt:variant>
        <vt:lpwstr>_Toc225265015</vt:lpwstr>
      </vt:variant>
      <vt:variant>
        <vt:i4>1245233</vt:i4>
      </vt:variant>
      <vt:variant>
        <vt:i4>287</vt:i4>
      </vt:variant>
      <vt:variant>
        <vt:i4>0</vt:i4>
      </vt:variant>
      <vt:variant>
        <vt:i4>5</vt:i4>
      </vt:variant>
      <vt:variant>
        <vt:lpwstr/>
      </vt:variant>
      <vt:variant>
        <vt:lpwstr>_Toc225265014</vt:lpwstr>
      </vt:variant>
      <vt:variant>
        <vt:i4>1245233</vt:i4>
      </vt:variant>
      <vt:variant>
        <vt:i4>281</vt:i4>
      </vt:variant>
      <vt:variant>
        <vt:i4>0</vt:i4>
      </vt:variant>
      <vt:variant>
        <vt:i4>5</vt:i4>
      </vt:variant>
      <vt:variant>
        <vt:lpwstr/>
      </vt:variant>
      <vt:variant>
        <vt:lpwstr>_Toc225265013</vt:lpwstr>
      </vt:variant>
      <vt:variant>
        <vt:i4>1245233</vt:i4>
      </vt:variant>
      <vt:variant>
        <vt:i4>275</vt:i4>
      </vt:variant>
      <vt:variant>
        <vt:i4>0</vt:i4>
      </vt:variant>
      <vt:variant>
        <vt:i4>5</vt:i4>
      </vt:variant>
      <vt:variant>
        <vt:lpwstr/>
      </vt:variant>
      <vt:variant>
        <vt:lpwstr>_Toc225265012</vt:lpwstr>
      </vt:variant>
      <vt:variant>
        <vt:i4>1245233</vt:i4>
      </vt:variant>
      <vt:variant>
        <vt:i4>269</vt:i4>
      </vt:variant>
      <vt:variant>
        <vt:i4>0</vt:i4>
      </vt:variant>
      <vt:variant>
        <vt:i4>5</vt:i4>
      </vt:variant>
      <vt:variant>
        <vt:lpwstr/>
      </vt:variant>
      <vt:variant>
        <vt:lpwstr>_Toc225265011</vt:lpwstr>
      </vt:variant>
      <vt:variant>
        <vt:i4>1245233</vt:i4>
      </vt:variant>
      <vt:variant>
        <vt:i4>263</vt:i4>
      </vt:variant>
      <vt:variant>
        <vt:i4>0</vt:i4>
      </vt:variant>
      <vt:variant>
        <vt:i4>5</vt:i4>
      </vt:variant>
      <vt:variant>
        <vt:lpwstr/>
      </vt:variant>
      <vt:variant>
        <vt:lpwstr>_Toc225265010</vt:lpwstr>
      </vt:variant>
      <vt:variant>
        <vt:i4>1179697</vt:i4>
      </vt:variant>
      <vt:variant>
        <vt:i4>257</vt:i4>
      </vt:variant>
      <vt:variant>
        <vt:i4>0</vt:i4>
      </vt:variant>
      <vt:variant>
        <vt:i4>5</vt:i4>
      </vt:variant>
      <vt:variant>
        <vt:lpwstr/>
      </vt:variant>
      <vt:variant>
        <vt:lpwstr>_Toc225265009</vt:lpwstr>
      </vt:variant>
      <vt:variant>
        <vt:i4>1179697</vt:i4>
      </vt:variant>
      <vt:variant>
        <vt:i4>251</vt:i4>
      </vt:variant>
      <vt:variant>
        <vt:i4>0</vt:i4>
      </vt:variant>
      <vt:variant>
        <vt:i4>5</vt:i4>
      </vt:variant>
      <vt:variant>
        <vt:lpwstr/>
      </vt:variant>
      <vt:variant>
        <vt:lpwstr>_Toc225265008</vt:lpwstr>
      </vt:variant>
      <vt:variant>
        <vt:i4>1179697</vt:i4>
      </vt:variant>
      <vt:variant>
        <vt:i4>245</vt:i4>
      </vt:variant>
      <vt:variant>
        <vt:i4>0</vt:i4>
      </vt:variant>
      <vt:variant>
        <vt:i4>5</vt:i4>
      </vt:variant>
      <vt:variant>
        <vt:lpwstr/>
      </vt:variant>
      <vt:variant>
        <vt:lpwstr>_Toc225265007</vt:lpwstr>
      </vt:variant>
      <vt:variant>
        <vt:i4>1179697</vt:i4>
      </vt:variant>
      <vt:variant>
        <vt:i4>239</vt:i4>
      </vt:variant>
      <vt:variant>
        <vt:i4>0</vt:i4>
      </vt:variant>
      <vt:variant>
        <vt:i4>5</vt:i4>
      </vt:variant>
      <vt:variant>
        <vt:lpwstr/>
      </vt:variant>
      <vt:variant>
        <vt:lpwstr>_Toc225265006</vt:lpwstr>
      </vt:variant>
      <vt:variant>
        <vt:i4>1179697</vt:i4>
      </vt:variant>
      <vt:variant>
        <vt:i4>233</vt:i4>
      </vt:variant>
      <vt:variant>
        <vt:i4>0</vt:i4>
      </vt:variant>
      <vt:variant>
        <vt:i4>5</vt:i4>
      </vt:variant>
      <vt:variant>
        <vt:lpwstr/>
      </vt:variant>
      <vt:variant>
        <vt:lpwstr>_Toc225265005</vt:lpwstr>
      </vt:variant>
      <vt:variant>
        <vt:i4>1179697</vt:i4>
      </vt:variant>
      <vt:variant>
        <vt:i4>227</vt:i4>
      </vt:variant>
      <vt:variant>
        <vt:i4>0</vt:i4>
      </vt:variant>
      <vt:variant>
        <vt:i4>5</vt:i4>
      </vt:variant>
      <vt:variant>
        <vt:lpwstr/>
      </vt:variant>
      <vt:variant>
        <vt:lpwstr>_Toc225265004</vt:lpwstr>
      </vt:variant>
      <vt:variant>
        <vt:i4>1179697</vt:i4>
      </vt:variant>
      <vt:variant>
        <vt:i4>221</vt:i4>
      </vt:variant>
      <vt:variant>
        <vt:i4>0</vt:i4>
      </vt:variant>
      <vt:variant>
        <vt:i4>5</vt:i4>
      </vt:variant>
      <vt:variant>
        <vt:lpwstr/>
      </vt:variant>
      <vt:variant>
        <vt:lpwstr>_Toc225265003</vt:lpwstr>
      </vt:variant>
      <vt:variant>
        <vt:i4>1179697</vt:i4>
      </vt:variant>
      <vt:variant>
        <vt:i4>215</vt:i4>
      </vt:variant>
      <vt:variant>
        <vt:i4>0</vt:i4>
      </vt:variant>
      <vt:variant>
        <vt:i4>5</vt:i4>
      </vt:variant>
      <vt:variant>
        <vt:lpwstr/>
      </vt:variant>
      <vt:variant>
        <vt:lpwstr>_Toc225265002</vt:lpwstr>
      </vt:variant>
      <vt:variant>
        <vt:i4>1179697</vt:i4>
      </vt:variant>
      <vt:variant>
        <vt:i4>209</vt:i4>
      </vt:variant>
      <vt:variant>
        <vt:i4>0</vt:i4>
      </vt:variant>
      <vt:variant>
        <vt:i4>5</vt:i4>
      </vt:variant>
      <vt:variant>
        <vt:lpwstr/>
      </vt:variant>
      <vt:variant>
        <vt:lpwstr>_Toc225265001</vt:lpwstr>
      </vt:variant>
      <vt:variant>
        <vt:i4>1179697</vt:i4>
      </vt:variant>
      <vt:variant>
        <vt:i4>203</vt:i4>
      </vt:variant>
      <vt:variant>
        <vt:i4>0</vt:i4>
      </vt:variant>
      <vt:variant>
        <vt:i4>5</vt:i4>
      </vt:variant>
      <vt:variant>
        <vt:lpwstr/>
      </vt:variant>
      <vt:variant>
        <vt:lpwstr>_Toc225265000</vt:lpwstr>
      </vt:variant>
      <vt:variant>
        <vt:i4>1703992</vt:i4>
      </vt:variant>
      <vt:variant>
        <vt:i4>197</vt:i4>
      </vt:variant>
      <vt:variant>
        <vt:i4>0</vt:i4>
      </vt:variant>
      <vt:variant>
        <vt:i4>5</vt:i4>
      </vt:variant>
      <vt:variant>
        <vt:lpwstr/>
      </vt:variant>
      <vt:variant>
        <vt:lpwstr>_Toc225264999</vt:lpwstr>
      </vt:variant>
      <vt:variant>
        <vt:i4>1703992</vt:i4>
      </vt:variant>
      <vt:variant>
        <vt:i4>191</vt:i4>
      </vt:variant>
      <vt:variant>
        <vt:i4>0</vt:i4>
      </vt:variant>
      <vt:variant>
        <vt:i4>5</vt:i4>
      </vt:variant>
      <vt:variant>
        <vt:lpwstr/>
      </vt:variant>
      <vt:variant>
        <vt:lpwstr>_Toc225264998</vt:lpwstr>
      </vt:variant>
      <vt:variant>
        <vt:i4>1703992</vt:i4>
      </vt:variant>
      <vt:variant>
        <vt:i4>185</vt:i4>
      </vt:variant>
      <vt:variant>
        <vt:i4>0</vt:i4>
      </vt:variant>
      <vt:variant>
        <vt:i4>5</vt:i4>
      </vt:variant>
      <vt:variant>
        <vt:lpwstr/>
      </vt:variant>
      <vt:variant>
        <vt:lpwstr>_Toc225264997</vt:lpwstr>
      </vt:variant>
      <vt:variant>
        <vt:i4>1703992</vt:i4>
      </vt:variant>
      <vt:variant>
        <vt:i4>179</vt:i4>
      </vt:variant>
      <vt:variant>
        <vt:i4>0</vt:i4>
      </vt:variant>
      <vt:variant>
        <vt:i4>5</vt:i4>
      </vt:variant>
      <vt:variant>
        <vt:lpwstr/>
      </vt:variant>
      <vt:variant>
        <vt:lpwstr>_Toc225264996</vt:lpwstr>
      </vt:variant>
      <vt:variant>
        <vt:i4>1703992</vt:i4>
      </vt:variant>
      <vt:variant>
        <vt:i4>173</vt:i4>
      </vt:variant>
      <vt:variant>
        <vt:i4>0</vt:i4>
      </vt:variant>
      <vt:variant>
        <vt:i4>5</vt:i4>
      </vt:variant>
      <vt:variant>
        <vt:lpwstr/>
      </vt:variant>
      <vt:variant>
        <vt:lpwstr>_Toc225264995</vt:lpwstr>
      </vt:variant>
      <vt:variant>
        <vt:i4>1703992</vt:i4>
      </vt:variant>
      <vt:variant>
        <vt:i4>167</vt:i4>
      </vt:variant>
      <vt:variant>
        <vt:i4>0</vt:i4>
      </vt:variant>
      <vt:variant>
        <vt:i4>5</vt:i4>
      </vt:variant>
      <vt:variant>
        <vt:lpwstr/>
      </vt:variant>
      <vt:variant>
        <vt:lpwstr>_Toc225264994</vt:lpwstr>
      </vt:variant>
      <vt:variant>
        <vt:i4>1703992</vt:i4>
      </vt:variant>
      <vt:variant>
        <vt:i4>161</vt:i4>
      </vt:variant>
      <vt:variant>
        <vt:i4>0</vt:i4>
      </vt:variant>
      <vt:variant>
        <vt:i4>5</vt:i4>
      </vt:variant>
      <vt:variant>
        <vt:lpwstr/>
      </vt:variant>
      <vt:variant>
        <vt:lpwstr>_Toc225264993</vt:lpwstr>
      </vt:variant>
      <vt:variant>
        <vt:i4>1703992</vt:i4>
      </vt:variant>
      <vt:variant>
        <vt:i4>155</vt:i4>
      </vt:variant>
      <vt:variant>
        <vt:i4>0</vt:i4>
      </vt:variant>
      <vt:variant>
        <vt:i4>5</vt:i4>
      </vt:variant>
      <vt:variant>
        <vt:lpwstr/>
      </vt:variant>
      <vt:variant>
        <vt:lpwstr>_Toc225264992</vt:lpwstr>
      </vt:variant>
      <vt:variant>
        <vt:i4>1703992</vt:i4>
      </vt:variant>
      <vt:variant>
        <vt:i4>149</vt:i4>
      </vt:variant>
      <vt:variant>
        <vt:i4>0</vt:i4>
      </vt:variant>
      <vt:variant>
        <vt:i4>5</vt:i4>
      </vt:variant>
      <vt:variant>
        <vt:lpwstr/>
      </vt:variant>
      <vt:variant>
        <vt:lpwstr>_Toc225264991</vt:lpwstr>
      </vt:variant>
      <vt:variant>
        <vt:i4>1703992</vt:i4>
      </vt:variant>
      <vt:variant>
        <vt:i4>143</vt:i4>
      </vt:variant>
      <vt:variant>
        <vt:i4>0</vt:i4>
      </vt:variant>
      <vt:variant>
        <vt:i4>5</vt:i4>
      </vt:variant>
      <vt:variant>
        <vt:lpwstr/>
      </vt:variant>
      <vt:variant>
        <vt:lpwstr>_Toc225264990</vt:lpwstr>
      </vt:variant>
      <vt:variant>
        <vt:i4>1769528</vt:i4>
      </vt:variant>
      <vt:variant>
        <vt:i4>137</vt:i4>
      </vt:variant>
      <vt:variant>
        <vt:i4>0</vt:i4>
      </vt:variant>
      <vt:variant>
        <vt:i4>5</vt:i4>
      </vt:variant>
      <vt:variant>
        <vt:lpwstr/>
      </vt:variant>
      <vt:variant>
        <vt:lpwstr>_Toc225264989</vt:lpwstr>
      </vt:variant>
      <vt:variant>
        <vt:i4>1769528</vt:i4>
      </vt:variant>
      <vt:variant>
        <vt:i4>131</vt:i4>
      </vt:variant>
      <vt:variant>
        <vt:i4>0</vt:i4>
      </vt:variant>
      <vt:variant>
        <vt:i4>5</vt:i4>
      </vt:variant>
      <vt:variant>
        <vt:lpwstr/>
      </vt:variant>
      <vt:variant>
        <vt:lpwstr>_Toc225264988</vt:lpwstr>
      </vt:variant>
      <vt:variant>
        <vt:i4>1769528</vt:i4>
      </vt:variant>
      <vt:variant>
        <vt:i4>125</vt:i4>
      </vt:variant>
      <vt:variant>
        <vt:i4>0</vt:i4>
      </vt:variant>
      <vt:variant>
        <vt:i4>5</vt:i4>
      </vt:variant>
      <vt:variant>
        <vt:lpwstr/>
      </vt:variant>
      <vt:variant>
        <vt:lpwstr>_Toc225264987</vt:lpwstr>
      </vt:variant>
      <vt:variant>
        <vt:i4>1769528</vt:i4>
      </vt:variant>
      <vt:variant>
        <vt:i4>119</vt:i4>
      </vt:variant>
      <vt:variant>
        <vt:i4>0</vt:i4>
      </vt:variant>
      <vt:variant>
        <vt:i4>5</vt:i4>
      </vt:variant>
      <vt:variant>
        <vt:lpwstr/>
      </vt:variant>
      <vt:variant>
        <vt:lpwstr>_Toc225264986</vt:lpwstr>
      </vt:variant>
      <vt:variant>
        <vt:i4>1769528</vt:i4>
      </vt:variant>
      <vt:variant>
        <vt:i4>113</vt:i4>
      </vt:variant>
      <vt:variant>
        <vt:i4>0</vt:i4>
      </vt:variant>
      <vt:variant>
        <vt:i4>5</vt:i4>
      </vt:variant>
      <vt:variant>
        <vt:lpwstr/>
      </vt:variant>
      <vt:variant>
        <vt:lpwstr>_Toc225264985</vt:lpwstr>
      </vt:variant>
      <vt:variant>
        <vt:i4>1769528</vt:i4>
      </vt:variant>
      <vt:variant>
        <vt:i4>107</vt:i4>
      </vt:variant>
      <vt:variant>
        <vt:i4>0</vt:i4>
      </vt:variant>
      <vt:variant>
        <vt:i4>5</vt:i4>
      </vt:variant>
      <vt:variant>
        <vt:lpwstr/>
      </vt:variant>
      <vt:variant>
        <vt:lpwstr>_Toc225264984</vt:lpwstr>
      </vt:variant>
      <vt:variant>
        <vt:i4>1769528</vt:i4>
      </vt:variant>
      <vt:variant>
        <vt:i4>101</vt:i4>
      </vt:variant>
      <vt:variant>
        <vt:i4>0</vt:i4>
      </vt:variant>
      <vt:variant>
        <vt:i4>5</vt:i4>
      </vt:variant>
      <vt:variant>
        <vt:lpwstr/>
      </vt:variant>
      <vt:variant>
        <vt:lpwstr>_Toc225264983</vt:lpwstr>
      </vt:variant>
      <vt:variant>
        <vt:i4>1769528</vt:i4>
      </vt:variant>
      <vt:variant>
        <vt:i4>95</vt:i4>
      </vt:variant>
      <vt:variant>
        <vt:i4>0</vt:i4>
      </vt:variant>
      <vt:variant>
        <vt:i4>5</vt:i4>
      </vt:variant>
      <vt:variant>
        <vt:lpwstr/>
      </vt:variant>
      <vt:variant>
        <vt:lpwstr>_Toc225264982</vt:lpwstr>
      </vt:variant>
      <vt:variant>
        <vt:i4>1769528</vt:i4>
      </vt:variant>
      <vt:variant>
        <vt:i4>89</vt:i4>
      </vt:variant>
      <vt:variant>
        <vt:i4>0</vt:i4>
      </vt:variant>
      <vt:variant>
        <vt:i4>5</vt:i4>
      </vt:variant>
      <vt:variant>
        <vt:lpwstr/>
      </vt:variant>
      <vt:variant>
        <vt:lpwstr>_Toc225264981</vt:lpwstr>
      </vt:variant>
      <vt:variant>
        <vt:i4>1769528</vt:i4>
      </vt:variant>
      <vt:variant>
        <vt:i4>83</vt:i4>
      </vt:variant>
      <vt:variant>
        <vt:i4>0</vt:i4>
      </vt:variant>
      <vt:variant>
        <vt:i4>5</vt:i4>
      </vt:variant>
      <vt:variant>
        <vt:lpwstr/>
      </vt:variant>
      <vt:variant>
        <vt:lpwstr>_Toc225264980</vt:lpwstr>
      </vt:variant>
      <vt:variant>
        <vt:i4>1310776</vt:i4>
      </vt:variant>
      <vt:variant>
        <vt:i4>77</vt:i4>
      </vt:variant>
      <vt:variant>
        <vt:i4>0</vt:i4>
      </vt:variant>
      <vt:variant>
        <vt:i4>5</vt:i4>
      </vt:variant>
      <vt:variant>
        <vt:lpwstr/>
      </vt:variant>
      <vt:variant>
        <vt:lpwstr>_Toc225264979</vt:lpwstr>
      </vt:variant>
      <vt:variant>
        <vt:i4>1310776</vt:i4>
      </vt:variant>
      <vt:variant>
        <vt:i4>71</vt:i4>
      </vt:variant>
      <vt:variant>
        <vt:i4>0</vt:i4>
      </vt:variant>
      <vt:variant>
        <vt:i4>5</vt:i4>
      </vt:variant>
      <vt:variant>
        <vt:lpwstr/>
      </vt:variant>
      <vt:variant>
        <vt:lpwstr>_Toc225264978</vt:lpwstr>
      </vt:variant>
      <vt:variant>
        <vt:i4>1310776</vt:i4>
      </vt:variant>
      <vt:variant>
        <vt:i4>65</vt:i4>
      </vt:variant>
      <vt:variant>
        <vt:i4>0</vt:i4>
      </vt:variant>
      <vt:variant>
        <vt:i4>5</vt:i4>
      </vt:variant>
      <vt:variant>
        <vt:lpwstr/>
      </vt:variant>
      <vt:variant>
        <vt:lpwstr>_Toc225264977</vt:lpwstr>
      </vt:variant>
      <vt:variant>
        <vt:i4>1310776</vt:i4>
      </vt:variant>
      <vt:variant>
        <vt:i4>59</vt:i4>
      </vt:variant>
      <vt:variant>
        <vt:i4>0</vt:i4>
      </vt:variant>
      <vt:variant>
        <vt:i4>5</vt:i4>
      </vt:variant>
      <vt:variant>
        <vt:lpwstr/>
      </vt:variant>
      <vt:variant>
        <vt:lpwstr>_Toc225264976</vt:lpwstr>
      </vt:variant>
      <vt:variant>
        <vt:i4>1310776</vt:i4>
      </vt:variant>
      <vt:variant>
        <vt:i4>50</vt:i4>
      </vt:variant>
      <vt:variant>
        <vt:i4>0</vt:i4>
      </vt:variant>
      <vt:variant>
        <vt:i4>5</vt:i4>
      </vt:variant>
      <vt:variant>
        <vt:lpwstr/>
      </vt:variant>
      <vt:variant>
        <vt:lpwstr>_Toc225264975</vt:lpwstr>
      </vt:variant>
      <vt:variant>
        <vt:i4>1310776</vt:i4>
      </vt:variant>
      <vt:variant>
        <vt:i4>44</vt:i4>
      </vt:variant>
      <vt:variant>
        <vt:i4>0</vt:i4>
      </vt:variant>
      <vt:variant>
        <vt:i4>5</vt:i4>
      </vt:variant>
      <vt:variant>
        <vt:lpwstr/>
      </vt:variant>
      <vt:variant>
        <vt:lpwstr>_Toc225264974</vt:lpwstr>
      </vt:variant>
      <vt:variant>
        <vt:i4>1310776</vt:i4>
      </vt:variant>
      <vt:variant>
        <vt:i4>38</vt:i4>
      </vt:variant>
      <vt:variant>
        <vt:i4>0</vt:i4>
      </vt:variant>
      <vt:variant>
        <vt:i4>5</vt:i4>
      </vt:variant>
      <vt:variant>
        <vt:lpwstr/>
      </vt:variant>
      <vt:variant>
        <vt:lpwstr>_Toc225264973</vt:lpwstr>
      </vt:variant>
      <vt:variant>
        <vt:i4>1310776</vt:i4>
      </vt:variant>
      <vt:variant>
        <vt:i4>32</vt:i4>
      </vt:variant>
      <vt:variant>
        <vt:i4>0</vt:i4>
      </vt:variant>
      <vt:variant>
        <vt:i4>5</vt:i4>
      </vt:variant>
      <vt:variant>
        <vt:lpwstr/>
      </vt:variant>
      <vt:variant>
        <vt:lpwstr>_Toc225264972</vt:lpwstr>
      </vt:variant>
      <vt:variant>
        <vt:i4>1310776</vt:i4>
      </vt:variant>
      <vt:variant>
        <vt:i4>26</vt:i4>
      </vt:variant>
      <vt:variant>
        <vt:i4>0</vt:i4>
      </vt:variant>
      <vt:variant>
        <vt:i4>5</vt:i4>
      </vt:variant>
      <vt:variant>
        <vt:lpwstr/>
      </vt:variant>
      <vt:variant>
        <vt:lpwstr>_Toc225264971</vt:lpwstr>
      </vt:variant>
      <vt:variant>
        <vt:i4>1310776</vt:i4>
      </vt:variant>
      <vt:variant>
        <vt:i4>20</vt:i4>
      </vt:variant>
      <vt:variant>
        <vt:i4>0</vt:i4>
      </vt:variant>
      <vt:variant>
        <vt:i4>5</vt:i4>
      </vt:variant>
      <vt:variant>
        <vt:lpwstr/>
      </vt:variant>
      <vt:variant>
        <vt:lpwstr>_Toc225264970</vt:lpwstr>
      </vt:variant>
      <vt:variant>
        <vt:i4>1376312</vt:i4>
      </vt:variant>
      <vt:variant>
        <vt:i4>14</vt:i4>
      </vt:variant>
      <vt:variant>
        <vt:i4>0</vt:i4>
      </vt:variant>
      <vt:variant>
        <vt:i4>5</vt:i4>
      </vt:variant>
      <vt:variant>
        <vt:lpwstr/>
      </vt:variant>
      <vt:variant>
        <vt:lpwstr>_Toc225264969</vt:lpwstr>
      </vt:variant>
      <vt:variant>
        <vt:i4>1376312</vt:i4>
      </vt:variant>
      <vt:variant>
        <vt:i4>8</vt:i4>
      </vt:variant>
      <vt:variant>
        <vt:i4>0</vt:i4>
      </vt:variant>
      <vt:variant>
        <vt:i4>5</vt:i4>
      </vt:variant>
      <vt:variant>
        <vt:lpwstr/>
      </vt:variant>
      <vt:variant>
        <vt:lpwstr>_Toc225264968</vt:lpwstr>
      </vt:variant>
      <vt:variant>
        <vt:i4>1376312</vt:i4>
      </vt:variant>
      <vt:variant>
        <vt:i4>2</vt:i4>
      </vt:variant>
      <vt:variant>
        <vt:i4>0</vt:i4>
      </vt:variant>
      <vt:variant>
        <vt:i4>5</vt:i4>
      </vt:variant>
      <vt:variant>
        <vt:lpwstr/>
      </vt:variant>
      <vt:variant>
        <vt:lpwstr>_Toc225264967</vt:lpwstr>
      </vt:variant>
      <vt:variant>
        <vt:i4>3539024</vt:i4>
      </vt:variant>
      <vt:variant>
        <vt:i4>0</vt:i4>
      </vt:variant>
      <vt:variant>
        <vt:i4>0</vt:i4>
      </vt:variant>
      <vt:variant>
        <vt:i4>5</vt:i4>
      </vt:variant>
      <vt:variant>
        <vt:lpwstr>mailto:leonelsalguero@reincorporacion.gov.co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Edinson Malagón Mayorga</dc:creator>
  <cp:keywords/>
  <dc:description/>
  <cp:lastModifiedBy>Gladys Marlenny Velasquez Acosta</cp:lastModifiedBy>
  <cp:revision>1027</cp:revision>
  <cp:lastPrinted>2026-03-25T03:24:00Z</cp:lastPrinted>
  <dcterms:created xsi:type="dcterms:W3CDTF">2026-03-24T01:16:00Z</dcterms:created>
  <dcterms:modified xsi:type="dcterms:W3CDTF">2026-03-25T03:24:00Z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0x01010011E98A2535252E47BD2D497B4B7303FC</vt:lpwstr>
  </property>
  <property fmtid="{D5CDD505-2E9C-101B-9397-08002B2CF9AE}" pid="3" name="MediaServiceImageTags">
    <vt:lpwstr/>
  </property>
  <property fmtid="{D5CDD505-2E9C-101B-9397-08002B2CF9AE}" pid="4" name="_dlc_DocIdItemGuid">
    <vt:lpwstr>8e77f47e-3da1-4bdd-80ae-5fcf0743c95a</vt:lpwstr>
  </property>
</Properties>
</file>