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54" w:rsidRPr="008F2A3F" w:rsidRDefault="006205E4" w:rsidP="00A9393F">
      <w:pPr>
        <w:spacing w:line="240" w:lineRule="auto"/>
        <w:ind w:hanging="426"/>
        <w:rPr>
          <w:rFonts w:cs="Arial"/>
          <w:b/>
          <w:sz w:val="48"/>
          <w:szCs w:val="48"/>
          <w:lang w:val="es-ES_tradnl"/>
        </w:rPr>
      </w:pPr>
      <w:r w:rsidRPr="008F2A3F">
        <w:rPr>
          <w:noProof/>
          <w:lang w:val="es-419" w:eastAsia="es-419"/>
        </w:rPr>
        <mc:AlternateContent>
          <mc:Choice Requires="wpg">
            <w:drawing>
              <wp:anchor distT="0" distB="0" distL="114300" distR="114300" simplePos="0" relativeHeight="251675136" behindDoc="0" locked="0" layoutInCell="1" allowOverlap="1" wp14:anchorId="40FC7321" wp14:editId="2FD98B90">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5994" w:rsidRDefault="00755994" w:rsidP="00432808">
                                <w:pPr>
                                  <w:pStyle w:val="Sinespaciado"/>
                                  <w:spacing w:before="120"/>
                                  <w:rPr>
                                    <w:color w:val="FFFFFF" w:themeColor="background1"/>
                                  </w:rPr>
                                </w:pPr>
                                <w:r>
                                  <w:rPr>
                                    <w:rFonts w:ascii="Segoe UI" w:hAnsi="Segoe UI" w:cs="Segoe UI"/>
                                    <w:noProof/>
                                    <w:color w:val="444444"/>
                                    <w:sz w:val="20"/>
                                    <w:szCs w:val="20"/>
                                    <w:lang w:val="es-419" w:eastAsia="es-419"/>
                                  </w:rPr>
                                  <w:drawing>
                                    <wp:inline distT="0" distB="0" distL="0" distR="0" wp14:anchorId="70010B7E" wp14:editId="7322DE33">
                                      <wp:extent cx="3333750" cy="542925"/>
                                      <wp:effectExtent l="0" t="0" r="0" b="9525"/>
                                      <wp:docPr id="27" name="Imagen 27" descr="logoARN_Paz_con_legalid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RN_Paz_con_legalidaRGB.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333750" cy="54292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994" w:rsidRDefault="00755994" w:rsidP="008C7387">
                                <w:pPr>
                                  <w:pStyle w:val="Sinespaciado"/>
                                  <w:jc w:val="center"/>
                                  <w:rPr>
                                    <w:rFonts w:asciiTheme="majorHAnsi" w:eastAsiaTheme="majorEastAsia" w:hAnsiTheme="majorHAnsi" w:cstheme="majorBidi"/>
                                    <w:caps/>
                                    <w:noProof/>
                                    <w:color w:val="5B9BD5" w:themeColor="accent1"/>
                                    <w:sz w:val="72"/>
                                    <w:szCs w:val="72"/>
                                  </w:rPr>
                                </w:pPr>
                                <w:r>
                                  <w:rPr>
                                    <w:noProof/>
                                    <w:lang w:val="es-419" w:eastAsia="es-419"/>
                                  </w:rPr>
                                  <w:drawing>
                                    <wp:inline distT="0" distB="0" distL="0" distR="0" wp14:anchorId="1BB34D6E" wp14:editId="48AE350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rsidR="00755994" w:rsidRDefault="00755994"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rsidR="00755994" w:rsidRDefault="00755994"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w14:anchorId="40FC7321"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">
                <v:group id="Grupo 193"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ángulo 194"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" fillcolor="#36c" strokecolor="#36c" strokeweight="1pt"/>
                  <v:rect id="Rectángulo 195"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" fillcolor="#36c" strokecolor="#5b9bd5 [3204]" strokeweight="1pt">
                    <v:textbox inset="36pt,57.6pt,36pt,36pt">
                      <w:txbxContent>
                        <w:p w:rsidR="00755994" w:rsidRDefault="00755994" w:rsidP="00432808">
                          <w:pPr>
                            <w:pStyle w:val="Sinespaciado"/>
                            <w:spacing w:before="120"/>
                            <w:rPr>
                              <w:color w:val="FFFFFF" w:themeColor="background1"/>
                            </w:rPr>
                          </w:pPr>
                          <w:r>
                            <w:rPr>
                              <w:rFonts w:ascii="Segoe UI" w:hAnsi="Segoe UI" w:cs="Segoe UI"/>
                              <w:noProof/>
                              <w:color w:val="444444"/>
                              <w:sz w:val="20"/>
                              <w:szCs w:val="20"/>
                              <w:lang w:val="es-419" w:eastAsia="es-419"/>
                            </w:rPr>
                            <w:drawing>
                              <wp:inline distT="0" distB="0" distL="0" distR="0" wp14:anchorId="70010B7E" wp14:editId="7322DE33">
                                <wp:extent cx="3333750" cy="542925"/>
                                <wp:effectExtent l="0" t="0" r="0" b="9525"/>
                                <wp:docPr id="27" name="Imagen 27" descr="logoARN_Paz_con_legalid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RN_Paz_con_legalidaRGB.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0" cy="54292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" filled="f" stroked="f" strokeweight=".5pt">
                    <v:textbox inset="36pt,7.2pt,36pt,7.2pt">
                      <w:txbxContent>
                        <w:p w:rsidR="00755994" w:rsidRDefault="00755994" w:rsidP="008C7387">
                          <w:pPr>
                            <w:pStyle w:val="Sinespaciado"/>
                            <w:jc w:val="center"/>
                            <w:rPr>
                              <w:rFonts w:asciiTheme="majorHAnsi" w:eastAsiaTheme="majorEastAsia" w:hAnsiTheme="majorHAnsi" w:cstheme="majorBidi"/>
                              <w:caps/>
                              <w:noProof/>
                              <w:color w:val="5B9BD5" w:themeColor="accent1"/>
                              <w:sz w:val="72"/>
                              <w:szCs w:val="72"/>
                            </w:rPr>
                          </w:pPr>
                          <w:r>
                            <w:rPr>
                              <w:noProof/>
                              <w:lang w:val="es-419" w:eastAsia="es-419"/>
                            </w:rPr>
                            <w:drawing>
                              <wp:inline distT="0" distB="0" distL="0" distR="0" wp14:anchorId="1BB34D6E" wp14:editId="48AE350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rsidR="00755994" w:rsidRDefault="00755994"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rsidR="00755994" w:rsidRDefault="00755994" w:rsidP="008C7387">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25"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" filled="f" stroked="f">
                    <v:textbox inset=",7.2pt,,7.2pt">
                      <w:txbxContent>
                        <w:p w:rsidR="00755994" w:rsidRPr="00592172" w:rsidRDefault="00755994"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" filled="f" stroked="f">
                    <v:textbox inset=",7.2pt,,7.2pt">
                      <w:txbxContent>
                        <w:p w:rsidR="00755994" w:rsidRPr="00592172" w:rsidRDefault="00755994"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sidRPr="008F2A3F">
        <w:rPr>
          <w:noProof/>
          <w:lang w:val="es-419" w:eastAsia="es-419"/>
        </w:rPr>
        <mc:AlternateContent>
          <mc:Choice Requires="wps">
            <w:drawing>
              <wp:anchor distT="0" distB="0" distL="114300" distR="114300" simplePos="0" relativeHeight="251670016" behindDoc="0" locked="0" layoutInCell="1" allowOverlap="1" wp14:anchorId="47CBCD3B" wp14:editId="708D39EE">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BDAB6"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" strokecolor="white [3212]" strokeweight="2pt">
                <v:shadow opacity="24903f" origin=",.5" offset="0,.55556mm"/>
                <w10:wrap anchorx="margin"/>
              </v:line>
            </w:pict>
          </mc:Fallback>
        </mc:AlternateContent>
      </w:r>
    </w:p>
    <w:p w:rsidR="008C7387" w:rsidRPr="008F2A3F" w:rsidRDefault="008C7387" w:rsidP="00A91B15">
      <w:pPr>
        <w:spacing w:line="240" w:lineRule="auto"/>
        <w:rPr>
          <w:rFonts w:cs="Arial"/>
          <w:b/>
          <w:sz w:val="48"/>
          <w:szCs w:val="48"/>
          <w:lang w:val="es-ES_tradnl"/>
        </w:rPr>
      </w:pPr>
    </w:p>
    <w:p w:rsidR="008C7387" w:rsidRPr="008F2A3F" w:rsidRDefault="008C7387" w:rsidP="00A91B15">
      <w:pPr>
        <w:spacing w:line="240" w:lineRule="auto"/>
        <w:rPr>
          <w:rFonts w:cs="Arial"/>
          <w:b/>
          <w:sz w:val="48"/>
          <w:szCs w:val="48"/>
          <w:lang w:val="es-ES_tradnl"/>
        </w:rPr>
      </w:pPr>
    </w:p>
    <w:p w:rsidR="008C7387" w:rsidRPr="008F2A3F" w:rsidRDefault="008C7387" w:rsidP="00A91B15">
      <w:pPr>
        <w:spacing w:line="240" w:lineRule="auto"/>
        <w:rPr>
          <w:rFonts w:cs="Arial"/>
          <w:b/>
          <w:sz w:val="48"/>
          <w:szCs w:val="48"/>
          <w:lang w:val="es-ES_tradnl"/>
        </w:rPr>
      </w:pPr>
    </w:p>
    <w:p w:rsidR="008C7387" w:rsidRPr="008F2A3F" w:rsidRDefault="008C7387" w:rsidP="008C7387"/>
    <w:p w:rsidR="008C7387" w:rsidRPr="008F2A3F" w:rsidRDefault="008C7387" w:rsidP="008C7387">
      <w:pPr>
        <w:spacing w:line="240" w:lineRule="auto"/>
        <w:jc w:val="center"/>
        <w:rPr>
          <w:rFonts w:cs="Arial"/>
          <w:b/>
          <w:sz w:val="48"/>
          <w:szCs w:val="48"/>
          <w:lang w:val="es-ES_tradnl"/>
        </w:rPr>
      </w:pPr>
    </w:p>
    <w:p w:rsidR="006205E4" w:rsidRPr="008F2A3F" w:rsidRDefault="006205E4" w:rsidP="008C7387">
      <w:pPr>
        <w:spacing w:line="240" w:lineRule="auto"/>
        <w:jc w:val="center"/>
        <w:rPr>
          <w:rFonts w:cs="Arial"/>
          <w:b/>
          <w:sz w:val="48"/>
          <w:szCs w:val="48"/>
          <w:lang w:val="es-ES_tradnl"/>
        </w:rPr>
      </w:pPr>
    </w:p>
    <w:p w:rsidR="008C7387" w:rsidRPr="008F2A3F" w:rsidRDefault="006205E4" w:rsidP="006205E4">
      <w:pPr>
        <w:spacing w:line="240" w:lineRule="auto"/>
        <w:ind w:left="426" w:firstLine="567"/>
        <w:rPr>
          <w:rFonts w:cs="Arial"/>
          <w:b/>
          <w:sz w:val="48"/>
          <w:szCs w:val="48"/>
          <w:lang w:val="es-ES_tradnl"/>
        </w:rPr>
      </w:pPr>
      <w:r w:rsidRPr="008F2A3F">
        <w:rPr>
          <w:noProof/>
          <w:lang w:val="es-419" w:eastAsia="es-419"/>
        </w:rPr>
        <w:drawing>
          <wp:inline distT="0" distB="0" distL="0" distR="0" wp14:anchorId="74F45612" wp14:editId="5C96DF0F">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rsidR="008C7387" w:rsidRPr="008F2A3F" w:rsidRDefault="006205E4" w:rsidP="006205E4">
      <w:pPr>
        <w:spacing w:line="240" w:lineRule="auto"/>
        <w:ind w:firstLine="567"/>
        <w:rPr>
          <w:rFonts w:cs="Arial"/>
          <w:b/>
          <w:sz w:val="48"/>
          <w:szCs w:val="48"/>
          <w:lang w:val="es-ES_tradnl"/>
        </w:rPr>
      </w:pPr>
      <w:r w:rsidRPr="008F2A3F">
        <w:rPr>
          <w:rFonts w:cs="Arial"/>
          <w:b/>
          <w:noProof/>
          <w:sz w:val="48"/>
          <w:szCs w:val="48"/>
          <w:lang w:val="es-419" w:eastAsia="es-419"/>
        </w:rPr>
        <mc:AlternateContent>
          <mc:Choice Requires="wpg">
            <w:drawing>
              <wp:anchor distT="0" distB="0" distL="114300" distR="114300" simplePos="0" relativeHeight="251680256" behindDoc="0" locked="0" layoutInCell="1" allowOverlap="1" wp14:anchorId="22F8194B" wp14:editId="22EF19BB">
                <wp:simplePos x="0" y="0"/>
                <wp:positionH relativeFrom="column">
                  <wp:posOffset>306705</wp:posOffset>
                </wp:positionH>
                <wp:positionV relativeFrom="paragraph">
                  <wp:posOffset>257919</wp:posOffset>
                </wp:positionV>
                <wp:extent cx="5309235" cy="282765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3D6A15" w:rsidRDefault="00755994"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w14:anchorId="22F8194B" id="Grupo 52" o:spid="_x0000_s1034" style="position:absolute;left:0;text-align:left;margin-left:24.15pt;margin-top:20.3pt;width:418.05pt;height:222.65pt;z-index:251680256"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">
                <v:shape id="Text Box 23" o:spid="_x0000_s1035" type="#_x0000_t202" style="position:absolute;left:2364;width:5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rsidR="00755994" w:rsidRPr="003D6A15" w:rsidRDefault="00755994"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v:textbox>
                </v:shape>
                <v:shape id="_x0000_s1036" type="#_x0000_t202" style="position:absolute;top:15134;width:53092;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rsidR="00755994" w:rsidRPr="00592172" w:rsidRDefault="00755994"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rsidR="008C7387" w:rsidRPr="008F2A3F" w:rsidRDefault="008C7387" w:rsidP="006205E4">
      <w:pPr>
        <w:spacing w:line="240" w:lineRule="auto"/>
        <w:ind w:firstLine="567"/>
        <w:rPr>
          <w:rFonts w:cs="Arial"/>
          <w:b/>
          <w:sz w:val="48"/>
          <w:szCs w:val="48"/>
          <w:lang w:val="es-ES_tradnl"/>
        </w:rPr>
      </w:pPr>
    </w:p>
    <w:p w:rsidR="00282D54" w:rsidRPr="008F2A3F" w:rsidRDefault="00282D54" w:rsidP="00A91B15">
      <w:pPr>
        <w:spacing w:line="240" w:lineRule="auto"/>
        <w:rPr>
          <w:rFonts w:cs="Arial"/>
          <w:b/>
          <w:sz w:val="48"/>
          <w:szCs w:val="48"/>
          <w:lang w:val="es-ES_tradnl"/>
        </w:rPr>
      </w:pPr>
    </w:p>
    <w:p w:rsidR="006205E4" w:rsidRPr="008F2A3F" w:rsidRDefault="006205E4" w:rsidP="006205E4">
      <w:pPr>
        <w:pStyle w:val="Sinespaciado"/>
        <w:spacing w:before="120"/>
        <w:jc w:val="center"/>
      </w:pPr>
      <w:r w:rsidRPr="008F2A3F">
        <w:tab/>
      </w:r>
      <w:r w:rsidRPr="008F2A3F">
        <w:tab/>
      </w:r>
      <w:r w:rsidRPr="008F2A3F">
        <w:tab/>
      </w:r>
      <w:r w:rsidRPr="008F2A3F">
        <w:tab/>
      </w:r>
    </w:p>
    <w:p w:rsidR="00282D54" w:rsidRPr="008F2A3F" w:rsidRDefault="006205E4" w:rsidP="006205E4">
      <w:pPr>
        <w:spacing w:line="240" w:lineRule="auto"/>
        <w:jc w:val="center"/>
        <w:rPr>
          <w:rFonts w:cs="Arial"/>
          <w:b/>
          <w:sz w:val="48"/>
          <w:szCs w:val="48"/>
          <w:lang w:val="es-ES_tradnl"/>
        </w:rPr>
      </w:pPr>
      <w:r w:rsidRPr="008F2A3F">
        <w:rPr>
          <w:lang w:val="es-ES"/>
        </w:rPr>
        <w:t>  </w:t>
      </w:r>
      <w:r w:rsidRPr="008F2A3F">
        <w:rPr>
          <w:noProof/>
          <w:lang w:val="es-419" w:eastAsia="es-419"/>
        </w:rPr>
        <mc:AlternateContent>
          <mc:Choice Requires="wps">
            <w:drawing>
              <wp:anchor distT="0" distB="0" distL="114300" distR="114300" simplePos="0" relativeHeight="251650560" behindDoc="0" locked="0" layoutInCell="1" allowOverlap="1" wp14:anchorId="49BAD959" wp14:editId="203110F0">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D959"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Ss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" filled="f" stroked="f">
                <v:textbox inset=",7.2pt,,7.2pt">
                  <w:txbxContent>
                    <w:p w:rsidR="00755994" w:rsidRPr="00592172" w:rsidRDefault="00755994"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rsidR="00282D54" w:rsidRPr="008F2A3F" w:rsidRDefault="00282D54" w:rsidP="00A91B15">
      <w:pPr>
        <w:spacing w:line="240" w:lineRule="auto"/>
        <w:rPr>
          <w:rFonts w:cs="Arial"/>
          <w:b/>
          <w:sz w:val="48"/>
          <w:szCs w:val="48"/>
          <w:lang w:val="es-ES_tradnl"/>
        </w:rPr>
      </w:pPr>
    </w:p>
    <w:p w:rsidR="00282D54" w:rsidRPr="008F2A3F" w:rsidRDefault="008C7387" w:rsidP="00A91B15">
      <w:pPr>
        <w:spacing w:line="240" w:lineRule="auto"/>
        <w:rPr>
          <w:b/>
          <w:sz w:val="72"/>
          <w:szCs w:val="72"/>
          <w:u w:val="thick"/>
          <w:lang w:val="es-ES_tradnl"/>
        </w:rPr>
      </w:pPr>
      <w:r w:rsidRPr="008F2A3F">
        <w:rPr>
          <w:noProof/>
          <w:lang w:val="es-419" w:eastAsia="es-419"/>
        </w:rPr>
        <mc:AlternateContent>
          <mc:Choice Requires="wps">
            <w:drawing>
              <wp:anchor distT="0" distB="0" distL="114300" distR="114300" simplePos="0" relativeHeight="251667968" behindDoc="0" locked="0" layoutInCell="1" allowOverlap="1" wp14:anchorId="1563865B" wp14:editId="26260942">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rsidR="00755994" w:rsidRPr="008B6E31" w:rsidRDefault="00755994"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63865B"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" filled="f" stroked="f">
                <v:path arrowok="t"/>
                <v:textbox>
                  <w:txbxContent>
                    <w:p w:rsidR="00755994" w:rsidRPr="008B6E31" w:rsidRDefault="00755994" w:rsidP="008C7387">
                      <w:pPr>
                        <w:rPr>
                          <w:i/>
                        </w:rPr>
                      </w:pPr>
                      <w:r w:rsidRPr="0038416B">
                        <w:rPr>
                          <w:i/>
                          <w:highlight w:val="yellow"/>
                        </w:rPr>
                        <w:t>Inserte aquí el logo de su Entidad</w:t>
                      </w:r>
                    </w:p>
                  </w:txbxContent>
                </v:textbox>
                <w10:wrap type="through" anchorx="margin"/>
              </v:shape>
            </w:pict>
          </mc:Fallback>
        </mc:AlternateContent>
      </w:r>
    </w:p>
    <w:p w:rsidR="00282D54" w:rsidRPr="008F2A3F" w:rsidRDefault="00432808" w:rsidP="00A91B15">
      <w:pPr>
        <w:spacing w:line="240" w:lineRule="auto"/>
        <w:rPr>
          <w:b/>
          <w:sz w:val="72"/>
          <w:szCs w:val="72"/>
          <w:u w:val="thick"/>
          <w:lang w:val="es-ES_tradnl"/>
        </w:rPr>
      </w:pPr>
      <w:r w:rsidRPr="008F2A3F">
        <w:rPr>
          <w:b/>
          <w:noProof/>
          <w:sz w:val="72"/>
          <w:szCs w:val="72"/>
          <w:u w:val="thick"/>
          <w:lang w:val="es-419" w:eastAsia="es-419"/>
        </w:rPr>
        <w:drawing>
          <wp:inline distT="0" distB="0" distL="0" distR="0" wp14:anchorId="1C3DE54C" wp14:editId="0D92508E">
            <wp:extent cx="3335020" cy="54229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5020" cy="542290"/>
                    </a:xfrm>
                    <a:prstGeom prst="rect">
                      <a:avLst/>
                    </a:prstGeom>
                    <a:noFill/>
                  </pic:spPr>
                </pic:pic>
              </a:graphicData>
            </a:graphic>
          </wp:inline>
        </w:drawing>
      </w:r>
    </w:p>
    <w:p w:rsidR="00CD6466" w:rsidRPr="008F2A3F" w:rsidRDefault="00CD6466" w:rsidP="00CD6466">
      <w:pPr>
        <w:jc w:val="both"/>
        <w:rPr>
          <w:rFonts w:cstheme="minorHAnsi"/>
        </w:rPr>
      </w:pPr>
    </w:p>
    <w:p w:rsidR="00A91B15" w:rsidRPr="0099477A" w:rsidRDefault="00A91B15" w:rsidP="00A91B15">
      <w:pPr>
        <w:spacing w:line="240" w:lineRule="auto"/>
        <w:rPr>
          <w:b/>
          <w:color w:val="3366CC"/>
          <w:sz w:val="72"/>
          <w:szCs w:val="72"/>
          <w:u w:val="thick"/>
          <w:lang w:val="es-ES_tradnl"/>
        </w:rPr>
      </w:pPr>
      <w:r w:rsidRPr="0099477A">
        <w:rPr>
          <w:b/>
          <w:color w:val="3366CC"/>
          <w:sz w:val="72"/>
          <w:szCs w:val="72"/>
          <w:u w:val="thick"/>
          <w:lang w:val="es-ES_tradnl"/>
        </w:rPr>
        <w:lastRenderedPageBreak/>
        <w:t xml:space="preserve">Acuerdo de Paz </w:t>
      </w:r>
    </w:p>
    <w:p w:rsidR="00282D54" w:rsidRPr="008F2A3F" w:rsidRDefault="00282D54" w:rsidP="00A91B15">
      <w:pPr>
        <w:spacing w:line="240" w:lineRule="auto"/>
        <w:rPr>
          <w:noProof/>
          <w:lang w:val="es-ES_tradnl" w:eastAsia="es-CO"/>
        </w:rPr>
      </w:pPr>
    </w:p>
    <w:p w:rsidR="00A91B15" w:rsidRPr="008F2A3F" w:rsidRDefault="00A91B15" w:rsidP="00A91B15">
      <w:pPr>
        <w:spacing w:after="0" w:line="240" w:lineRule="auto"/>
        <w:ind w:left="708"/>
        <w:jc w:val="both"/>
        <w:rPr>
          <w:rFonts w:cs="Arial"/>
          <w:sz w:val="24"/>
          <w:szCs w:val="24"/>
          <w:lang w:val="es-ES_tradnl"/>
        </w:rPr>
      </w:pPr>
    </w:p>
    <w:p w:rsidR="00432808" w:rsidRPr="008F2A3F" w:rsidRDefault="00432808" w:rsidP="00432808">
      <w:pPr>
        <w:spacing w:after="0" w:line="240" w:lineRule="auto"/>
        <w:ind w:left="708"/>
        <w:jc w:val="both"/>
        <w:rPr>
          <w:sz w:val="24"/>
          <w:szCs w:val="24"/>
        </w:rPr>
      </w:pPr>
      <w:r w:rsidRPr="008F2A3F">
        <w:rPr>
          <w:sz w:val="24"/>
          <w:szCs w:val="24"/>
        </w:rPr>
        <w:t xml:space="preserve">La Agencia para la Reincorporación y Normalización –ARN desarrolla acciones que aportan a la construcción de Paz en Colombia. En este </w:t>
      </w:r>
      <w:r w:rsidRPr="008F2A3F">
        <w:rPr>
          <w:b/>
          <w:i/>
          <w:sz w:val="32"/>
          <w:szCs w:val="32"/>
        </w:rPr>
        <w:t xml:space="preserve">Informe de Rendición de Cuentas </w:t>
      </w:r>
      <w:r w:rsidRPr="008F2A3F">
        <w:rPr>
          <w:sz w:val="24"/>
          <w:szCs w:val="24"/>
        </w:rPr>
        <w:t xml:space="preserve">encuentra aquellas que están directamente relacionadas con la implementación del Acuerdo de Paz, adelantadas entre </w:t>
      </w:r>
      <w:r w:rsidRPr="008F2A3F">
        <w:rPr>
          <w:b/>
          <w:sz w:val="28"/>
          <w:szCs w:val="28"/>
          <w:u w:val="single"/>
        </w:rPr>
        <w:t>el 1 de enero de 2019 hasta el 31 de diciembre de 2019</w:t>
      </w:r>
      <w:r w:rsidRPr="008F2A3F">
        <w:rPr>
          <w:sz w:val="28"/>
          <w:szCs w:val="28"/>
        </w:rPr>
        <w:t xml:space="preserve">, </w:t>
      </w:r>
      <w:r w:rsidRPr="008F2A3F">
        <w:rPr>
          <w:sz w:val="24"/>
          <w:szCs w:val="24"/>
        </w:rPr>
        <w:t xml:space="preserve">sobre los siguientes puntos del Acuerdo: </w:t>
      </w:r>
    </w:p>
    <w:p w:rsidR="00432808" w:rsidRPr="008F2A3F" w:rsidRDefault="00432808" w:rsidP="00432808">
      <w:pPr>
        <w:spacing w:after="0" w:line="240" w:lineRule="auto"/>
        <w:ind w:left="708"/>
        <w:jc w:val="both"/>
        <w:rPr>
          <w:sz w:val="24"/>
          <w:szCs w:val="24"/>
        </w:rPr>
      </w:pPr>
    </w:p>
    <w:p w:rsidR="00432808" w:rsidRPr="008F2A3F" w:rsidRDefault="00432808" w:rsidP="00432808">
      <w:pPr>
        <w:spacing w:after="0" w:line="240" w:lineRule="auto"/>
        <w:ind w:left="708"/>
        <w:jc w:val="both"/>
        <w:rPr>
          <w:sz w:val="24"/>
          <w:szCs w:val="24"/>
          <w:lang w:val="es-ES_tradnl"/>
        </w:rPr>
      </w:pPr>
    </w:p>
    <w:p w:rsidR="00432808" w:rsidRPr="008F2A3F" w:rsidRDefault="00432808" w:rsidP="00432808">
      <w:pPr>
        <w:spacing w:after="0" w:line="240" w:lineRule="auto"/>
        <w:ind w:left="708"/>
        <w:jc w:val="both"/>
        <w:rPr>
          <w:sz w:val="24"/>
          <w:szCs w:val="24"/>
        </w:rPr>
      </w:pPr>
      <w:r w:rsidRPr="008F2A3F">
        <w:rPr>
          <w:noProof/>
          <w:sz w:val="20"/>
          <w:szCs w:val="20"/>
          <w:lang w:val="es-419" w:eastAsia="es-419"/>
        </w:rPr>
        <w:drawing>
          <wp:inline distT="0" distB="0" distL="0" distR="0" wp14:anchorId="4129170D" wp14:editId="606621CA">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Pr="008F2A3F">
        <w:rPr>
          <w:sz w:val="24"/>
          <w:szCs w:val="24"/>
        </w:rPr>
        <w:tab/>
      </w:r>
      <w:r w:rsidRPr="008F2A3F">
        <w:rPr>
          <w:sz w:val="24"/>
          <w:szCs w:val="24"/>
        </w:rPr>
        <w:tab/>
      </w:r>
      <w:r w:rsidRPr="008F2A3F">
        <w:rPr>
          <w:sz w:val="24"/>
          <w:szCs w:val="24"/>
        </w:rPr>
        <w:tab/>
        <w:t xml:space="preserve">                          </w:t>
      </w:r>
      <w:r w:rsidRPr="008F2A3F">
        <w:rPr>
          <w:sz w:val="24"/>
          <w:szCs w:val="24"/>
        </w:rPr>
        <w:tab/>
      </w:r>
      <w:r w:rsidRPr="008F2A3F">
        <w:rPr>
          <w:noProof/>
          <w:sz w:val="20"/>
          <w:szCs w:val="20"/>
          <w:lang w:val="es-419" w:eastAsia="es-419"/>
        </w:rPr>
        <w:drawing>
          <wp:inline distT="0" distB="0" distL="0" distR="0" wp14:anchorId="492B3AF1" wp14:editId="1A81135C">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rsidR="00432808" w:rsidRPr="008F2A3F" w:rsidRDefault="00432808" w:rsidP="00432808">
      <w:pPr>
        <w:spacing w:after="0" w:line="240" w:lineRule="auto"/>
        <w:ind w:left="708"/>
        <w:jc w:val="both"/>
        <w:rPr>
          <w:sz w:val="24"/>
          <w:szCs w:val="24"/>
        </w:rPr>
      </w:pPr>
      <w:r w:rsidRPr="008F2A3F">
        <w:rPr>
          <w:sz w:val="24"/>
          <w:szCs w:val="24"/>
        </w:rPr>
        <w:t>Punto 3</w:t>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t xml:space="preserve">                  Punto 6</w:t>
      </w:r>
    </w:p>
    <w:p w:rsidR="00432808" w:rsidRPr="008F2A3F" w:rsidRDefault="00432808" w:rsidP="00432808">
      <w:pPr>
        <w:spacing w:after="0" w:line="240" w:lineRule="auto"/>
        <w:ind w:left="708"/>
        <w:jc w:val="both"/>
        <w:rPr>
          <w:sz w:val="24"/>
          <w:szCs w:val="24"/>
        </w:rPr>
      </w:pPr>
      <w:r w:rsidRPr="008F2A3F">
        <w:rPr>
          <w:sz w:val="24"/>
          <w:szCs w:val="24"/>
        </w:rPr>
        <w:t>Fin del conflicto</w:t>
      </w:r>
      <w:r w:rsidRPr="008F2A3F">
        <w:rPr>
          <w:sz w:val="24"/>
          <w:szCs w:val="24"/>
        </w:rPr>
        <w:tab/>
      </w:r>
      <w:r w:rsidRPr="008F2A3F">
        <w:rPr>
          <w:sz w:val="24"/>
          <w:szCs w:val="24"/>
        </w:rPr>
        <w:tab/>
      </w:r>
      <w:r w:rsidRPr="008F2A3F">
        <w:rPr>
          <w:sz w:val="24"/>
          <w:szCs w:val="24"/>
        </w:rPr>
        <w:tab/>
      </w:r>
      <w:r w:rsidRPr="008F2A3F">
        <w:rPr>
          <w:sz w:val="24"/>
          <w:szCs w:val="24"/>
        </w:rPr>
        <w:tab/>
        <w:t xml:space="preserve">           Implementación, </w:t>
      </w:r>
    </w:p>
    <w:p w:rsidR="00432808" w:rsidRPr="008F2A3F" w:rsidRDefault="00432808" w:rsidP="00432808">
      <w:pPr>
        <w:spacing w:after="0" w:line="240" w:lineRule="auto"/>
        <w:ind w:left="2832"/>
        <w:jc w:val="both"/>
        <w:rPr>
          <w:sz w:val="24"/>
          <w:szCs w:val="24"/>
        </w:rPr>
      </w:pPr>
      <w:r w:rsidRPr="008F2A3F">
        <w:rPr>
          <w:sz w:val="24"/>
          <w:szCs w:val="24"/>
        </w:rPr>
        <w:tab/>
      </w:r>
      <w:r w:rsidRPr="008F2A3F">
        <w:rPr>
          <w:sz w:val="24"/>
          <w:szCs w:val="24"/>
        </w:rPr>
        <w:tab/>
        <w:t xml:space="preserve">              verificación y refrendación</w:t>
      </w:r>
    </w:p>
    <w:p w:rsidR="00432808" w:rsidRPr="008F2A3F" w:rsidRDefault="00432808" w:rsidP="00432808">
      <w:pPr>
        <w:spacing w:after="0" w:line="240" w:lineRule="auto"/>
        <w:ind w:left="708"/>
        <w:jc w:val="both"/>
        <w:rPr>
          <w:sz w:val="24"/>
          <w:szCs w:val="24"/>
        </w:rPr>
      </w:pPr>
    </w:p>
    <w:p w:rsidR="00432808" w:rsidRPr="008F2A3F" w:rsidRDefault="00432808" w:rsidP="00432808">
      <w:pPr>
        <w:spacing w:after="0" w:line="240" w:lineRule="auto"/>
        <w:ind w:left="708"/>
        <w:jc w:val="both"/>
        <w:rPr>
          <w:sz w:val="24"/>
          <w:szCs w:val="24"/>
        </w:rPr>
      </w:pPr>
      <w:r w:rsidRPr="008F2A3F">
        <w:rPr>
          <w:sz w:val="24"/>
          <w:szCs w:val="24"/>
        </w:rPr>
        <w:t xml:space="preserve">Finalmente, encuentra acciones que, aunque no son obligaciones explícitas del Acuerdo de Paz ni de los decretos reglamentarios, se han realizado en el marco de las competencias legales con el propósito de contribuir a su implementación. </w:t>
      </w:r>
    </w:p>
    <w:p w:rsidR="00A91B15" w:rsidRPr="008F2A3F" w:rsidRDefault="00A91B15"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99477A" w:rsidRPr="00746492" w:rsidRDefault="0099477A" w:rsidP="0099477A">
      <w:pPr>
        <w:spacing w:line="240" w:lineRule="auto"/>
        <w:rPr>
          <w:b/>
          <w:color w:val="3366CC"/>
          <w:sz w:val="72"/>
          <w:szCs w:val="72"/>
          <w:u w:val="single"/>
        </w:rPr>
      </w:pPr>
      <w:r w:rsidRPr="0051706B">
        <w:rPr>
          <w:b/>
          <w:color w:val="3366CC"/>
          <w:sz w:val="72"/>
          <w:szCs w:val="72"/>
          <w:u w:val="single"/>
        </w:rPr>
        <w:t>GLOSARIO</w:t>
      </w:r>
    </w:p>
    <w:p w:rsidR="0099477A" w:rsidRDefault="0099477A" w:rsidP="0099477A">
      <w:pPr>
        <w:spacing w:line="240" w:lineRule="auto"/>
        <w:rPr>
          <w:b/>
          <w:color w:val="0033CC"/>
          <w:sz w:val="36"/>
          <w:szCs w:val="52"/>
        </w:rPr>
      </w:pPr>
    </w:p>
    <w:p w:rsidR="0099477A" w:rsidRPr="00EE293E" w:rsidRDefault="0099477A" w:rsidP="0099477A">
      <w:pPr>
        <w:spacing w:line="240" w:lineRule="auto"/>
        <w:rPr>
          <w:color w:val="009EAD"/>
          <w:sz w:val="36"/>
          <w:szCs w:val="52"/>
        </w:rPr>
      </w:pPr>
      <w:r w:rsidRPr="00746492">
        <w:rPr>
          <w:b/>
          <w:color w:val="0033CC"/>
          <w:sz w:val="36"/>
          <w:szCs w:val="52"/>
        </w:rPr>
        <w:t>ANT:</w:t>
      </w:r>
      <w:r w:rsidRPr="00746492">
        <w:rPr>
          <w:rFonts w:cs="Arial"/>
          <w:color w:val="FF0000"/>
          <w:sz w:val="24"/>
          <w:szCs w:val="24"/>
        </w:rPr>
        <w:t xml:space="preserve"> </w:t>
      </w:r>
      <w:r>
        <w:rPr>
          <w:rFonts w:cs="Arial"/>
          <w:color w:val="000000"/>
          <w:sz w:val="24"/>
          <w:szCs w:val="24"/>
        </w:rPr>
        <w:t>Agencia Nacional de Tierras</w:t>
      </w:r>
    </w:p>
    <w:p w:rsidR="0099477A" w:rsidRDefault="0099477A" w:rsidP="0099477A">
      <w:pPr>
        <w:spacing w:line="240" w:lineRule="auto"/>
      </w:pPr>
      <w:r w:rsidRPr="00746492">
        <w:rPr>
          <w:b/>
          <w:color w:val="0033CC"/>
          <w:sz w:val="36"/>
          <w:szCs w:val="52"/>
        </w:rPr>
        <w:t>ART:</w:t>
      </w:r>
      <w:r>
        <w:t xml:space="preserve"> </w:t>
      </w:r>
      <w:r w:rsidRPr="00263525">
        <w:rPr>
          <w:sz w:val="24"/>
        </w:rPr>
        <w:t>Agencia de Renovación del Territorio</w:t>
      </w:r>
    </w:p>
    <w:p w:rsidR="0099477A" w:rsidRDefault="0099477A" w:rsidP="0099477A">
      <w:pPr>
        <w:spacing w:line="240" w:lineRule="auto"/>
        <w:rPr>
          <w:rFonts w:cs="Arial"/>
          <w:color w:val="000000"/>
          <w:sz w:val="24"/>
          <w:szCs w:val="24"/>
        </w:rPr>
      </w:pPr>
      <w:r w:rsidRPr="00746492">
        <w:rPr>
          <w:b/>
          <w:color w:val="0033CC"/>
          <w:sz w:val="36"/>
          <w:szCs w:val="52"/>
        </w:rPr>
        <w:t>ARN:</w:t>
      </w:r>
      <w:r>
        <w:rPr>
          <w:color w:val="009EAD"/>
          <w:sz w:val="36"/>
          <w:szCs w:val="52"/>
        </w:rPr>
        <w:t xml:space="preserve"> </w:t>
      </w:r>
      <w:r w:rsidRPr="00922DD4">
        <w:rPr>
          <w:rFonts w:cs="Arial"/>
          <w:color w:val="000000"/>
          <w:sz w:val="24"/>
          <w:szCs w:val="24"/>
        </w:rPr>
        <w:t>Agencia para la Reincorporación y Normalización</w:t>
      </w:r>
    </w:p>
    <w:p w:rsidR="0099477A" w:rsidRDefault="0099477A" w:rsidP="0099477A">
      <w:pPr>
        <w:spacing w:line="240" w:lineRule="auto"/>
        <w:rPr>
          <w:rFonts w:cs="Arial"/>
          <w:color w:val="000000"/>
          <w:sz w:val="24"/>
          <w:szCs w:val="24"/>
        </w:rPr>
      </w:pPr>
      <w:r w:rsidRPr="00746492">
        <w:rPr>
          <w:b/>
          <w:color w:val="0033CC"/>
          <w:sz w:val="36"/>
          <w:szCs w:val="52"/>
        </w:rPr>
        <w:t>CNR:</w:t>
      </w:r>
      <w:r>
        <w:rPr>
          <w:color w:val="009EAD"/>
          <w:sz w:val="36"/>
          <w:szCs w:val="52"/>
        </w:rPr>
        <w:t xml:space="preserve"> </w:t>
      </w:r>
      <w:r>
        <w:rPr>
          <w:rFonts w:cs="Arial"/>
          <w:color w:val="000000"/>
          <w:sz w:val="24"/>
          <w:szCs w:val="24"/>
        </w:rPr>
        <w:t>Consejo Nacional de Reincorporación</w:t>
      </w:r>
    </w:p>
    <w:p w:rsidR="0099477A" w:rsidRPr="00263525" w:rsidRDefault="0099477A" w:rsidP="0099477A">
      <w:pPr>
        <w:spacing w:line="240" w:lineRule="auto"/>
        <w:rPr>
          <w:sz w:val="24"/>
        </w:rPr>
      </w:pPr>
      <w:r w:rsidRPr="00746492">
        <w:rPr>
          <w:b/>
          <w:color w:val="0033CC"/>
          <w:sz w:val="36"/>
          <w:szCs w:val="52"/>
        </w:rPr>
        <w:t>CSIVI:</w:t>
      </w:r>
      <w:r>
        <w:t xml:space="preserve"> </w:t>
      </w:r>
      <w:r w:rsidRPr="00263525">
        <w:rPr>
          <w:sz w:val="24"/>
        </w:rPr>
        <w:t>Comisión de Seguimiento, Impulso y Verificación a la Implementación del Acuerdo Final</w:t>
      </w:r>
    </w:p>
    <w:p w:rsidR="0099477A" w:rsidRPr="00263525" w:rsidRDefault="0099477A" w:rsidP="0099477A">
      <w:pPr>
        <w:spacing w:line="240" w:lineRule="auto"/>
        <w:rPr>
          <w:sz w:val="24"/>
        </w:rPr>
      </w:pPr>
      <w:r w:rsidRPr="00746492">
        <w:rPr>
          <w:b/>
          <w:color w:val="0033CC"/>
          <w:sz w:val="36"/>
          <w:szCs w:val="52"/>
        </w:rPr>
        <w:t>DAPRE:</w:t>
      </w:r>
      <w:r>
        <w:t xml:space="preserve"> </w:t>
      </w:r>
      <w:r w:rsidRPr="00263525">
        <w:rPr>
          <w:sz w:val="24"/>
        </w:rPr>
        <w:t>Departamento Administrativo de la Presidencia de la Republica.</w:t>
      </w:r>
    </w:p>
    <w:p w:rsidR="0099477A" w:rsidRDefault="0099477A" w:rsidP="0099477A">
      <w:pPr>
        <w:spacing w:line="240" w:lineRule="auto"/>
        <w:rPr>
          <w:rFonts w:cs="Arial"/>
          <w:color w:val="000000"/>
          <w:sz w:val="24"/>
          <w:szCs w:val="24"/>
        </w:rPr>
      </w:pPr>
      <w:r w:rsidRPr="00746492">
        <w:rPr>
          <w:b/>
          <w:color w:val="0033CC"/>
          <w:sz w:val="36"/>
          <w:szCs w:val="52"/>
        </w:rPr>
        <w:t>ETCR:</w:t>
      </w:r>
      <w:r w:rsidRPr="00EE293E">
        <w:rPr>
          <w:color w:val="009EAD"/>
          <w:sz w:val="52"/>
          <w:szCs w:val="52"/>
        </w:rPr>
        <w:t xml:space="preserve"> </w:t>
      </w:r>
      <w:r>
        <w:rPr>
          <w:rFonts w:cs="Arial"/>
          <w:color w:val="000000"/>
          <w:sz w:val="24"/>
          <w:szCs w:val="24"/>
        </w:rPr>
        <w:t>Antiguos E</w:t>
      </w:r>
      <w:r w:rsidRPr="00EE293E">
        <w:rPr>
          <w:rFonts w:cs="Arial"/>
          <w:color w:val="000000"/>
          <w:sz w:val="24"/>
          <w:szCs w:val="24"/>
        </w:rPr>
        <w:t>spacios Territoriales de Capacitación y Reincorporación</w:t>
      </w:r>
    </w:p>
    <w:p w:rsidR="0099477A" w:rsidRDefault="0099477A" w:rsidP="0099477A">
      <w:pPr>
        <w:spacing w:line="240" w:lineRule="auto"/>
        <w:rPr>
          <w:rFonts w:cs="Arial"/>
          <w:color w:val="000000"/>
          <w:sz w:val="24"/>
          <w:szCs w:val="24"/>
        </w:rPr>
      </w:pPr>
      <w:r w:rsidRPr="00746492">
        <w:rPr>
          <w:b/>
          <w:color w:val="0033CC"/>
          <w:sz w:val="36"/>
          <w:szCs w:val="52"/>
        </w:rPr>
        <w:t>ECOMUN:</w:t>
      </w:r>
      <w:r w:rsidRPr="00EE293E">
        <w:rPr>
          <w:color w:val="009EAD"/>
          <w:sz w:val="52"/>
          <w:szCs w:val="52"/>
        </w:rPr>
        <w:t xml:space="preserve"> </w:t>
      </w:r>
      <w:r>
        <w:rPr>
          <w:rFonts w:cs="Arial"/>
          <w:color w:val="000000"/>
          <w:sz w:val="24"/>
          <w:szCs w:val="24"/>
        </w:rPr>
        <w:t xml:space="preserve">Economía Social del Común </w:t>
      </w:r>
    </w:p>
    <w:p w:rsidR="0099477A" w:rsidRDefault="0099477A" w:rsidP="0099477A">
      <w:pPr>
        <w:spacing w:line="240" w:lineRule="auto"/>
        <w:rPr>
          <w:rFonts w:cs="Arial"/>
          <w:color w:val="000000"/>
          <w:sz w:val="24"/>
          <w:szCs w:val="24"/>
        </w:rPr>
      </w:pPr>
      <w:r w:rsidRPr="00746492">
        <w:rPr>
          <w:b/>
          <w:color w:val="0033CC"/>
          <w:sz w:val="36"/>
          <w:szCs w:val="52"/>
        </w:rPr>
        <w:t>FARC:</w:t>
      </w:r>
      <w:r>
        <w:rPr>
          <w:sz w:val="32"/>
          <w:szCs w:val="32"/>
        </w:rPr>
        <w:t xml:space="preserve"> </w:t>
      </w:r>
      <w:r w:rsidRPr="00DF1E6A">
        <w:rPr>
          <w:rFonts w:cs="Arial"/>
          <w:color w:val="000000"/>
          <w:sz w:val="24"/>
          <w:szCs w:val="24"/>
        </w:rPr>
        <w:t>Fuerza Alternativa Revolucionaria del Común</w:t>
      </w:r>
    </w:p>
    <w:p w:rsidR="0099477A" w:rsidRDefault="0099477A" w:rsidP="0099477A">
      <w:pPr>
        <w:spacing w:line="240" w:lineRule="auto"/>
        <w:rPr>
          <w:rFonts w:cs="Arial"/>
          <w:color w:val="000000"/>
          <w:sz w:val="24"/>
          <w:szCs w:val="24"/>
        </w:rPr>
      </w:pPr>
      <w:r>
        <w:rPr>
          <w:b/>
          <w:color w:val="0033CC"/>
          <w:sz w:val="36"/>
          <w:szCs w:val="52"/>
        </w:rPr>
        <w:t>FARC-EP</w:t>
      </w:r>
      <w:r w:rsidRPr="00746492">
        <w:rPr>
          <w:b/>
          <w:color w:val="0033CC"/>
          <w:sz w:val="36"/>
          <w:szCs w:val="52"/>
        </w:rPr>
        <w:t>:</w:t>
      </w:r>
      <w:r>
        <w:rPr>
          <w:sz w:val="32"/>
          <w:szCs w:val="32"/>
        </w:rPr>
        <w:t xml:space="preserve"> </w:t>
      </w:r>
      <w:r>
        <w:rPr>
          <w:rFonts w:cs="Arial"/>
          <w:color w:val="000000"/>
          <w:sz w:val="24"/>
          <w:szCs w:val="24"/>
        </w:rPr>
        <w:t>Fuerzas Armadas Revolucionarias de Colombia</w:t>
      </w:r>
    </w:p>
    <w:p w:rsidR="0099477A" w:rsidRPr="00263525" w:rsidRDefault="0099477A" w:rsidP="0099477A">
      <w:pPr>
        <w:spacing w:line="240" w:lineRule="auto"/>
        <w:rPr>
          <w:sz w:val="24"/>
        </w:rPr>
      </w:pPr>
      <w:r>
        <w:rPr>
          <w:b/>
          <w:color w:val="0033CC"/>
          <w:sz w:val="36"/>
          <w:szCs w:val="52"/>
        </w:rPr>
        <w:t>FUNDAPANACA</w:t>
      </w:r>
      <w:r w:rsidRPr="00746492">
        <w:rPr>
          <w:b/>
          <w:color w:val="0033CC"/>
          <w:sz w:val="36"/>
          <w:szCs w:val="52"/>
        </w:rPr>
        <w:t>:</w:t>
      </w:r>
      <w:r>
        <w:t xml:space="preserve"> </w:t>
      </w:r>
      <w:r w:rsidRPr="00263525">
        <w:rPr>
          <w:sz w:val="24"/>
        </w:rPr>
        <w:t>Fundación del Parque Nacional de la Cultura Agropecuaria.</w:t>
      </w:r>
    </w:p>
    <w:p w:rsidR="0099477A" w:rsidRDefault="0099477A" w:rsidP="0099477A">
      <w:pPr>
        <w:spacing w:line="240" w:lineRule="auto"/>
        <w:rPr>
          <w:color w:val="009EAD"/>
          <w:sz w:val="36"/>
          <w:szCs w:val="52"/>
        </w:rPr>
      </w:pPr>
      <w:r w:rsidRPr="00746492">
        <w:rPr>
          <w:b/>
          <w:color w:val="0033CC"/>
          <w:sz w:val="36"/>
          <w:szCs w:val="52"/>
        </w:rPr>
        <w:t>GT/PA:</w:t>
      </w:r>
      <w:r w:rsidRPr="009758F5">
        <w:rPr>
          <w:rFonts w:cs="Arial"/>
          <w:color w:val="000000"/>
          <w:sz w:val="24"/>
          <w:szCs w:val="24"/>
        </w:rPr>
        <w:t xml:space="preserve"> </w:t>
      </w:r>
      <w:r>
        <w:rPr>
          <w:rFonts w:cs="Arial"/>
          <w:color w:val="000000"/>
          <w:sz w:val="24"/>
          <w:szCs w:val="24"/>
        </w:rPr>
        <w:t>Grupo Territorial o Punto de Atención de ARN.</w:t>
      </w:r>
    </w:p>
    <w:p w:rsidR="0099477A" w:rsidRDefault="0099477A" w:rsidP="0099477A">
      <w:pPr>
        <w:spacing w:line="240" w:lineRule="auto"/>
        <w:rPr>
          <w:color w:val="009EAD"/>
          <w:sz w:val="36"/>
          <w:szCs w:val="52"/>
        </w:rPr>
      </w:pPr>
      <w:r w:rsidRPr="00746492">
        <w:rPr>
          <w:b/>
          <w:color w:val="0033CC"/>
          <w:sz w:val="36"/>
          <w:szCs w:val="52"/>
        </w:rPr>
        <w:t>OACP:</w:t>
      </w:r>
      <w:r>
        <w:rPr>
          <w:rFonts w:cs="Arial"/>
          <w:color w:val="000000"/>
          <w:sz w:val="24"/>
          <w:szCs w:val="24"/>
        </w:rPr>
        <w:t xml:space="preserve"> Oficina del Alto Comisionado para la Paz</w:t>
      </w:r>
      <w:r w:rsidRPr="00333FEF">
        <w:rPr>
          <w:color w:val="009EAD"/>
          <w:sz w:val="36"/>
          <w:szCs w:val="52"/>
        </w:rPr>
        <w:t xml:space="preserve"> </w:t>
      </w:r>
    </w:p>
    <w:p w:rsidR="0099477A" w:rsidRDefault="0099477A" w:rsidP="0099477A">
      <w:pPr>
        <w:spacing w:line="240" w:lineRule="auto"/>
        <w:rPr>
          <w:color w:val="009EAD"/>
          <w:sz w:val="36"/>
          <w:szCs w:val="52"/>
        </w:rPr>
      </w:pPr>
      <w:r w:rsidRPr="00746492">
        <w:rPr>
          <w:b/>
          <w:color w:val="0033CC"/>
          <w:sz w:val="36"/>
          <w:szCs w:val="52"/>
        </w:rPr>
        <w:t>OIM:</w:t>
      </w:r>
      <w:r w:rsidRPr="007B2CEB">
        <w:t xml:space="preserve"> </w:t>
      </w:r>
      <w:r w:rsidRPr="007B2CEB">
        <w:rPr>
          <w:rFonts w:cs="Arial"/>
          <w:color w:val="000000"/>
          <w:sz w:val="24"/>
          <w:szCs w:val="24"/>
        </w:rPr>
        <w:t>Organización Internacional para las Migraciones</w:t>
      </w:r>
    </w:p>
    <w:p w:rsidR="0099477A" w:rsidRDefault="0099477A" w:rsidP="0099477A">
      <w:pPr>
        <w:spacing w:line="240" w:lineRule="auto"/>
        <w:rPr>
          <w:sz w:val="24"/>
          <w:szCs w:val="24"/>
        </w:rPr>
      </w:pPr>
      <w:r w:rsidRPr="00746492">
        <w:rPr>
          <w:b/>
          <w:color w:val="0033CC"/>
          <w:sz w:val="36"/>
          <w:szCs w:val="52"/>
        </w:rPr>
        <w:t>PNUD:</w:t>
      </w:r>
      <w:r>
        <w:rPr>
          <w:sz w:val="24"/>
          <w:szCs w:val="24"/>
        </w:rPr>
        <w:t xml:space="preserve"> Programa Naciones Unidas para el Desarrollo</w:t>
      </w:r>
    </w:p>
    <w:p w:rsidR="0099477A" w:rsidRDefault="0099477A" w:rsidP="0099477A">
      <w:pPr>
        <w:spacing w:line="240" w:lineRule="auto"/>
        <w:rPr>
          <w:sz w:val="24"/>
          <w:szCs w:val="24"/>
        </w:rPr>
      </w:pPr>
      <w:r w:rsidRPr="00746492">
        <w:rPr>
          <w:b/>
          <w:color w:val="0033CC"/>
          <w:sz w:val="36"/>
          <w:szCs w:val="52"/>
        </w:rPr>
        <w:t>SGSSS:</w:t>
      </w:r>
      <w:r>
        <w:rPr>
          <w:sz w:val="24"/>
          <w:szCs w:val="24"/>
        </w:rPr>
        <w:t xml:space="preserve"> Sistema General de Seguridad Social en Salud</w:t>
      </w:r>
    </w:p>
    <w:p w:rsidR="0099477A" w:rsidRDefault="0099477A" w:rsidP="0099477A">
      <w:pPr>
        <w:spacing w:line="240" w:lineRule="auto"/>
        <w:rPr>
          <w:rFonts w:cs="Arial"/>
          <w:color w:val="000000"/>
          <w:sz w:val="24"/>
          <w:szCs w:val="24"/>
        </w:rPr>
      </w:pPr>
      <w:r w:rsidRPr="00746492">
        <w:rPr>
          <w:b/>
          <w:color w:val="0033CC"/>
          <w:sz w:val="36"/>
          <w:szCs w:val="52"/>
        </w:rPr>
        <w:t>UAEOS:</w:t>
      </w:r>
      <w:r w:rsidRPr="00EE293E">
        <w:rPr>
          <w:color w:val="009EAD"/>
          <w:sz w:val="52"/>
          <w:szCs w:val="52"/>
        </w:rPr>
        <w:t xml:space="preserve"> </w:t>
      </w:r>
      <w:r w:rsidRPr="004766B7">
        <w:rPr>
          <w:rFonts w:cs="Arial"/>
          <w:color w:val="000000"/>
          <w:sz w:val="24"/>
          <w:szCs w:val="24"/>
        </w:rPr>
        <w:t>Unidad Administrativa Especial de Organizaciones Solidarias</w:t>
      </w:r>
    </w:p>
    <w:p w:rsidR="0099477A" w:rsidRDefault="0099477A" w:rsidP="0099477A">
      <w:pPr>
        <w:spacing w:line="240" w:lineRule="auto"/>
        <w:rPr>
          <w:rFonts w:cs="Arial"/>
          <w:color w:val="000000"/>
          <w:sz w:val="24"/>
          <w:szCs w:val="24"/>
        </w:rPr>
      </w:pPr>
      <w:r w:rsidRPr="00746492">
        <w:rPr>
          <w:b/>
          <w:color w:val="0033CC"/>
          <w:sz w:val="36"/>
          <w:szCs w:val="52"/>
        </w:rPr>
        <w:t>UNAD:</w:t>
      </w:r>
      <w:r>
        <w:rPr>
          <w:color w:val="009EAD"/>
          <w:sz w:val="36"/>
          <w:szCs w:val="52"/>
        </w:rPr>
        <w:t xml:space="preserve"> </w:t>
      </w:r>
      <w:r w:rsidRPr="00133E56">
        <w:rPr>
          <w:rFonts w:cs="Arial"/>
          <w:color w:val="000000"/>
          <w:sz w:val="24"/>
          <w:szCs w:val="24"/>
        </w:rPr>
        <w:t>Universidad Nacional Abierta y a Distancia Colombia</w:t>
      </w:r>
    </w:p>
    <w:p w:rsidR="0099477A" w:rsidRDefault="0099477A" w:rsidP="0099477A">
      <w:pPr>
        <w:spacing w:line="240" w:lineRule="auto"/>
        <w:rPr>
          <w:rFonts w:cs="Arial"/>
          <w:color w:val="000000"/>
          <w:sz w:val="24"/>
          <w:szCs w:val="24"/>
        </w:rPr>
      </w:pPr>
      <w:r w:rsidRPr="00746492">
        <w:rPr>
          <w:b/>
          <w:color w:val="0033CC"/>
          <w:sz w:val="36"/>
          <w:szCs w:val="52"/>
        </w:rPr>
        <w:t>UNAL:</w:t>
      </w:r>
      <w:r>
        <w:rPr>
          <w:color w:val="009EAD"/>
          <w:sz w:val="36"/>
          <w:szCs w:val="52"/>
        </w:rPr>
        <w:t xml:space="preserve"> </w:t>
      </w:r>
      <w:r w:rsidRPr="00B8513B">
        <w:rPr>
          <w:rFonts w:cs="Arial"/>
          <w:color w:val="000000"/>
          <w:sz w:val="24"/>
          <w:szCs w:val="24"/>
        </w:rPr>
        <w:t>Universidad Nacional de Colombia</w:t>
      </w:r>
    </w:p>
    <w:p w:rsidR="0099477A" w:rsidRDefault="0099477A" w:rsidP="0099477A">
      <w:pPr>
        <w:spacing w:line="240" w:lineRule="auto"/>
        <w:rPr>
          <w:sz w:val="28"/>
          <w:szCs w:val="28"/>
        </w:rPr>
      </w:pPr>
      <w:r w:rsidRPr="00746492">
        <w:rPr>
          <w:b/>
          <w:color w:val="0033CC"/>
          <w:sz w:val="36"/>
          <w:szCs w:val="52"/>
        </w:rPr>
        <w:lastRenderedPageBreak/>
        <w:t>UNP:</w:t>
      </w:r>
      <w:r w:rsidRPr="00293490">
        <w:rPr>
          <w:color w:val="009EAD"/>
          <w:sz w:val="28"/>
          <w:szCs w:val="28"/>
        </w:rPr>
        <w:t xml:space="preserve"> </w:t>
      </w:r>
      <w:r w:rsidRPr="00C903CB">
        <w:rPr>
          <w:sz w:val="24"/>
          <w:szCs w:val="24"/>
        </w:rPr>
        <w:t>Unidad Nacional de Protección</w:t>
      </w:r>
    </w:p>
    <w:p w:rsidR="0099477A" w:rsidRPr="00263525" w:rsidRDefault="0099477A" w:rsidP="0099477A">
      <w:pPr>
        <w:spacing w:line="240" w:lineRule="auto"/>
        <w:rPr>
          <w:sz w:val="24"/>
        </w:rPr>
      </w:pPr>
      <w:r w:rsidRPr="00746492">
        <w:rPr>
          <w:b/>
          <w:color w:val="0033CC"/>
          <w:sz w:val="36"/>
          <w:szCs w:val="52"/>
        </w:rPr>
        <w:t>PNIS:</w:t>
      </w:r>
      <w:r>
        <w:t xml:space="preserve"> </w:t>
      </w:r>
      <w:r w:rsidRPr="00263525">
        <w:rPr>
          <w:sz w:val="24"/>
        </w:rPr>
        <w:t>Programa Nacional Integral de Sustitución de Cultivos Ilícitos</w:t>
      </w:r>
    </w:p>
    <w:p w:rsidR="0099477A" w:rsidRPr="00263525" w:rsidRDefault="0099477A" w:rsidP="0099477A">
      <w:pPr>
        <w:spacing w:line="240" w:lineRule="auto"/>
        <w:rPr>
          <w:sz w:val="24"/>
        </w:rPr>
      </w:pPr>
      <w:r w:rsidRPr="00746492">
        <w:rPr>
          <w:b/>
          <w:color w:val="0033CC"/>
          <w:sz w:val="36"/>
          <w:szCs w:val="52"/>
        </w:rPr>
        <w:t>ZVTN:</w:t>
      </w:r>
      <w:r>
        <w:t xml:space="preserve"> </w:t>
      </w:r>
      <w:r w:rsidRPr="00263525">
        <w:rPr>
          <w:sz w:val="24"/>
        </w:rPr>
        <w:t>Zonas Veredales Transitorias de Normalización</w:t>
      </w: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44"/>
          <w:szCs w:val="44"/>
          <w:lang w:val="es-ES_tradnl"/>
        </w:rPr>
      </w:pPr>
      <w:r w:rsidRPr="00106CD1">
        <w:rPr>
          <w:b/>
          <w:color w:val="3366CC"/>
          <w:sz w:val="72"/>
          <w:szCs w:val="72"/>
          <w:u w:val="thick"/>
          <w:lang w:val="es-ES_tradnl"/>
        </w:rPr>
        <w:lastRenderedPageBreak/>
        <w:t xml:space="preserve">¿Qué </w:t>
      </w:r>
      <w:r>
        <w:rPr>
          <w:b/>
          <w:color w:val="3366CC"/>
          <w:sz w:val="72"/>
          <w:szCs w:val="72"/>
          <w:u w:val="thick"/>
          <w:lang w:val="es-ES_tradnl"/>
        </w:rPr>
        <w:t>se hizo en el 2019</w:t>
      </w:r>
      <w:r w:rsidRPr="00106CD1">
        <w:rPr>
          <w:b/>
          <w:color w:val="3366CC"/>
          <w:sz w:val="72"/>
          <w:szCs w:val="72"/>
          <w:u w:val="thick"/>
          <w:lang w:val="es-ES_tradnl"/>
        </w:rPr>
        <w:t>?</w:t>
      </w:r>
    </w:p>
    <w:p w:rsidR="003D515E" w:rsidRPr="008F2A3F" w:rsidRDefault="003D515E" w:rsidP="00A91B15">
      <w:pPr>
        <w:spacing w:line="240" w:lineRule="auto"/>
        <w:ind w:left="708"/>
        <w:rPr>
          <w:rFonts w:cs="Arial"/>
          <w:sz w:val="24"/>
          <w:szCs w:val="24"/>
          <w:lang w:val="es-ES_tradnl"/>
        </w:rPr>
      </w:pPr>
    </w:p>
    <w:p w:rsidR="00A91B15" w:rsidRPr="008F2A3F" w:rsidRDefault="00432808" w:rsidP="00A91B15">
      <w:pPr>
        <w:spacing w:line="240" w:lineRule="auto"/>
        <w:ind w:left="708"/>
        <w:rPr>
          <w:rFonts w:cs="Arial"/>
          <w:sz w:val="24"/>
          <w:szCs w:val="24"/>
          <w:lang w:val="es-ES_tradnl"/>
        </w:rPr>
      </w:pPr>
      <w:r w:rsidRPr="008F2A3F">
        <w:rPr>
          <w:sz w:val="24"/>
          <w:szCs w:val="24"/>
        </w:rPr>
        <w:t xml:space="preserve">La </w:t>
      </w:r>
      <w:r w:rsidRPr="008F2A3F">
        <w:rPr>
          <w:rFonts w:cs="Arial"/>
          <w:sz w:val="24"/>
          <w:szCs w:val="24"/>
        </w:rPr>
        <w:t>Agencia para la Reincorporación y Normalización –ARN</w:t>
      </w:r>
      <w:r w:rsidRPr="008F2A3F">
        <w:rPr>
          <w:rFonts w:cs="Arial"/>
          <w:sz w:val="24"/>
          <w:szCs w:val="24"/>
          <w:lang w:val="es-ES_tradnl"/>
        </w:rPr>
        <w:t xml:space="preserve"> </w:t>
      </w:r>
      <w:r w:rsidR="00240630" w:rsidRPr="008F2A3F">
        <w:rPr>
          <w:rFonts w:cs="Arial"/>
          <w:sz w:val="24"/>
          <w:szCs w:val="24"/>
          <w:lang w:val="es-ES_tradnl"/>
        </w:rPr>
        <w:t>en</w:t>
      </w:r>
      <w:r w:rsidR="00A91B15" w:rsidRPr="008F2A3F">
        <w:rPr>
          <w:rFonts w:cs="Arial"/>
          <w:sz w:val="24"/>
          <w:szCs w:val="24"/>
          <w:lang w:val="es-ES_tradnl"/>
        </w:rPr>
        <w:t xml:space="preserve"> el marco de su competencia ha desarrollado las siguientes acciones para la implementación del Acuerdo Final:</w:t>
      </w:r>
      <w:r w:rsidR="0099477A">
        <w:rPr>
          <w:rFonts w:cs="Arial"/>
          <w:sz w:val="24"/>
          <w:szCs w:val="24"/>
          <w:lang w:val="es-ES_tradnl"/>
        </w:rPr>
        <w:tab/>
      </w:r>
    </w:p>
    <w:p w:rsidR="00A91B15" w:rsidRPr="008F2A3F" w:rsidRDefault="00A91B15" w:rsidP="00A91B15">
      <w:pPr>
        <w:spacing w:line="240" w:lineRule="auto"/>
        <w:rPr>
          <w:rFonts w:cs="Arial"/>
          <w:sz w:val="24"/>
          <w:szCs w:val="24"/>
          <w:lang w:val="es-ES_tradnl"/>
        </w:rPr>
      </w:pPr>
    </w:p>
    <w:p w:rsidR="00A91B15" w:rsidRPr="008F2A3F" w:rsidRDefault="00A91B15" w:rsidP="00A91B15">
      <w:pPr>
        <w:spacing w:line="240" w:lineRule="auto"/>
        <w:rPr>
          <w:rFonts w:cs="Arial"/>
          <w:b/>
          <w:sz w:val="56"/>
          <w:szCs w:val="44"/>
          <w:lang w:val="es-ES_tradnl"/>
        </w:rPr>
      </w:pPr>
      <w:r w:rsidRPr="008F2A3F">
        <w:rPr>
          <w:rFonts w:cs="Arial"/>
          <w:b/>
          <w:sz w:val="56"/>
          <w:szCs w:val="44"/>
          <w:lang w:val="es-ES_tradnl"/>
        </w:rPr>
        <w:t xml:space="preserve">1. </w:t>
      </w:r>
      <w:r w:rsidRPr="008F2A3F">
        <w:rPr>
          <w:rFonts w:cs="Arial"/>
          <w:b/>
          <w:sz w:val="44"/>
          <w:szCs w:val="44"/>
          <w:lang w:val="es-ES_tradnl"/>
        </w:rPr>
        <w:t xml:space="preserve">Acciones acordadas en el </w:t>
      </w:r>
      <w:r w:rsidRPr="008F2A3F">
        <w:rPr>
          <w:rFonts w:cs="Arial"/>
          <w:b/>
          <w:sz w:val="56"/>
          <w:szCs w:val="56"/>
          <w:lang w:val="es-ES_tradnl"/>
        </w:rPr>
        <w:t>Plan Marco de Implementación</w:t>
      </w:r>
      <w:r w:rsidRPr="008F2A3F">
        <w:rPr>
          <w:rFonts w:cs="Arial"/>
          <w:b/>
          <w:sz w:val="44"/>
          <w:szCs w:val="44"/>
          <w:lang w:val="es-ES_tradnl"/>
        </w:rPr>
        <w:t xml:space="preserve"> </w:t>
      </w:r>
    </w:p>
    <w:p w:rsidR="00A91B15" w:rsidRPr="008F2A3F" w:rsidRDefault="00A91B15" w:rsidP="00A91B15">
      <w:pPr>
        <w:spacing w:line="240" w:lineRule="auto"/>
        <w:rPr>
          <w:rFonts w:cs="Arial"/>
          <w:sz w:val="24"/>
          <w:szCs w:val="24"/>
          <w:lang w:val="es-ES_tradnl"/>
        </w:rPr>
      </w:pPr>
    </w:p>
    <w:p w:rsidR="00505018" w:rsidRPr="008F2A3F" w:rsidRDefault="00505018" w:rsidP="00505018">
      <w:pPr>
        <w:jc w:val="both"/>
        <w:rPr>
          <w:rFonts w:ascii="Helvetica" w:eastAsia="Times New Roman" w:hAnsi="Helvetica"/>
          <w:sz w:val="27"/>
          <w:szCs w:val="27"/>
          <w:lang w:val="es-ES_tradnl" w:eastAsia="es-ES"/>
        </w:rPr>
      </w:pPr>
      <w:r w:rsidRPr="008F2A3F">
        <w:rPr>
          <w:rFonts w:cs="Arial"/>
          <w:sz w:val="24"/>
          <w:szCs w:val="24"/>
          <w:lang w:val="es-ES_tradnl"/>
        </w:rPr>
        <w:t xml:space="preserve">Tras la firma del Acuerdo Final, y con el fin de garantizar la implementación de todo lo acordado, se diseñó el Plan Marco de Implementación - PMI, el cual integra el conjunto de propósitos, objetivos, metas, prioridades e indicadores acordados para dar cumplimiento al Acuerdo de Paz y cuya articulación se hace en el marco del documento CONPES 3932 de 2018. </w:t>
      </w:r>
    </w:p>
    <w:p w:rsidR="00505018" w:rsidRPr="008F2A3F" w:rsidRDefault="00505018" w:rsidP="00505018">
      <w:pPr>
        <w:jc w:val="both"/>
        <w:rPr>
          <w:rFonts w:cs="Arial"/>
          <w:sz w:val="24"/>
          <w:szCs w:val="24"/>
        </w:rPr>
      </w:pPr>
      <w:r w:rsidRPr="008F2A3F">
        <w:rPr>
          <w:rFonts w:cs="Arial"/>
          <w:sz w:val="24"/>
          <w:szCs w:val="24"/>
          <w:lang w:val="es-ES_tradnl"/>
        </w:rPr>
        <w:t xml:space="preserve">En esta sección, encuentra la información sobre las acciones que viene desarrollando esta entidad para dar cumplimiento al Plan Marco de Implementación, organizadas por cada Punto del Acuerdo de Paz al que aportamos, los cuales son: </w:t>
      </w:r>
      <w:r w:rsidRPr="008F2A3F">
        <w:rPr>
          <w:rFonts w:cs="Arial"/>
          <w:sz w:val="24"/>
          <w:szCs w:val="24"/>
        </w:rPr>
        <w:t>Punto 3 del acuerdo, Fin del conflicto.</w:t>
      </w:r>
    </w:p>
    <w:p w:rsidR="00432808" w:rsidRPr="008F2A3F" w:rsidRDefault="00432808" w:rsidP="00432808">
      <w:pPr>
        <w:ind w:firstLine="708"/>
        <w:jc w:val="both"/>
        <w:rPr>
          <w:sz w:val="24"/>
          <w:szCs w:val="24"/>
        </w:rPr>
      </w:pPr>
      <w:r w:rsidRPr="008F2A3F">
        <w:rPr>
          <w:noProof/>
          <w:sz w:val="20"/>
          <w:szCs w:val="20"/>
          <w:lang w:val="es-419" w:eastAsia="es-419"/>
        </w:rPr>
        <w:drawing>
          <wp:inline distT="0" distB="0" distL="0" distR="0" wp14:anchorId="64D061CC" wp14:editId="2944C3D9">
            <wp:extent cx="914400" cy="850900"/>
            <wp:effectExtent l="0" t="0" r="0" b="6350"/>
            <wp:docPr id="36"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r>
      <w:r w:rsidRPr="008F2A3F">
        <w:rPr>
          <w:noProof/>
          <w:sz w:val="20"/>
          <w:szCs w:val="20"/>
          <w:lang w:val="es-419" w:eastAsia="es-419"/>
        </w:rPr>
        <w:drawing>
          <wp:inline distT="0" distB="0" distL="0" distR="0" wp14:anchorId="4E1A3585" wp14:editId="5E84196A">
            <wp:extent cx="808355" cy="744220"/>
            <wp:effectExtent l="0" t="0" r="0" b="0"/>
            <wp:docPr id="11"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rsidR="00432808" w:rsidRPr="008F2A3F" w:rsidRDefault="00432808" w:rsidP="00432808">
      <w:pPr>
        <w:spacing w:after="0" w:line="240" w:lineRule="auto"/>
        <w:ind w:left="708"/>
        <w:jc w:val="both"/>
        <w:rPr>
          <w:sz w:val="24"/>
          <w:szCs w:val="24"/>
        </w:rPr>
      </w:pPr>
      <w:r w:rsidRPr="008F2A3F">
        <w:rPr>
          <w:sz w:val="24"/>
          <w:szCs w:val="24"/>
        </w:rPr>
        <w:t>Punto 3</w:t>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t xml:space="preserve">                  Punto 6</w:t>
      </w:r>
    </w:p>
    <w:p w:rsidR="00432808" w:rsidRPr="008F2A3F" w:rsidRDefault="00432808" w:rsidP="00432808">
      <w:pPr>
        <w:spacing w:after="0" w:line="240" w:lineRule="auto"/>
        <w:ind w:left="708"/>
        <w:jc w:val="both"/>
        <w:rPr>
          <w:sz w:val="24"/>
          <w:szCs w:val="24"/>
        </w:rPr>
      </w:pPr>
      <w:r w:rsidRPr="008F2A3F">
        <w:rPr>
          <w:sz w:val="24"/>
          <w:szCs w:val="24"/>
        </w:rPr>
        <w:t>Fin del conflicto</w:t>
      </w:r>
      <w:r w:rsidRPr="008F2A3F">
        <w:rPr>
          <w:sz w:val="24"/>
          <w:szCs w:val="24"/>
        </w:rPr>
        <w:tab/>
      </w:r>
      <w:r w:rsidRPr="008F2A3F">
        <w:rPr>
          <w:sz w:val="24"/>
          <w:szCs w:val="24"/>
        </w:rPr>
        <w:tab/>
      </w:r>
      <w:r w:rsidRPr="008F2A3F">
        <w:rPr>
          <w:sz w:val="24"/>
          <w:szCs w:val="24"/>
        </w:rPr>
        <w:tab/>
      </w:r>
      <w:r w:rsidRPr="008F2A3F">
        <w:rPr>
          <w:sz w:val="24"/>
          <w:szCs w:val="24"/>
        </w:rPr>
        <w:tab/>
        <w:t xml:space="preserve">    Implementación, </w:t>
      </w:r>
    </w:p>
    <w:p w:rsidR="00432808" w:rsidRPr="008F2A3F" w:rsidRDefault="00432808" w:rsidP="00432808">
      <w:pPr>
        <w:spacing w:after="0" w:line="240" w:lineRule="auto"/>
        <w:ind w:left="2832"/>
        <w:jc w:val="both"/>
        <w:rPr>
          <w:sz w:val="24"/>
          <w:szCs w:val="24"/>
        </w:rPr>
      </w:pPr>
      <w:r w:rsidRPr="008F2A3F">
        <w:rPr>
          <w:sz w:val="24"/>
          <w:szCs w:val="24"/>
        </w:rPr>
        <w:tab/>
      </w:r>
      <w:r w:rsidRPr="008F2A3F">
        <w:rPr>
          <w:sz w:val="24"/>
          <w:szCs w:val="24"/>
        </w:rPr>
        <w:tab/>
        <w:t xml:space="preserve">              verificación y refrendación</w:t>
      </w:r>
    </w:p>
    <w:p w:rsidR="00432808" w:rsidRPr="008F2A3F" w:rsidRDefault="00432808" w:rsidP="00432808">
      <w:pPr>
        <w:spacing w:line="240" w:lineRule="auto"/>
        <w:rPr>
          <w:b/>
          <w:sz w:val="36"/>
          <w:szCs w:val="36"/>
          <w:u w:val="single"/>
        </w:rPr>
      </w:pPr>
    </w:p>
    <w:p w:rsidR="005362B8" w:rsidRPr="00C21771" w:rsidRDefault="005362B8" w:rsidP="005362B8">
      <w:pPr>
        <w:spacing w:line="240" w:lineRule="auto"/>
        <w:rPr>
          <w:b/>
          <w:color w:val="3366CC"/>
          <w:sz w:val="36"/>
          <w:szCs w:val="36"/>
          <w:u w:val="single"/>
        </w:rPr>
      </w:pPr>
      <w:r w:rsidRPr="00C21771">
        <w:rPr>
          <w:b/>
          <w:color w:val="3366CC"/>
          <w:sz w:val="36"/>
          <w:szCs w:val="36"/>
          <w:u w:val="single"/>
        </w:rPr>
        <w:t>Punto 3 del Acuerdo</w:t>
      </w:r>
    </w:p>
    <w:p w:rsidR="005362B8" w:rsidRPr="00C21771" w:rsidRDefault="005362B8" w:rsidP="005362B8">
      <w:pPr>
        <w:spacing w:line="240" w:lineRule="auto"/>
        <w:rPr>
          <w:b/>
          <w:color w:val="3366CC"/>
          <w:sz w:val="36"/>
          <w:szCs w:val="36"/>
          <w:u w:val="single"/>
        </w:rPr>
      </w:pPr>
      <w:r w:rsidRPr="00C21771">
        <w:rPr>
          <w:b/>
          <w:color w:val="3366CC"/>
          <w:sz w:val="36"/>
          <w:szCs w:val="36"/>
          <w:u w:val="single"/>
        </w:rPr>
        <w:t>Fin del conflicto:</w:t>
      </w:r>
    </w:p>
    <w:p w:rsidR="00432808" w:rsidRPr="008F2A3F" w:rsidRDefault="00432808" w:rsidP="00432808">
      <w:pPr>
        <w:spacing w:line="240" w:lineRule="auto"/>
        <w:ind w:left="709"/>
        <w:jc w:val="both"/>
        <w:rPr>
          <w:rFonts w:cs="Arial"/>
          <w:i/>
          <w:sz w:val="28"/>
          <w:szCs w:val="28"/>
        </w:rPr>
      </w:pPr>
      <w:r w:rsidRPr="008F2A3F">
        <w:rPr>
          <w:sz w:val="32"/>
          <w:szCs w:val="32"/>
        </w:rPr>
        <w:t xml:space="preserve">3.1 Acuerdo sobre el cese al fuego y de hostilidades bilateral y definitivo y dejación de las armas entre el Gobierno Nacional y las FARC-EP, 3.2 Reincorporación de las FARC-EP a la vida civil - </w:t>
      </w:r>
      <w:r w:rsidRPr="008F2A3F">
        <w:rPr>
          <w:sz w:val="32"/>
          <w:szCs w:val="32"/>
        </w:rPr>
        <w:lastRenderedPageBreak/>
        <w:t xml:space="preserve">en lo económico, lo social y lo político – de acuerdo con sus intereses.   </w:t>
      </w:r>
    </w:p>
    <w:p w:rsidR="00A91B15" w:rsidRPr="008F2A3F" w:rsidRDefault="00A91B15" w:rsidP="00A91B15">
      <w:pPr>
        <w:spacing w:line="240" w:lineRule="auto"/>
        <w:rPr>
          <w:rFonts w:cs="Arial"/>
          <w:i/>
          <w:sz w:val="28"/>
          <w:szCs w:val="28"/>
          <w:lang w:val="es-ES_tradnl"/>
        </w:rPr>
      </w:pPr>
    </w:p>
    <w:p w:rsidR="00A91B15" w:rsidRPr="008F2A3F" w:rsidRDefault="00A91B15" w:rsidP="00A91B15">
      <w:pPr>
        <w:spacing w:line="240" w:lineRule="auto"/>
        <w:ind w:left="108"/>
        <w:rPr>
          <w:rFonts w:cs="Arial"/>
          <w:b/>
          <w:sz w:val="36"/>
          <w:szCs w:val="36"/>
          <w:lang w:val="es-ES_tradnl"/>
        </w:rPr>
      </w:pPr>
      <w:r w:rsidRPr="008F2A3F">
        <w:rPr>
          <w:rFonts w:cs="Arial"/>
          <w:i/>
          <w:sz w:val="28"/>
          <w:szCs w:val="28"/>
          <w:lang w:val="es-ES_tradnl"/>
        </w:rPr>
        <w:t>Acción 1.</w:t>
      </w:r>
      <w:r w:rsidRPr="008F2A3F">
        <w:rPr>
          <w:rFonts w:cs="Arial"/>
          <w:b/>
          <w:sz w:val="36"/>
          <w:szCs w:val="36"/>
          <w:lang w:val="es-ES_tradnl"/>
        </w:rPr>
        <w:t xml:space="preserve"> </w:t>
      </w:r>
      <w:r w:rsidRPr="008F2A3F">
        <w:rPr>
          <w:rFonts w:cs="Arial"/>
          <w:b/>
          <w:sz w:val="36"/>
          <w:szCs w:val="36"/>
          <w:lang w:val="es-ES_tradnl"/>
        </w:rPr>
        <w:br/>
      </w:r>
      <w:r w:rsidR="00432808" w:rsidRPr="008F2A3F">
        <w:rPr>
          <w:rFonts w:cs="Arial"/>
          <w:b/>
          <w:sz w:val="40"/>
          <w:szCs w:val="36"/>
          <w:u w:val="single"/>
        </w:rPr>
        <w:t xml:space="preserve">Administración y funcionamiento de los </w:t>
      </w:r>
      <w:r w:rsidR="003B64F3" w:rsidRPr="008F2A3F">
        <w:rPr>
          <w:rFonts w:cs="Arial"/>
          <w:b/>
          <w:sz w:val="40"/>
          <w:szCs w:val="36"/>
          <w:u w:val="single"/>
        </w:rPr>
        <w:t xml:space="preserve">Antiguos </w:t>
      </w:r>
      <w:r w:rsidR="00432808" w:rsidRPr="008F2A3F">
        <w:rPr>
          <w:rFonts w:cs="Arial"/>
          <w:b/>
          <w:sz w:val="40"/>
          <w:szCs w:val="36"/>
          <w:u w:val="single"/>
        </w:rPr>
        <w:t>Espacios Territoriales de Capacitación y Reincorporación (ETCR)</w:t>
      </w:r>
      <w:r w:rsidR="003B64F3" w:rsidRPr="008F2A3F">
        <w:rPr>
          <w:rFonts w:cs="Arial"/>
          <w:b/>
          <w:sz w:val="40"/>
          <w:szCs w:val="36"/>
          <w:u w:val="single"/>
        </w:rPr>
        <w:t xml:space="preserve"> </w:t>
      </w:r>
    </w:p>
    <w:p w:rsidR="00A91B15" w:rsidRPr="008F2A3F" w:rsidRDefault="00A91B15" w:rsidP="00A91B15">
      <w:pPr>
        <w:spacing w:line="240" w:lineRule="auto"/>
        <w:jc w:val="both"/>
        <w:rPr>
          <w:rFonts w:cs="Arial"/>
          <w:sz w:val="32"/>
          <w:szCs w:val="32"/>
          <w:u w:val="thick"/>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8F2A3F" w:rsidTr="002A1AB6">
        <w:trPr>
          <w:trHeight w:val="2135"/>
          <w:jc w:val="center"/>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A91B15" w:rsidRPr="008F2A3F" w:rsidRDefault="003314CA" w:rsidP="003314CA">
            <w:pPr>
              <w:spacing w:after="0" w:line="240" w:lineRule="auto"/>
              <w:jc w:val="center"/>
              <w:rPr>
                <w:sz w:val="36"/>
                <w:szCs w:val="44"/>
                <w:u w:val="single"/>
                <w:lang w:val="es-ES_tradnl"/>
              </w:rPr>
            </w:pPr>
            <w:r w:rsidRPr="008F2A3F">
              <w:rPr>
                <w:rFonts w:cs="Arial"/>
                <w:b/>
                <w:sz w:val="28"/>
                <w:szCs w:val="44"/>
                <w:u w:val="single"/>
                <w:lang w:val="es-ES_tradnl"/>
              </w:rPr>
              <w:t xml:space="preserve">Compromiso </w:t>
            </w:r>
            <w:r w:rsidRPr="008F2A3F">
              <w:rPr>
                <w:rFonts w:cs="Arial"/>
                <w:b/>
                <w:sz w:val="28"/>
                <w:szCs w:val="44"/>
                <w:u w:val="single"/>
                <w:lang w:val="es-ES_tradnl"/>
              </w:rPr>
              <w:br/>
              <w:t>que atiende</w:t>
            </w:r>
            <w:r w:rsidRPr="008F2A3F">
              <w:rPr>
                <w:rFonts w:cs="Arial"/>
                <w:sz w:val="28"/>
                <w:szCs w:val="44"/>
                <w:u w:val="single"/>
                <w:lang w:val="es-ES_tradnl"/>
              </w:rPr>
              <w:t>:</w:t>
            </w:r>
            <w:r w:rsidR="00A91B15" w:rsidRPr="008F2A3F">
              <w:rPr>
                <w:rFonts w:cs="Arial"/>
                <w:b/>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rsidR="00A91B15" w:rsidRPr="008F2A3F" w:rsidRDefault="00432808" w:rsidP="00943101">
            <w:pPr>
              <w:spacing w:after="0" w:line="240" w:lineRule="auto"/>
              <w:rPr>
                <w:rFonts w:cs="Arial"/>
                <w:sz w:val="24"/>
                <w:szCs w:val="24"/>
                <w:lang w:val="es-ES_tradnl"/>
              </w:rPr>
            </w:pPr>
            <w:r w:rsidRPr="008F2A3F">
              <w:rPr>
                <w:rFonts w:cs="Arial"/>
                <w:sz w:val="24"/>
                <w:szCs w:val="24"/>
                <w:lang w:val="es-ES"/>
              </w:rPr>
              <w:t>En el Marco del Fin del Conflicto: a) El Fondo de Programas Especiales para la Paz transferirá los bienes destinados para el funcionamiento de los ETCR a la ARN.  b) La ARN fijará mediante resolución los aspectos necesarios para la administración, coordinación y los requisitos de ejecución de las actividades que se realicen al interior de los ETCR. c) Acciones administrativas adelantadas en los ETCR.</w:t>
            </w:r>
          </w:p>
        </w:tc>
      </w:tr>
    </w:tbl>
    <w:p w:rsidR="00A91B15" w:rsidRPr="008F2A3F" w:rsidRDefault="00A91B15" w:rsidP="00A91B15">
      <w:pPr>
        <w:spacing w:line="240" w:lineRule="auto"/>
        <w:jc w:val="both"/>
        <w:rPr>
          <w:rFonts w:cs="Arial"/>
          <w:sz w:val="32"/>
          <w:szCs w:val="32"/>
          <w:u w:val="thick"/>
          <w:lang w:val="es-ES_tradnl"/>
        </w:rPr>
      </w:pPr>
    </w:p>
    <w:p w:rsidR="00461269" w:rsidRPr="008F2A3F" w:rsidRDefault="00461269" w:rsidP="00A91B15">
      <w:pPr>
        <w:spacing w:line="240" w:lineRule="auto"/>
        <w:jc w:val="both"/>
        <w:rPr>
          <w:rFonts w:cs="Arial"/>
          <w:sz w:val="24"/>
          <w:szCs w:val="24"/>
          <w:lang w:val="es-ES_tradnl"/>
        </w:rPr>
      </w:pPr>
      <w:r w:rsidRPr="008F2A3F">
        <w:rPr>
          <w:rFonts w:cs="Arial"/>
          <w:sz w:val="24"/>
          <w:szCs w:val="24"/>
          <w:lang w:val="es-ES_tradnl"/>
        </w:rPr>
        <w:t xml:space="preserve">Para dar cumplimiento a los compromisos acá relacionados, esta entidad tiene a </w:t>
      </w:r>
      <w:r w:rsidR="003D515E" w:rsidRPr="008F2A3F">
        <w:rPr>
          <w:rFonts w:cs="Arial"/>
          <w:sz w:val="24"/>
          <w:szCs w:val="24"/>
          <w:lang w:val="es-ES_tradnl"/>
        </w:rPr>
        <w:t>cargo los siguientes productos del Plan Marco de Implementación.</w:t>
      </w:r>
    </w:p>
    <w:p w:rsidR="005362B8" w:rsidRPr="00106CD1" w:rsidRDefault="005362B8" w:rsidP="005362B8">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4035"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181"/>
        <w:gridCol w:w="1741"/>
        <w:gridCol w:w="1583"/>
        <w:gridCol w:w="863"/>
        <w:gridCol w:w="862"/>
      </w:tblGrid>
      <w:tr w:rsidR="005B199D" w:rsidRPr="008F2A3F" w:rsidTr="00432808">
        <w:trPr>
          <w:trHeight w:val="408"/>
        </w:trPr>
        <w:tc>
          <w:tcPr>
            <w:tcW w:w="1508" w:type="pct"/>
            <w:tcBorders>
              <w:top w:val="single" w:sz="8" w:space="0" w:color="BBBBBB"/>
              <w:bottom w:val="single" w:sz="8" w:space="0" w:color="BBBBBB"/>
            </w:tcBorders>
            <w:shd w:val="clear" w:color="auto" w:fill="A5A5A5"/>
          </w:tcPr>
          <w:p w:rsidR="005B199D" w:rsidRPr="008F2A3F" w:rsidRDefault="002A1AB6" w:rsidP="00731437">
            <w:pPr>
              <w:spacing w:after="0" w:line="240" w:lineRule="auto"/>
              <w:jc w:val="center"/>
              <w:rPr>
                <w:rFonts w:cs="Arial"/>
                <w:bCs/>
                <w:lang w:val="es-ES_tradnl"/>
              </w:rPr>
            </w:pPr>
            <w:r w:rsidRPr="008F2A3F">
              <w:rPr>
                <w:rFonts w:cs="Arial"/>
                <w:bCs/>
                <w:lang w:val="es-ES_tradnl"/>
              </w:rPr>
              <w:t>PRODUCTO</w:t>
            </w:r>
            <w:r w:rsidR="00D75126" w:rsidRPr="008F2A3F">
              <w:rPr>
                <w:rFonts w:cs="Arial"/>
                <w:bCs/>
                <w:lang w:val="es-ES_tradnl"/>
              </w:rPr>
              <w:t xml:space="preserve"> PMI DEL INDICADOR</w:t>
            </w:r>
          </w:p>
        </w:tc>
        <w:tc>
          <w:tcPr>
            <w:tcW w:w="1204"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INDICADOR</w:t>
            </w:r>
          </w:p>
        </w:tc>
        <w:tc>
          <w:tcPr>
            <w:tcW w:w="1095"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 xml:space="preserve">SECTOR </w:t>
            </w:r>
          </w:p>
          <w:p w:rsidR="005B199D" w:rsidRPr="008F2A3F" w:rsidRDefault="005B199D" w:rsidP="00731437">
            <w:pPr>
              <w:spacing w:after="0" w:line="240" w:lineRule="auto"/>
              <w:jc w:val="center"/>
              <w:rPr>
                <w:rFonts w:cs="Arial"/>
                <w:bCs/>
                <w:lang w:val="es-ES_tradnl"/>
              </w:rPr>
            </w:pPr>
            <w:r w:rsidRPr="008F2A3F">
              <w:rPr>
                <w:rFonts w:cs="Arial"/>
                <w:bCs/>
                <w:lang w:val="es-ES_tradnl"/>
              </w:rPr>
              <w:t>RESPON</w:t>
            </w:r>
            <w:r w:rsidR="00C52DE2" w:rsidRPr="008F2A3F">
              <w:rPr>
                <w:rFonts w:cs="Arial"/>
                <w:bCs/>
                <w:lang w:val="es-ES_tradnl"/>
              </w:rPr>
              <w:t>SA</w:t>
            </w:r>
            <w:r w:rsidRPr="008F2A3F">
              <w:rPr>
                <w:rFonts w:cs="Arial"/>
                <w:bCs/>
                <w:lang w:val="es-ES_tradnl"/>
              </w:rPr>
              <w:t xml:space="preserve">BLE </w:t>
            </w:r>
          </w:p>
        </w:tc>
        <w:tc>
          <w:tcPr>
            <w:tcW w:w="597"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AÑO</w:t>
            </w:r>
          </w:p>
          <w:p w:rsidR="005B199D" w:rsidRPr="008F2A3F" w:rsidRDefault="005B199D" w:rsidP="00731437">
            <w:pPr>
              <w:spacing w:after="0" w:line="240" w:lineRule="auto"/>
              <w:jc w:val="center"/>
              <w:rPr>
                <w:rFonts w:cs="Arial"/>
                <w:bCs/>
                <w:lang w:val="es-ES_tradnl"/>
              </w:rPr>
            </w:pPr>
            <w:r w:rsidRPr="008F2A3F">
              <w:rPr>
                <w:rFonts w:cs="Arial"/>
                <w:bCs/>
                <w:lang w:val="es-ES_tradnl"/>
              </w:rPr>
              <w:t>INICIO</w:t>
            </w:r>
          </w:p>
        </w:tc>
        <w:tc>
          <w:tcPr>
            <w:tcW w:w="597"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 xml:space="preserve">AÑO </w:t>
            </w:r>
          </w:p>
          <w:p w:rsidR="005B199D" w:rsidRPr="008F2A3F" w:rsidRDefault="005B199D" w:rsidP="00731437">
            <w:pPr>
              <w:spacing w:after="0" w:line="240" w:lineRule="auto"/>
              <w:jc w:val="center"/>
              <w:rPr>
                <w:rFonts w:cs="Arial"/>
                <w:bCs/>
                <w:lang w:val="es-ES_tradnl"/>
              </w:rPr>
            </w:pPr>
            <w:r w:rsidRPr="008F2A3F">
              <w:rPr>
                <w:rFonts w:cs="Arial"/>
                <w:bCs/>
                <w:lang w:val="es-ES_tradnl"/>
              </w:rPr>
              <w:t>FIN</w:t>
            </w:r>
          </w:p>
        </w:tc>
      </w:tr>
      <w:tr w:rsidR="00432808" w:rsidRPr="008F2A3F" w:rsidTr="00432808">
        <w:trPr>
          <w:trHeight w:val="408"/>
        </w:trPr>
        <w:tc>
          <w:tcPr>
            <w:tcW w:w="1508" w:type="pct"/>
            <w:shd w:val="clear" w:color="auto" w:fill="E8E8E8"/>
          </w:tcPr>
          <w:p w:rsidR="00432808" w:rsidRPr="008F2A3F" w:rsidRDefault="00432808" w:rsidP="00432808">
            <w:pPr>
              <w:spacing w:after="0" w:line="240" w:lineRule="auto"/>
              <w:rPr>
                <w:rFonts w:cs="Arial"/>
                <w:lang w:val="es-ES_tradnl"/>
              </w:rPr>
            </w:pPr>
            <w:r w:rsidRPr="008F2A3F">
              <w:rPr>
                <w:rFonts w:cs="Arial"/>
                <w:lang w:val="es-ES_tradnl"/>
              </w:rPr>
              <w:t>Apoyo al proceso de reincorporación</w:t>
            </w:r>
          </w:p>
          <w:p w:rsidR="00432808" w:rsidRPr="008F2A3F" w:rsidRDefault="00432808" w:rsidP="00432808">
            <w:pPr>
              <w:spacing w:after="0" w:line="240" w:lineRule="auto"/>
              <w:rPr>
                <w:rFonts w:cs="Arial"/>
                <w:lang w:val="es-ES_tradnl"/>
              </w:rPr>
            </w:pPr>
            <w:r w:rsidRPr="008F2A3F">
              <w:rPr>
                <w:rFonts w:cs="Arial"/>
                <w:lang w:val="es-ES_tradnl"/>
              </w:rPr>
              <w:t>a los integrantes de las FARC-EP</w:t>
            </w:r>
          </w:p>
          <w:p w:rsidR="00432808" w:rsidRPr="008F2A3F" w:rsidRDefault="00432808" w:rsidP="00432808">
            <w:pPr>
              <w:spacing w:after="0" w:line="240" w:lineRule="auto"/>
              <w:rPr>
                <w:rFonts w:cs="Arial"/>
                <w:lang w:val="es-ES_tradnl"/>
              </w:rPr>
            </w:pPr>
            <w:r w:rsidRPr="008F2A3F">
              <w:rPr>
                <w:rFonts w:cs="Arial"/>
                <w:lang w:val="es-ES_tradnl"/>
              </w:rPr>
              <w:t>acreditados en los Espacios Transitorios</w:t>
            </w:r>
          </w:p>
          <w:p w:rsidR="00432808" w:rsidRPr="008F2A3F" w:rsidRDefault="00432808" w:rsidP="00432808">
            <w:pPr>
              <w:spacing w:after="0" w:line="240" w:lineRule="auto"/>
              <w:rPr>
                <w:rFonts w:cs="Arial"/>
                <w:highlight w:val="yellow"/>
                <w:lang w:val="es-ES_tradnl"/>
              </w:rPr>
            </w:pPr>
            <w:r w:rsidRPr="008F2A3F">
              <w:rPr>
                <w:rFonts w:cs="Arial"/>
                <w:lang w:val="es-ES_tradnl"/>
              </w:rPr>
              <w:t>de Capacitación y Reincorporación</w:t>
            </w:r>
          </w:p>
        </w:tc>
        <w:tc>
          <w:tcPr>
            <w:tcW w:w="1204" w:type="pct"/>
            <w:shd w:val="clear" w:color="auto" w:fill="E8E8E8"/>
          </w:tcPr>
          <w:p w:rsidR="00432808" w:rsidRPr="008F2A3F" w:rsidRDefault="00432808" w:rsidP="00432808">
            <w:pPr>
              <w:spacing w:after="0" w:line="240" w:lineRule="auto"/>
              <w:rPr>
                <w:rFonts w:cs="Arial"/>
                <w:highlight w:val="yellow"/>
                <w:lang w:val="es-ES_tradnl"/>
              </w:rPr>
            </w:pPr>
            <w:r w:rsidRPr="008F2A3F">
              <w:rPr>
                <w:rFonts w:cs="Arial"/>
                <w:lang w:val="es-ES_tradnl"/>
              </w:rPr>
              <w:t>Espacios Transitorios de Capacitación y Reincorporación, dispuestos y en funcionamiento según lo establecido en el decreto 1274 de 2017</w:t>
            </w:r>
          </w:p>
        </w:tc>
        <w:tc>
          <w:tcPr>
            <w:tcW w:w="1095" w:type="pct"/>
            <w:shd w:val="clear" w:color="auto" w:fill="E8E8E8"/>
          </w:tcPr>
          <w:p w:rsidR="00432808" w:rsidRPr="008F2A3F" w:rsidRDefault="00432808" w:rsidP="00432808">
            <w:pPr>
              <w:spacing w:after="0" w:line="240" w:lineRule="auto"/>
              <w:rPr>
                <w:rFonts w:cs="Arial"/>
                <w:highlight w:val="yellow"/>
                <w:lang w:val="es-ES_tradnl"/>
              </w:rPr>
            </w:pPr>
            <w:r w:rsidRPr="008F2A3F">
              <w:t>Presidencia</w:t>
            </w:r>
          </w:p>
        </w:tc>
        <w:tc>
          <w:tcPr>
            <w:tcW w:w="597" w:type="pct"/>
            <w:shd w:val="clear" w:color="auto" w:fill="E8E8E8"/>
          </w:tcPr>
          <w:p w:rsidR="00432808" w:rsidRPr="008F2A3F" w:rsidRDefault="00432808" w:rsidP="00432808">
            <w:pPr>
              <w:spacing w:after="0" w:line="240" w:lineRule="auto"/>
              <w:rPr>
                <w:rFonts w:cs="Arial"/>
                <w:highlight w:val="yellow"/>
                <w:lang w:val="es-ES_tradnl"/>
              </w:rPr>
            </w:pPr>
            <w:r w:rsidRPr="008F2A3F">
              <w:t>2017</w:t>
            </w:r>
          </w:p>
        </w:tc>
        <w:tc>
          <w:tcPr>
            <w:tcW w:w="597" w:type="pct"/>
            <w:shd w:val="clear" w:color="auto" w:fill="E8E8E8"/>
          </w:tcPr>
          <w:p w:rsidR="00432808" w:rsidRPr="008F2A3F" w:rsidRDefault="00432808" w:rsidP="00432808">
            <w:pPr>
              <w:spacing w:after="0" w:line="240" w:lineRule="auto"/>
              <w:rPr>
                <w:rFonts w:cs="Arial"/>
                <w:highlight w:val="yellow"/>
                <w:lang w:val="es-ES_tradnl"/>
              </w:rPr>
            </w:pPr>
            <w:r w:rsidRPr="008F2A3F">
              <w:t>2019</w:t>
            </w:r>
          </w:p>
        </w:tc>
      </w:tr>
      <w:tr w:rsidR="005B199D" w:rsidRPr="008F2A3F" w:rsidTr="00432808">
        <w:trPr>
          <w:trHeight w:val="408"/>
        </w:trPr>
        <w:tc>
          <w:tcPr>
            <w:tcW w:w="1508" w:type="pct"/>
            <w:tcBorders>
              <w:left w:val="nil"/>
              <w:right w:val="nil"/>
            </w:tcBorders>
            <w:shd w:val="clear" w:color="auto" w:fill="auto"/>
          </w:tcPr>
          <w:p w:rsidR="005B199D" w:rsidRPr="008F2A3F" w:rsidRDefault="005B199D" w:rsidP="00731437">
            <w:pPr>
              <w:spacing w:after="0" w:line="240" w:lineRule="auto"/>
              <w:rPr>
                <w:rFonts w:cs="Arial"/>
                <w:lang w:val="es-ES_tradnl"/>
              </w:rPr>
            </w:pPr>
          </w:p>
        </w:tc>
        <w:tc>
          <w:tcPr>
            <w:tcW w:w="1204" w:type="pct"/>
            <w:tcBorders>
              <w:left w:val="nil"/>
              <w:right w:val="nil"/>
            </w:tcBorders>
          </w:tcPr>
          <w:p w:rsidR="005B199D" w:rsidRPr="008F2A3F" w:rsidRDefault="005B199D" w:rsidP="00731437">
            <w:pPr>
              <w:spacing w:after="0" w:line="240" w:lineRule="auto"/>
              <w:rPr>
                <w:rFonts w:cs="Arial"/>
                <w:lang w:val="es-ES_tradnl"/>
              </w:rPr>
            </w:pPr>
          </w:p>
        </w:tc>
        <w:tc>
          <w:tcPr>
            <w:tcW w:w="1095" w:type="pct"/>
            <w:tcBorders>
              <w:left w:val="nil"/>
              <w:right w:val="nil"/>
            </w:tcBorders>
          </w:tcPr>
          <w:p w:rsidR="005B199D" w:rsidRPr="008F2A3F" w:rsidRDefault="005B199D" w:rsidP="00731437">
            <w:pPr>
              <w:spacing w:after="0" w:line="240" w:lineRule="auto"/>
              <w:rPr>
                <w:rFonts w:cs="Arial"/>
                <w:lang w:val="es-ES_tradnl"/>
              </w:rPr>
            </w:pPr>
          </w:p>
        </w:tc>
        <w:tc>
          <w:tcPr>
            <w:tcW w:w="597" w:type="pct"/>
            <w:tcBorders>
              <w:left w:val="nil"/>
              <w:right w:val="nil"/>
            </w:tcBorders>
          </w:tcPr>
          <w:p w:rsidR="005B199D" w:rsidRPr="008F2A3F" w:rsidRDefault="005B199D" w:rsidP="00731437">
            <w:pPr>
              <w:spacing w:after="0" w:line="240" w:lineRule="auto"/>
              <w:rPr>
                <w:rFonts w:cs="Arial"/>
                <w:lang w:val="es-ES_tradnl"/>
              </w:rPr>
            </w:pPr>
          </w:p>
        </w:tc>
        <w:tc>
          <w:tcPr>
            <w:tcW w:w="597" w:type="pct"/>
            <w:tcBorders>
              <w:left w:val="nil"/>
              <w:right w:val="nil"/>
            </w:tcBorders>
          </w:tcPr>
          <w:p w:rsidR="005B199D" w:rsidRPr="008F2A3F" w:rsidRDefault="005B199D" w:rsidP="00731437">
            <w:pPr>
              <w:spacing w:after="0" w:line="240" w:lineRule="auto"/>
              <w:rPr>
                <w:rFonts w:cs="Arial"/>
                <w:lang w:val="es-ES_tradnl"/>
              </w:rPr>
            </w:pPr>
          </w:p>
        </w:tc>
      </w:tr>
    </w:tbl>
    <w:p w:rsidR="006B2363" w:rsidRPr="008F2A3F" w:rsidRDefault="006B2363" w:rsidP="00A91B15">
      <w:pPr>
        <w:spacing w:line="240" w:lineRule="auto"/>
        <w:jc w:val="both"/>
        <w:rPr>
          <w:rFonts w:cs="Arial"/>
          <w:sz w:val="24"/>
          <w:szCs w:val="24"/>
          <w:lang w:val="es-ES_tradnl"/>
        </w:rPr>
      </w:pPr>
    </w:p>
    <w:p w:rsidR="00461269" w:rsidRPr="008F2A3F" w:rsidRDefault="00D75126" w:rsidP="00A91B15">
      <w:pPr>
        <w:spacing w:line="240" w:lineRule="auto"/>
        <w:jc w:val="both"/>
        <w:rPr>
          <w:rFonts w:cs="Arial"/>
          <w:sz w:val="24"/>
          <w:szCs w:val="24"/>
          <w:lang w:val="es-ES_tradnl"/>
        </w:rPr>
      </w:pPr>
      <w:r w:rsidRPr="008F2A3F">
        <w:rPr>
          <w:rFonts w:cs="Arial"/>
          <w:b/>
          <w:sz w:val="24"/>
          <w:szCs w:val="24"/>
          <w:lang w:val="es-ES_tradnl"/>
        </w:rPr>
        <w:t>Nota:</w:t>
      </w:r>
      <w:r w:rsidRPr="008F2A3F">
        <w:rPr>
          <w:rFonts w:cs="Arial"/>
          <w:sz w:val="24"/>
          <w:szCs w:val="24"/>
          <w:lang w:val="es-ES_tradnl"/>
        </w:rPr>
        <w:t xml:space="preserve"> El reporte cuantitativo del avance de los indicadores puede ser consultado en el Sistema Integrado de Información para el Posconflicto – SIIPO en el s</w:t>
      </w:r>
      <w:r w:rsidR="00432808" w:rsidRPr="008F2A3F">
        <w:rPr>
          <w:rFonts w:cs="Arial"/>
          <w:sz w:val="24"/>
          <w:szCs w:val="24"/>
          <w:lang w:val="es-ES_tradnl"/>
        </w:rPr>
        <w:t xml:space="preserve">iguiente enlace: siipo.dnp.gov.co  </w:t>
      </w:r>
      <w:r w:rsidR="002A1AB6" w:rsidRPr="008F2A3F">
        <w:rPr>
          <w:rFonts w:cs="Arial"/>
          <w:sz w:val="24"/>
          <w:szCs w:val="24"/>
          <w:lang w:val="es-ES_tradnl"/>
        </w:rPr>
        <w:t xml:space="preserve"> </w:t>
      </w:r>
      <w:r w:rsidR="006B2363" w:rsidRPr="008F2A3F">
        <w:rPr>
          <w:rFonts w:cs="Arial"/>
          <w:sz w:val="24"/>
          <w:szCs w:val="24"/>
          <w:lang w:val="es-ES_tradnl"/>
        </w:rPr>
        <w:t xml:space="preserve">  </w:t>
      </w:r>
    </w:p>
    <w:p w:rsidR="006B2363" w:rsidRPr="008F2A3F" w:rsidRDefault="006B2363" w:rsidP="00A91B15">
      <w:pPr>
        <w:spacing w:line="240" w:lineRule="auto"/>
        <w:jc w:val="both"/>
        <w:rPr>
          <w:rFonts w:cs="Arial"/>
          <w:sz w:val="24"/>
          <w:szCs w:val="24"/>
          <w:lang w:val="es-ES_tradnl"/>
        </w:rPr>
      </w:pPr>
    </w:p>
    <w:p w:rsidR="00A91B15" w:rsidRPr="00EC0339" w:rsidRDefault="00A91B15" w:rsidP="00A91B15">
      <w:pPr>
        <w:spacing w:line="240" w:lineRule="auto"/>
        <w:jc w:val="both"/>
        <w:rPr>
          <w:rFonts w:cs="Arial"/>
          <w:color w:val="3366CC"/>
          <w:sz w:val="32"/>
          <w:szCs w:val="32"/>
          <w:u w:val="thick"/>
          <w:lang w:val="es-ES_tradnl"/>
        </w:rPr>
      </w:pPr>
      <w:r w:rsidRPr="00EC0339">
        <w:rPr>
          <w:rFonts w:cs="Arial"/>
          <w:color w:val="3366CC"/>
          <w:sz w:val="32"/>
          <w:szCs w:val="32"/>
          <w:u w:val="thick"/>
          <w:lang w:val="es-ES_tradnl"/>
        </w:rPr>
        <w:t>Actividades que se desarrollaron:</w:t>
      </w:r>
    </w:p>
    <w:tbl>
      <w:tblPr>
        <w:tblW w:w="9072" w:type="dxa"/>
        <w:jc w:val="center"/>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8F2A3F" w:rsidTr="002A1AB6">
        <w:trPr>
          <w:trHeight w:val="394"/>
          <w:jc w:val="center"/>
        </w:trPr>
        <w:tc>
          <w:tcPr>
            <w:tcW w:w="2411" w:type="dxa"/>
            <w:tcBorders>
              <w:top w:val="single" w:sz="8" w:space="0" w:color="BBBBBB"/>
              <w:left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AÑO</w:t>
            </w:r>
          </w:p>
        </w:tc>
        <w:tc>
          <w:tcPr>
            <w:tcW w:w="6661" w:type="dxa"/>
            <w:tcBorders>
              <w:top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NOMBRE DE ACTIVIDADES DESARROLLADAS</w:t>
            </w:r>
          </w:p>
        </w:tc>
      </w:tr>
      <w:tr w:rsidR="00A91B15" w:rsidRPr="008F2A3F" w:rsidTr="002A1AB6">
        <w:trPr>
          <w:trHeight w:val="394"/>
          <w:jc w:val="center"/>
        </w:trPr>
        <w:tc>
          <w:tcPr>
            <w:tcW w:w="2411" w:type="dxa"/>
            <w:tcBorders>
              <w:right w:val="nil"/>
            </w:tcBorders>
            <w:shd w:val="clear" w:color="auto" w:fill="auto"/>
          </w:tcPr>
          <w:p w:rsidR="00A91B15" w:rsidRPr="008F2A3F" w:rsidRDefault="00A91B15" w:rsidP="00731437">
            <w:pPr>
              <w:spacing w:after="0" w:line="240" w:lineRule="auto"/>
              <w:rPr>
                <w:rFonts w:cs="Arial"/>
                <w:b/>
                <w:bCs/>
                <w:lang w:val="es-ES_tradnl"/>
              </w:rPr>
            </w:pPr>
            <w:r w:rsidRPr="008F2A3F">
              <w:rPr>
                <w:rFonts w:cs="Arial"/>
                <w:b/>
                <w:bCs/>
                <w:lang w:val="es-ES_tradnl"/>
              </w:rPr>
              <w:t>201</w:t>
            </w:r>
            <w:r w:rsidR="00892E6F" w:rsidRPr="008F2A3F">
              <w:rPr>
                <w:rFonts w:cs="Arial"/>
                <w:b/>
                <w:bCs/>
                <w:lang w:val="es-ES_tradnl"/>
              </w:rPr>
              <w:t>9</w:t>
            </w:r>
          </w:p>
        </w:tc>
        <w:tc>
          <w:tcPr>
            <w:tcW w:w="6661" w:type="dxa"/>
            <w:tcBorders>
              <w:left w:val="nil"/>
              <w:right w:val="nil"/>
            </w:tcBorders>
            <w:shd w:val="clear" w:color="auto" w:fill="auto"/>
          </w:tcPr>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Incorporación de recursos al convenio 1067 de 2018 del 25 de enero de 2018 para atender la administración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Administración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Ejecución de la estrategia de corto plazo para el mejoramiento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Asegurabilidad bienes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Suministro de víveres secos y frescos en los ETCR</w:t>
            </w:r>
          </w:p>
          <w:p w:rsidR="00A91B15"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Plan de trabajo para la administración de predios de la Fuerza Pública</w:t>
            </w:r>
          </w:p>
        </w:tc>
      </w:tr>
    </w:tbl>
    <w:p w:rsidR="00A91B15" w:rsidRPr="008F2A3F" w:rsidRDefault="00A91B15" w:rsidP="00A91B15">
      <w:pPr>
        <w:spacing w:line="240" w:lineRule="auto"/>
        <w:jc w:val="both"/>
        <w:rPr>
          <w:rFonts w:cs="Arial"/>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A91B15" w:rsidRPr="008F2A3F" w:rsidTr="002A1AB6">
        <w:trPr>
          <w:jc w:val="center"/>
        </w:trPr>
        <w:tc>
          <w:tcPr>
            <w:tcW w:w="9214" w:type="dxa"/>
            <w:shd w:val="clear" w:color="auto" w:fill="F2F2F2"/>
          </w:tcPr>
          <w:p w:rsidR="00A91B15" w:rsidRPr="001F54B3" w:rsidRDefault="003767F6" w:rsidP="00731437">
            <w:pPr>
              <w:spacing w:after="0" w:line="240" w:lineRule="auto"/>
              <w:ind w:left="-282" w:right="529" w:firstLine="282"/>
              <w:jc w:val="both"/>
              <w:rPr>
                <w:rFonts w:cs="Arial"/>
                <w:color w:val="3366CC"/>
                <w:sz w:val="32"/>
                <w:szCs w:val="32"/>
                <w:u w:val="thick"/>
                <w:lang w:val="es-ES_tradnl"/>
              </w:rPr>
            </w:pPr>
            <w:r w:rsidRPr="001F54B3">
              <w:rPr>
                <w:rFonts w:cs="Arial"/>
                <w:noProof/>
                <w:color w:val="3366CC"/>
                <w:sz w:val="32"/>
                <w:szCs w:val="32"/>
                <w:u w:val="thick"/>
                <w:lang w:val="es-419" w:eastAsia="es-419"/>
              </w:rPr>
              <w:drawing>
                <wp:anchor distT="0" distB="0" distL="114300" distR="114300" simplePos="0" relativeHeight="251653632" behindDoc="0" locked="0" layoutInCell="1" allowOverlap="1" wp14:anchorId="0CCFD925" wp14:editId="1CCA078E">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F54B3">
              <w:rPr>
                <w:rFonts w:cs="Arial"/>
                <w:color w:val="3366CC"/>
                <w:sz w:val="32"/>
                <w:szCs w:val="32"/>
                <w:u w:val="thick"/>
                <w:lang w:val="es-ES_tradnl"/>
              </w:rPr>
              <w:t xml:space="preserve">¿Cómo </w:t>
            </w:r>
            <w:r w:rsidR="009E40A8" w:rsidRPr="001F54B3">
              <w:rPr>
                <w:rFonts w:cs="Arial"/>
                <w:color w:val="3366CC"/>
                <w:sz w:val="32"/>
                <w:szCs w:val="32"/>
                <w:u w:val="thick"/>
                <w:lang w:val="es-ES_tradnl"/>
              </w:rPr>
              <w:t>se hizo</w:t>
            </w:r>
            <w:r w:rsidR="00A91B15" w:rsidRPr="001F54B3">
              <w:rPr>
                <w:rFonts w:cs="Arial"/>
                <w:color w:val="3366CC"/>
                <w:sz w:val="32"/>
                <w:szCs w:val="32"/>
                <w:u w:val="thick"/>
                <w:lang w:val="es-ES_tradnl"/>
              </w:rPr>
              <w:t>?</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432808" w:rsidRPr="008F2A3F" w:rsidRDefault="00432808" w:rsidP="00432808">
            <w:pPr>
              <w:jc w:val="both"/>
            </w:pPr>
            <w:r w:rsidRPr="008F2A3F">
              <w:t>La actividad de administración de los</w:t>
            </w:r>
            <w:r w:rsidR="009907CC" w:rsidRPr="008F2A3F">
              <w:t xml:space="preserve"> antiguos</w:t>
            </w:r>
            <w:r w:rsidRPr="008F2A3F">
              <w:t xml:space="preserve"> Espacios Territoriales de Capacitación y Reincorporación (ETCR),  se soporta operativa y logísticamente a través del Acuerdo de Participación de Terceros suscrito con el Programa de las Naciones Unidas para el Desarrollo</w:t>
            </w:r>
            <w:r w:rsidR="00845800" w:rsidRPr="008F2A3F">
              <w:t>-PNUD</w:t>
            </w:r>
            <w:r w:rsidRPr="008F2A3F">
              <w:t>, cuya ejecución se realiza en tres líneas relacionadas con</w:t>
            </w:r>
            <w:r w:rsidR="000A1482" w:rsidRPr="008F2A3F">
              <w:t>:</w:t>
            </w:r>
            <w:r w:rsidRPr="008F2A3F">
              <w:t xml:space="preserve"> 1) la contratación de personal y gastos de viaje de quienes cumplen actividades como administradores y campamenteros de los ETCR, 2) la suscripción de los contratos de arrendamiento de predios donde se encuentran ubicados los ETCR, y 3) toda la contratación de mantenimiento, suministros y servicios públicos necesarios dentro de cada uno de los espacios.</w:t>
            </w:r>
          </w:p>
          <w:p w:rsidR="00432808" w:rsidRPr="008F2A3F" w:rsidRDefault="00432808" w:rsidP="00782661">
            <w:pPr>
              <w:autoSpaceDE w:val="0"/>
              <w:autoSpaceDN w:val="0"/>
              <w:adjustRightInd w:val="0"/>
              <w:spacing w:after="0" w:line="240" w:lineRule="auto"/>
              <w:jc w:val="both"/>
            </w:pPr>
            <w:r w:rsidRPr="008F2A3F">
              <w:t>Pese a que la figura jurídica de los ETCR finalizó el pasado 15 de agosto</w:t>
            </w:r>
            <w:r w:rsidR="00121A50" w:rsidRPr="008F2A3F">
              <w:t xml:space="preserve"> de 2019</w:t>
            </w:r>
            <w:r w:rsidRPr="008F2A3F">
              <w:t xml:space="preserve">, </w:t>
            </w:r>
            <w:r w:rsidR="003B64F3" w:rsidRPr="008F2A3F">
              <w:t>el Gobierno Nacional ha tomado la determinación de avanzar hacia una figura permanente en el marco del ordenamiento territorial para apalancar la reincorporación</w:t>
            </w:r>
            <w:r w:rsidRPr="008F2A3F">
              <w:t xml:space="preserve">; motivo por el cual, en el marco de lo establecido en el </w:t>
            </w:r>
            <w:r w:rsidR="00121A50" w:rsidRPr="008F2A3F">
              <w:t>D</w:t>
            </w:r>
            <w:r w:rsidRPr="008F2A3F">
              <w:t>ecreto 1629 de 2019, la ARN sigue proveyendo los bienes y servicios necesarios para adelantar el proceso de reincorporación en dichos lugares, a fin de amparar el funcionamiento de cada uno de los ETCR en los mismos lugares donde han estado ubicados</w:t>
            </w:r>
            <w:r w:rsidR="000A1482" w:rsidRPr="008F2A3F">
              <w:t>.</w:t>
            </w:r>
          </w:p>
          <w:p w:rsidR="00782661" w:rsidRPr="008F2A3F" w:rsidRDefault="00782661" w:rsidP="00782661">
            <w:pPr>
              <w:spacing w:line="240" w:lineRule="auto"/>
              <w:jc w:val="both"/>
            </w:pPr>
          </w:p>
          <w:p w:rsidR="00432808" w:rsidRPr="008F2A3F" w:rsidRDefault="00432808" w:rsidP="00782661">
            <w:pPr>
              <w:spacing w:line="240" w:lineRule="auto"/>
              <w:jc w:val="both"/>
            </w:pPr>
            <w:r w:rsidRPr="008F2A3F">
              <w:t>Para el cumplimiento de esta disposición, se desarrollaron las siguientes actividades:</w:t>
            </w:r>
          </w:p>
          <w:p w:rsidR="00432808" w:rsidRPr="008F2A3F" w:rsidRDefault="00432808" w:rsidP="00782661">
            <w:pPr>
              <w:pStyle w:val="Prrafodelista"/>
              <w:numPr>
                <w:ilvl w:val="1"/>
                <w:numId w:val="3"/>
              </w:numPr>
              <w:spacing w:after="200" w:line="240" w:lineRule="auto"/>
              <w:jc w:val="both"/>
              <w:rPr>
                <w:rFonts w:cs="Arial"/>
                <w:b/>
              </w:rPr>
            </w:pPr>
            <w:r w:rsidRPr="008F2A3F">
              <w:rPr>
                <w:rFonts w:cs="Arial"/>
                <w:b/>
              </w:rPr>
              <w:t xml:space="preserve">Incorporación de recursos </w:t>
            </w:r>
          </w:p>
          <w:p w:rsidR="00432808" w:rsidRPr="008F2A3F" w:rsidRDefault="00432808" w:rsidP="00432808">
            <w:pPr>
              <w:jc w:val="both"/>
              <w:rPr>
                <w:rFonts w:cs="Arial"/>
              </w:rPr>
            </w:pPr>
            <w:r w:rsidRPr="008F2A3F">
              <w:rPr>
                <w:rFonts w:cs="Arial"/>
              </w:rPr>
              <w:t>Durante la vigencia 2019, de acuerdo a la disponibilidad presupuestal de la Agencia, se incorpor</w:t>
            </w:r>
            <w:r w:rsidR="00044ACD" w:rsidRPr="008F2A3F">
              <w:rPr>
                <w:rFonts w:cs="Arial"/>
              </w:rPr>
              <w:t>ó</w:t>
            </w:r>
            <w:r w:rsidRPr="008F2A3F">
              <w:rPr>
                <w:rFonts w:cs="Arial"/>
              </w:rPr>
              <w:t xml:space="preserve"> recursos al convenio tal como se presenta a continuación:</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 xml:space="preserve">Enmienda No. 4 del 18 de enero de 2019: Por la cual se incrementó en valor del aporte de ARN en Dos mil millones de pesos ($2.000.000.000) </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 xml:space="preserve">Enmienda No. 5 del 29 de marzo de 2019: Por la cual se incrementó en valor del aporte de ARN en Seis mil ochocientos cuarenta millones quinientos setenta y nueve mil cuatrocientos cincuenta y un pesos ($6.840.579.451) </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lastRenderedPageBreak/>
              <w:t>Enmienda No. 7 del 28 de julio de 2019: Por la cual se incrementó en valor del aporte de ARN en Seis mil quinientos ochenta y cinco millones ($6.585.000.000)</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Enmienda No. 8 del 24 de octubre de 2019: Por la cual se incrementó en valor del aporte de ARN en Cuatro mil trescientos treinta y nueve millones ciento treinta y siete mil novecientos treinta y cuatro pesos ($4.339.137.934)</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Enmienda No. 9 del 27 de noviembre de 2019: Por la cual se incrementó en valor del aporte de ARN en Cuatro mil trescientos treinta y nueve millones ciento treinta y siete mil novecientos treinta y cuatro pesos ($5.240.819.698).</w:t>
            </w:r>
          </w:p>
          <w:p w:rsidR="00432808" w:rsidRPr="008F2A3F" w:rsidRDefault="00432808" w:rsidP="00432808">
            <w:pPr>
              <w:jc w:val="both"/>
              <w:rPr>
                <w:rFonts w:cs="Arial"/>
              </w:rPr>
            </w:pPr>
            <w:r w:rsidRPr="008F2A3F">
              <w:rPr>
                <w:rFonts w:cs="Arial"/>
              </w:rPr>
              <w:t xml:space="preserve">En este sentido, los recursos presupuestales incorporados durante la presente vigencia al convenio 1067 de 2018, ascienden a la suma de </w:t>
            </w:r>
            <w:r w:rsidRPr="008F2A3F">
              <w:rPr>
                <w:rFonts w:cs="Arial"/>
                <w:b/>
              </w:rPr>
              <w:t>Veinticinco mil cinco millones quinientos treinta y siete mil ochenta y tres pesos</w:t>
            </w:r>
            <w:r w:rsidRPr="008F2A3F">
              <w:rPr>
                <w:rFonts w:cs="Arial"/>
              </w:rPr>
              <w:t xml:space="preserve"> </w:t>
            </w:r>
            <w:r w:rsidRPr="008F2A3F">
              <w:rPr>
                <w:rFonts w:cs="Arial"/>
                <w:b/>
              </w:rPr>
              <w:t xml:space="preserve">($25.005.537.083), </w:t>
            </w:r>
            <w:r w:rsidRPr="008F2A3F">
              <w:rPr>
                <w:rFonts w:cs="Arial"/>
              </w:rPr>
              <w:t>de los cuales $19.773.242.037 son para atender los gastos de personal, arriendos, mantenimiento y suministros; y garantizar las condiciones necesarias para el correcto funcionamiento de los ETCR, $2.040.000.000 para atender la administración de los predios donde se ubicará la Fuerza Pública en los antiguos 24 ETCR y $3.192.295.046 para fortalecer el acceso y permanencia de la población exintegrante FARC en los niveles de educación superior.</w:t>
            </w:r>
          </w:p>
          <w:p w:rsidR="00505018" w:rsidRPr="008F2A3F" w:rsidRDefault="00782661" w:rsidP="00505018">
            <w:pPr>
              <w:jc w:val="both"/>
              <w:rPr>
                <w:b/>
                <w:u w:val="single"/>
              </w:rPr>
            </w:pPr>
            <w:r w:rsidRPr="008F2A3F">
              <w:rPr>
                <w:b/>
                <w:u w:val="single"/>
              </w:rPr>
              <w:t>EJECUCIÓN DE LA ESTRATEGIA DE CORTO PLAZO</w:t>
            </w:r>
          </w:p>
          <w:p w:rsidR="00505018" w:rsidRPr="008F2A3F" w:rsidRDefault="00505018" w:rsidP="00505018">
            <w:pPr>
              <w:jc w:val="both"/>
              <w:rPr>
                <w:rFonts w:eastAsiaTheme="minorHAnsi"/>
              </w:rPr>
            </w:pPr>
            <w:r w:rsidRPr="008F2A3F">
              <w:rPr>
                <w:rFonts w:cs="Arial"/>
              </w:rPr>
              <w:t xml:space="preserve">A partir de la recepción de la administración de los Antiguos ETCR, </w:t>
            </w:r>
            <w:r w:rsidRPr="008F2A3F">
              <w:t xml:space="preserve">se identificó que adicional a las actividades recurrentes que se ejecutan para proveer los servicios y suministros básicos, era necesario adelantar acciones que permitieran mejorar las condiciones de estos espacios, así como de los bienes muebles e inmuebles asignados. Por tal motivo </w:t>
            </w:r>
            <w:r w:rsidRPr="008F2A3F">
              <w:rPr>
                <w:rFonts w:cs="Arial"/>
              </w:rPr>
              <w:t xml:space="preserve">se priorizó la implementación de un plan de trabajo, cuya ejecución al 31 de diciembre culminó al 100%, permitiendo </w:t>
            </w:r>
            <w:r w:rsidRPr="008F2A3F">
              <w:t>impactar en el mejoramiento de los ETCR respecto a:</w:t>
            </w:r>
          </w:p>
          <w:p w:rsidR="00505018" w:rsidRPr="008F2A3F" w:rsidRDefault="00505018" w:rsidP="00505018">
            <w:pPr>
              <w:pStyle w:val="Prrafodelista"/>
              <w:numPr>
                <w:ilvl w:val="0"/>
                <w:numId w:val="3"/>
              </w:numPr>
              <w:spacing w:after="200" w:line="276" w:lineRule="auto"/>
              <w:jc w:val="both"/>
            </w:pPr>
            <w:r w:rsidRPr="008F2A3F">
              <w:t>Construcción o adecuación de bodegas para depósito de herramientas de trabajo del administrador local en todos los Antiguos ETCR.</w:t>
            </w:r>
          </w:p>
          <w:p w:rsidR="00505018" w:rsidRPr="008F2A3F" w:rsidRDefault="00505018" w:rsidP="00505018">
            <w:pPr>
              <w:pStyle w:val="Prrafodelista"/>
              <w:numPr>
                <w:ilvl w:val="0"/>
                <w:numId w:val="3"/>
              </w:numPr>
              <w:spacing w:after="200" w:line="276" w:lineRule="auto"/>
              <w:jc w:val="both"/>
            </w:pPr>
            <w:r w:rsidRPr="008F2A3F">
              <w:t>Mejoramiento de la infraestructura de las zonas habitacionales y comunes en todos los Antiguos ETCR (instalaciones eléctricas, puertas, griferías y accesorios, reemplazo de drywall, tejas, ventanas, pintura)</w:t>
            </w:r>
          </w:p>
          <w:p w:rsidR="00505018" w:rsidRPr="008F2A3F" w:rsidRDefault="00505018" w:rsidP="00505018">
            <w:pPr>
              <w:pStyle w:val="Prrafodelista"/>
              <w:numPr>
                <w:ilvl w:val="0"/>
                <w:numId w:val="3"/>
              </w:numPr>
              <w:spacing w:after="200" w:line="276" w:lineRule="auto"/>
              <w:jc w:val="both"/>
            </w:pPr>
            <w:r w:rsidRPr="008F2A3F">
              <w:t>Adquisición de kit de herramientas para trabajo del administrador local de todos los Antiguos ETCR.</w:t>
            </w:r>
          </w:p>
          <w:p w:rsidR="00505018" w:rsidRPr="008F2A3F" w:rsidRDefault="00505018" w:rsidP="00505018">
            <w:pPr>
              <w:pStyle w:val="Prrafodelista"/>
              <w:numPr>
                <w:ilvl w:val="0"/>
                <w:numId w:val="3"/>
              </w:numPr>
              <w:spacing w:after="200" w:line="276" w:lineRule="auto"/>
              <w:jc w:val="both"/>
            </w:pPr>
            <w:r w:rsidRPr="008F2A3F">
              <w:t>Encerramiento de plantas de tratamiento de agua potable – PTAP, plantas de tratamiento de aguas residuales - PTAR y pozos sépticos.</w:t>
            </w:r>
          </w:p>
          <w:p w:rsidR="00505018" w:rsidRPr="008F2A3F" w:rsidRDefault="00505018" w:rsidP="00505018">
            <w:pPr>
              <w:pStyle w:val="Prrafodelista"/>
              <w:numPr>
                <w:ilvl w:val="0"/>
                <w:numId w:val="3"/>
              </w:numPr>
              <w:spacing w:after="200" w:line="276" w:lineRule="auto"/>
              <w:jc w:val="both"/>
            </w:pPr>
            <w:r w:rsidRPr="008F2A3F">
              <w:t>Construcción de cribas para evitar daños en los sistemas de tratamiento de agua residual y redes hidrosanitarias</w:t>
            </w:r>
          </w:p>
          <w:p w:rsidR="00505018" w:rsidRPr="008F2A3F" w:rsidRDefault="00505018" w:rsidP="00505018">
            <w:pPr>
              <w:pStyle w:val="Prrafodelista"/>
              <w:numPr>
                <w:ilvl w:val="0"/>
                <w:numId w:val="3"/>
              </w:numPr>
              <w:spacing w:after="200" w:line="276" w:lineRule="auto"/>
              <w:jc w:val="both"/>
            </w:pPr>
            <w:r w:rsidRPr="008F2A3F">
              <w:t>Optimización del funcionamiento de las plantas de tratamiento de agua potable – PTAP.</w:t>
            </w:r>
          </w:p>
          <w:p w:rsidR="00432808" w:rsidRPr="008F2A3F" w:rsidRDefault="00432808" w:rsidP="00432808">
            <w:pPr>
              <w:rPr>
                <w:b/>
                <w:u w:val="single"/>
              </w:rPr>
            </w:pPr>
            <w:r w:rsidRPr="008F2A3F">
              <w:rPr>
                <w:b/>
                <w:u w:val="single"/>
              </w:rPr>
              <w:t xml:space="preserve">ACTIVIDADES RELACIONADAS CON EL PROCESO DE ADMINISTRACIÓN </w:t>
            </w:r>
          </w:p>
          <w:p w:rsidR="00432808" w:rsidRPr="008F2A3F" w:rsidRDefault="00F54D0C" w:rsidP="00432808">
            <w:pPr>
              <w:jc w:val="both"/>
              <w:rPr>
                <w:rFonts w:cs="Arial"/>
                <w:b/>
                <w:u w:val="single"/>
              </w:rPr>
            </w:pPr>
            <w:r w:rsidRPr="008F2A3F">
              <w:rPr>
                <w:rFonts w:cs="Arial"/>
              </w:rPr>
              <w:t xml:space="preserve">A partir del 01 de </w:t>
            </w:r>
            <w:r w:rsidR="00A24184" w:rsidRPr="008F2A3F">
              <w:rPr>
                <w:rFonts w:cs="Arial"/>
              </w:rPr>
              <w:t>agosto</w:t>
            </w:r>
            <w:r w:rsidRPr="008F2A3F">
              <w:rPr>
                <w:rFonts w:cs="Arial"/>
              </w:rPr>
              <w:t xml:space="preserve"> de 2018, momento en el que </w:t>
            </w:r>
            <w:r w:rsidR="00432808" w:rsidRPr="008F2A3F">
              <w:rPr>
                <w:rFonts w:cs="Arial"/>
              </w:rPr>
              <w:t xml:space="preserve">la entidad asumió el proceso de administración de los ETCR, se han venido adelantando todas las acciones conducentes al mejoramiento las condiciones de habitabilidad de dichos espacios y el suministro de servicios públicos y saneamiento básico, que han permitido garantizar el acceso al agua potable, energía eléctrica, tratamiento de aguas residuales, recolección de residuos sólidos y suministro de gas. En tal sentido, durante la </w:t>
            </w:r>
            <w:r w:rsidR="00432808" w:rsidRPr="008F2A3F">
              <w:rPr>
                <w:rFonts w:cs="Arial"/>
              </w:rPr>
              <w:lastRenderedPageBreak/>
              <w:t>vigencia 2019 se desarrollaron actividades permanentes en el marco de la operación logística, mantenimiento y abastecimientos, con el propósito de garantizar la atención a las siguientes necesidades:</w:t>
            </w:r>
          </w:p>
          <w:p w:rsidR="00432808" w:rsidRPr="008F2A3F" w:rsidRDefault="00432808" w:rsidP="005B6819">
            <w:pPr>
              <w:pStyle w:val="Prrafodelista"/>
              <w:numPr>
                <w:ilvl w:val="1"/>
                <w:numId w:val="3"/>
              </w:numPr>
              <w:jc w:val="both"/>
              <w:rPr>
                <w:rFonts w:cs="Arial"/>
              </w:rPr>
            </w:pPr>
            <w:r w:rsidRPr="008F2A3F">
              <w:rPr>
                <w:rFonts w:cs="Arial"/>
              </w:rPr>
              <w:t>Suministro de ACPM</w:t>
            </w:r>
            <w:r w:rsidR="00845800" w:rsidRPr="008F2A3F">
              <w:rPr>
                <w:rStyle w:val="Refdenotaalpie"/>
                <w:rFonts w:cs="Arial"/>
              </w:rPr>
              <w:footnoteReference w:id="1"/>
            </w:r>
          </w:p>
          <w:p w:rsidR="00432808" w:rsidRPr="008F2A3F" w:rsidRDefault="00432808" w:rsidP="005B6819">
            <w:pPr>
              <w:pStyle w:val="Prrafodelista"/>
              <w:numPr>
                <w:ilvl w:val="1"/>
                <w:numId w:val="3"/>
              </w:numPr>
              <w:jc w:val="both"/>
              <w:rPr>
                <w:rFonts w:cs="Arial"/>
              </w:rPr>
            </w:pPr>
            <w:r w:rsidRPr="008F2A3F">
              <w:rPr>
                <w:rFonts w:cs="Arial"/>
              </w:rPr>
              <w:t>Suministro de gas</w:t>
            </w:r>
          </w:p>
          <w:p w:rsidR="00432808" w:rsidRPr="008F2A3F" w:rsidRDefault="00432808" w:rsidP="005B6819">
            <w:pPr>
              <w:pStyle w:val="Prrafodelista"/>
              <w:numPr>
                <w:ilvl w:val="1"/>
                <w:numId w:val="3"/>
              </w:numPr>
              <w:jc w:val="both"/>
              <w:rPr>
                <w:rFonts w:cs="Arial"/>
              </w:rPr>
            </w:pPr>
            <w:r w:rsidRPr="008F2A3F">
              <w:rPr>
                <w:rFonts w:cs="Arial"/>
              </w:rPr>
              <w:t>Servicio de recolección y transporte de basuras</w:t>
            </w:r>
          </w:p>
          <w:p w:rsidR="00432808" w:rsidRPr="008F2A3F" w:rsidRDefault="00432808" w:rsidP="005B6819">
            <w:pPr>
              <w:pStyle w:val="Prrafodelista"/>
              <w:numPr>
                <w:ilvl w:val="1"/>
                <w:numId w:val="3"/>
              </w:numPr>
              <w:jc w:val="both"/>
              <w:rPr>
                <w:rFonts w:cs="Arial"/>
              </w:rPr>
            </w:pPr>
            <w:r w:rsidRPr="008F2A3F">
              <w:rPr>
                <w:rFonts w:cs="Arial"/>
              </w:rPr>
              <w:t>Pago de servicio de energía en 14 ETCR que cuentan con interconexión eléctrica</w:t>
            </w:r>
          </w:p>
          <w:p w:rsidR="00432808" w:rsidRPr="008F2A3F" w:rsidRDefault="00432808" w:rsidP="005B6819">
            <w:pPr>
              <w:pStyle w:val="Prrafodelista"/>
              <w:numPr>
                <w:ilvl w:val="1"/>
                <w:numId w:val="3"/>
              </w:numPr>
              <w:jc w:val="both"/>
              <w:rPr>
                <w:rFonts w:cs="Arial"/>
              </w:rPr>
            </w:pPr>
            <w:r w:rsidRPr="008F2A3F">
              <w:rPr>
                <w:rFonts w:cs="Arial"/>
              </w:rPr>
              <w:t>Insumos para el mantenimiento de plantas eléctricas para los ETCR que cuentan con conexión a través de generadores</w:t>
            </w:r>
          </w:p>
          <w:p w:rsidR="00432808" w:rsidRPr="008F2A3F" w:rsidRDefault="00432808" w:rsidP="005B6819">
            <w:pPr>
              <w:pStyle w:val="Prrafodelista"/>
              <w:numPr>
                <w:ilvl w:val="1"/>
                <w:numId w:val="3"/>
              </w:numPr>
              <w:jc w:val="both"/>
              <w:rPr>
                <w:rFonts w:cs="Arial"/>
              </w:rPr>
            </w:pPr>
            <w:r w:rsidRPr="008F2A3F">
              <w:rPr>
                <w:rFonts w:cs="Arial"/>
              </w:rPr>
              <w:t>Insumos para las plantas de tratamiento de agua potable (PTAP) y plantas de tratamiento de aguas residuales (PTAR)</w:t>
            </w:r>
          </w:p>
          <w:p w:rsidR="00432808" w:rsidRPr="008F2A3F" w:rsidRDefault="00432808" w:rsidP="005B6819">
            <w:pPr>
              <w:pStyle w:val="Prrafodelista"/>
              <w:numPr>
                <w:ilvl w:val="1"/>
                <w:numId w:val="3"/>
              </w:numPr>
              <w:jc w:val="both"/>
              <w:rPr>
                <w:rFonts w:cs="Arial"/>
              </w:rPr>
            </w:pPr>
            <w:r w:rsidRPr="008F2A3F">
              <w:rPr>
                <w:rFonts w:cs="Arial"/>
              </w:rPr>
              <w:t>Adquisición de agua en bolsa (ETCR el Estrecho)</w:t>
            </w:r>
          </w:p>
          <w:p w:rsidR="00432808" w:rsidRPr="008F2A3F" w:rsidRDefault="00432808" w:rsidP="005B6819">
            <w:pPr>
              <w:pStyle w:val="Prrafodelista"/>
              <w:numPr>
                <w:ilvl w:val="1"/>
                <w:numId w:val="3"/>
              </w:numPr>
              <w:jc w:val="both"/>
              <w:rPr>
                <w:rFonts w:cs="Arial"/>
              </w:rPr>
            </w:pPr>
            <w:r w:rsidRPr="008F2A3F">
              <w:rPr>
                <w:rFonts w:cs="Arial"/>
              </w:rPr>
              <w:t>Adquisición de agua en carro tanque (ETCR Tierra grata)</w:t>
            </w:r>
          </w:p>
          <w:p w:rsidR="00432808" w:rsidRPr="008F2A3F" w:rsidRDefault="00432808" w:rsidP="00432808">
            <w:pPr>
              <w:jc w:val="both"/>
              <w:rPr>
                <w:rFonts w:cs="Arial"/>
                <w:b/>
              </w:rPr>
            </w:pPr>
            <w:r w:rsidRPr="008F2A3F">
              <w:rPr>
                <w:rFonts w:cs="Arial"/>
                <w:b/>
              </w:rPr>
              <w:t>Servicios públicos</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jc w:val="both"/>
              <w:rPr>
                <w:rFonts w:cs="Arial"/>
              </w:rPr>
            </w:pPr>
            <w:r w:rsidRPr="008F2A3F">
              <w:rPr>
                <w:rFonts w:cs="Arial"/>
              </w:rPr>
              <w:t>Trámite de pago de facturación por concepto de interconexión eléctrica en los ETCR donde actualmente cuentan con servicio de energía a través</w:t>
            </w:r>
            <w:r w:rsidR="00845800" w:rsidRPr="008F2A3F">
              <w:rPr>
                <w:rFonts w:cs="Arial"/>
              </w:rPr>
              <w:t xml:space="preserve"> de empresas operadoras de red.</w:t>
            </w:r>
          </w:p>
          <w:p w:rsidR="00432808" w:rsidRPr="008F2A3F" w:rsidRDefault="00432808" w:rsidP="00432808">
            <w:pPr>
              <w:pStyle w:val="Prrafodelista"/>
              <w:jc w:val="both"/>
              <w:rPr>
                <w:rFonts w:cs="Arial"/>
              </w:rPr>
            </w:pPr>
          </w:p>
          <w:p w:rsidR="00432808" w:rsidRPr="008F2A3F" w:rsidRDefault="00432808" w:rsidP="005B6819">
            <w:pPr>
              <w:pStyle w:val="Prrafodelista"/>
              <w:numPr>
                <w:ilvl w:val="0"/>
                <w:numId w:val="3"/>
              </w:numPr>
              <w:jc w:val="both"/>
              <w:rPr>
                <w:rFonts w:cs="Arial"/>
              </w:rPr>
            </w:pPr>
            <w:r w:rsidRPr="008F2A3F">
              <w:rPr>
                <w:rFonts w:cs="Arial"/>
              </w:rPr>
              <w:t>Presentación de solicitudes de factibilidad a empresas operadoras de red y gestiones de coordinación interinstitucional que han permitido dar inicio a los trámites cuyo propósito es viabilizar la interconexión eléctrica en los</w:t>
            </w:r>
            <w:r w:rsidR="003B64F3" w:rsidRPr="008F2A3F">
              <w:rPr>
                <w:rFonts w:cs="Arial"/>
              </w:rPr>
              <w:t xml:space="preserve"> Antiguos</w:t>
            </w:r>
            <w:r w:rsidRPr="008F2A3F">
              <w:rPr>
                <w:rFonts w:cs="Arial"/>
              </w:rPr>
              <w:t xml:space="preserve"> ETCR de Icononzo, Carrizal, Miravalle, Tierra Grata y Pondores.</w:t>
            </w:r>
          </w:p>
          <w:p w:rsidR="00432808" w:rsidRPr="008F2A3F" w:rsidRDefault="00432808" w:rsidP="00432808">
            <w:pPr>
              <w:pStyle w:val="Prrafodelista"/>
              <w:rPr>
                <w:rFonts w:cs="Arial"/>
              </w:rPr>
            </w:pPr>
          </w:p>
          <w:p w:rsidR="00432808" w:rsidRPr="008F2A3F" w:rsidRDefault="00432808" w:rsidP="00432808">
            <w:pPr>
              <w:jc w:val="both"/>
              <w:rPr>
                <w:rFonts w:cs="Arial"/>
                <w:b/>
              </w:rPr>
            </w:pPr>
            <w:r w:rsidRPr="008F2A3F">
              <w:rPr>
                <w:rFonts w:cs="Arial"/>
                <w:b/>
              </w:rPr>
              <w:t>Saneamiento básico</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spacing w:after="200" w:line="276" w:lineRule="auto"/>
              <w:rPr>
                <w:rFonts w:cs="Arial"/>
              </w:rPr>
            </w:pPr>
            <w:r w:rsidRPr="008F2A3F">
              <w:rPr>
                <w:rFonts w:cs="Arial"/>
              </w:rPr>
              <w:t>Contratación y pago del servicio para la disposición final de residuos sólidos en los ETCR</w:t>
            </w:r>
          </w:p>
          <w:p w:rsidR="00432808" w:rsidRPr="008F2A3F" w:rsidRDefault="00432808" w:rsidP="005B6819">
            <w:pPr>
              <w:pStyle w:val="Prrafodelista"/>
              <w:numPr>
                <w:ilvl w:val="0"/>
                <w:numId w:val="3"/>
              </w:numPr>
              <w:spacing w:after="200" w:line="276" w:lineRule="auto"/>
              <w:rPr>
                <w:rFonts w:cs="Arial"/>
              </w:rPr>
            </w:pPr>
            <w:r w:rsidRPr="008F2A3F">
              <w:rPr>
                <w:rFonts w:cs="Arial"/>
              </w:rPr>
              <w:t>Contratación del servicio de fumigación para el control de vectores y tratamiento de roedores.</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 xml:space="preserve">Labores permanentes de limpieza de cunetas y de rocería que son ejecutadas por los campamenteros contratados en cada </w:t>
            </w:r>
            <w:r w:rsidR="003B64F3" w:rsidRPr="008F2A3F">
              <w:rPr>
                <w:rFonts w:cs="Arial"/>
              </w:rPr>
              <w:t xml:space="preserve">Antiguos </w:t>
            </w:r>
            <w:r w:rsidRPr="008F2A3F">
              <w:rPr>
                <w:rFonts w:cs="Arial"/>
              </w:rPr>
              <w:t>ETCR.</w:t>
            </w:r>
          </w:p>
          <w:p w:rsidR="00432808" w:rsidRPr="008F2A3F" w:rsidRDefault="00432808" w:rsidP="005B6819">
            <w:pPr>
              <w:pStyle w:val="Prrafodelista"/>
              <w:numPr>
                <w:ilvl w:val="0"/>
                <w:numId w:val="3"/>
              </w:numPr>
              <w:jc w:val="both"/>
              <w:rPr>
                <w:rFonts w:cs="Arial"/>
              </w:rPr>
            </w:pPr>
            <w:r w:rsidRPr="008F2A3F">
              <w:rPr>
                <w:rFonts w:cs="Arial"/>
              </w:rPr>
              <w:t>Contratación de mano de obra especializada para el mantenimiento de pozos sépticos con el fin de mejorar el manejo de las aguas residuales.</w:t>
            </w:r>
          </w:p>
          <w:p w:rsidR="00432808" w:rsidRPr="008F2A3F" w:rsidRDefault="00432808" w:rsidP="005B6819">
            <w:pPr>
              <w:pStyle w:val="Prrafodelista"/>
              <w:numPr>
                <w:ilvl w:val="0"/>
                <w:numId w:val="3"/>
              </w:numPr>
              <w:jc w:val="both"/>
              <w:rPr>
                <w:rFonts w:cs="Arial"/>
              </w:rPr>
            </w:pPr>
            <w:r w:rsidRPr="008F2A3F">
              <w:rPr>
                <w:rFonts w:cs="Arial"/>
              </w:rPr>
              <w:t>Actividades de mantenimiento preventivo de los pozos sépticos consistentes en aplicación de bacterias, mediciones de los niveles de lodo, entre otras, que son realizadas por parte del personal contratado por la entidad.</w:t>
            </w:r>
          </w:p>
          <w:p w:rsidR="00432808" w:rsidRPr="008F2A3F" w:rsidRDefault="00432808" w:rsidP="005B6819">
            <w:pPr>
              <w:pStyle w:val="Prrafodelista"/>
              <w:numPr>
                <w:ilvl w:val="0"/>
                <w:numId w:val="3"/>
              </w:numPr>
              <w:jc w:val="both"/>
              <w:rPr>
                <w:rFonts w:cs="Arial"/>
              </w:rPr>
            </w:pPr>
            <w:r w:rsidRPr="008F2A3F">
              <w:rPr>
                <w:rFonts w:cs="Arial"/>
              </w:rPr>
              <w:t>Ejecución de los planes de mantenimiento preventivo y correctivo de las plantas de tratamiento de agua residual, que permitan garantizar su óptimo funcionamiento.</w:t>
            </w:r>
          </w:p>
          <w:p w:rsidR="00432808" w:rsidRPr="008F2A3F" w:rsidRDefault="00432808" w:rsidP="005B6819">
            <w:pPr>
              <w:pStyle w:val="Prrafodelista"/>
              <w:numPr>
                <w:ilvl w:val="0"/>
                <w:numId w:val="3"/>
              </w:numPr>
              <w:spacing w:after="200" w:line="276" w:lineRule="auto"/>
              <w:jc w:val="both"/>
            </w:pPr>
            <w:r w:rsidRPr="008F2A3F">
              <w:lastRenderedPageBreak/>
              <w:t>Construcción de cribas para evitar daños en los sistemas de tratamiento de agua residual y redes hidrosanitarias.</w:t>
            </w:r>
          </w:p>
          <w:p w:rsidR="00432808" w:rsidRPr="008F2A3F" w:rsidRDefault="00432808" w:rsidP="00432808">
            <w:pPr>
              <w:rPr>
                <w:rFonts w:cs="Arial"/>
                <w:b/>
              </w:rPr>
            </w:pPr>
            <w:r w:rsidRPr="008F2A3F">
              <w:rPr>
                <w:rFonts w:cs="Arial"/>
                <w:b/>
              </w:rPr>
              <w:t>Mantenimiento</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jc w:val="both"/>
              <w:rPr>
                <w:rFonts w:cs="Arial"/>
              </w:rPr>
            </w:pPr>
            <w:r w:rsidRPr="008F2A3F">
              <w:rPr>
                <w:rFonts w:cs="Arial"/>
              </w:rPr>
              <w:t>Obras de encerramiento de las plantas eléctricas, plantas de tratamiento de agua potable y plantas de tratamiento de agua residual para garantizar seguridad y protección en su operación.</w:t>
            </w:r>
          </w:p>
          <w:p w:rsidR="00432808" w:rsidRPr="008F2A3F" w:rsidRDefault="00432808" w:rsidP="005B6819">
            <w:pPr>
              <w:pStyle w:val="Prrafodelista"/>
              <w:numPr>
                <w:ilvl w:val="0"/>
                <w:numId w:val="3"/>
              </w:numPr>
              <w:jc w:val="both"/>
              <w:rPr>
                <w:rFonts w:cs="Arial"/>
              </w:rPr>
            </w:pPr>
            <w:r w:rsidRPr="008F2A3F">
              <w:rPr>
                <w:rFonts w:cs="Arial"/>
              </w:rPr>
              <w:t xml:space="preserve">Intervenciones al alumbrado público de los </w:t>
            </w:r>
            <w:r w:rsidR="003B64F3" w:rsidRPr="008F2A3F">
              <w:rPr>
                <w:rFonts w:cs="Arial"/>
              </w:rPr>
              <w:t xml:space="preserve">Antiguos </w:t>
            </w:r>
            <w:r w:rsidRPr="008F2A3F">
              <w:rPr>
                <w:rFonts w:cs="Arial"/>
              </w:rPr>
              <w:t>ETCR, que incluyen la adquisición de materiales y mano de obra.</w:t>
            </w:r>
          </w:p>
          <w:p w:rsidR="00432808" w:rsidRPr="008F2A3F" w:rsidRDefault="00432808" w:rsidP="005B6819">
            <w:pPr>
              <w:pStyle w:val="Prrafodelista"/>
              <w:numPr>
                <w:ilvl w:val="0"/>
                <w:numId w:val="3"/>
              </w:numPr>
              <w:jc w:val="both"/>
              <w:rPr>
                <w:rFonts w:cs="Arial"/>
              </w:rPr>
            </w:pPr>
            <w:r w:rsidRPr="008F2A3F">
              <w:rPr>
                <w:rFonts w:cs="Arial"/>
              </w:rPr>
              <w:t xml:space="preserve">Intervención de taludes en los </w:t>
            </w:r>
            <w:r w:rsidR="003B64F3" w:rsidRPr="008F2A3F">
              <w:rPr>
                <w:rFonts w:cs="Arial"/>
              </w:rPr>
              <w:t xml:space="preserve">Antiguos </w:t>
            </w:r>
            <w:r w:rsidRPr="008F2A3F">
              <w:rPr>
                <w:rFonts w:cs="Arial"/>
              </w:rPr>
              <w:t>ETCR de Carrizal y El Ceral</w:t>
            </w:r>
            <w:r w:rsidR="002842A5" w:rsidRPr="008F2A3F">
              <w:rPr>
                <w:rFonts w:cs="Arial"/>
              </w:rPr>
              <w:t>.</w:t>
            </w:r>
          </w:p>
          <w:p w:rsidR="00432808" w:rsidRPr="008F2A3F" w:rsidRDefault="00432808" w:rsidP="005B6819">
            <w:pPr>
              <w:pStyle w:val="Prrafodelista"/>
              <w:numPr>
                <w:ilvl w:val="0"/>
                <w:numId w:val="3"/>
              </w:numPr>
              <w:jc w:val="both"/>
              <w:rPr>
                <w:rFonts w:cs="Arial"/>
              </w:rPr>
            </w:pPr>
            <w:r w:rsidRPr="008F2A3F">
              <w:rPr>
                <w:rFonts w:cs="Arial"/>
              </w:rPr>
              <w:t xml:space="preserve">Reparaciones locativas en todos los </w:t>
            </w:r>
            <w:r w:rsidR="003B64F3" w:rsidRPr="008F2A3F">
              <w:rPr>
                <w:rFonts w:cs="Arial"/>
              </w:rPr>
              <w:t xml:space="preserve">Antiguos </w:t>
            </w:r>
            <w:r w:rsidRPr="008F2A3F">
              <w:rPr>
                <w:rFonts w:cs="Arial"/>
              </w:rPr>
              <w:t>ETCR relacionadas con arreglo de paredes, puertas, baños, duchas, pintura, entre otros.</w:t>
            </w:r>
          </w:p>
          <w:p w:rsidR="00432808" w:rsidRPr="008F2A3F" w:rsidRDefault="00432808" w:rsidP="005B6819">
            <w:pPr>
              <w:pStyle w:val="Prrafodelista"/>
              <w:numPr>
                <w:ilvl w:val="0"/>
                <w:numId w:val="3"/>
              </w:numPr>
              <w:jc w:val="both"/>
              <w:rPr>
                <w:rFonts w:cs="Arial"/>
              </w:rPr>
            </w:pPr>
            <w:r w:rsidRPr="008F2A3F">
              <w:rPr>
                <w:rFonts w:cs="Arial"/>
              </w:rPr>
              <w:t>Mantenimiento preventivo y correctivo de plantas eléctricas y plantas de tratamiento de agua potable, con el fin de garantizar el óptimo funcionamiento en todos los</w:t>
            </w:r>
            <w:r w:rsidR="003B64F3" w:rsidRPr="008F2A3F">
              <w:rPr>
                <w:rFonts w:cs="Arial"/>
              </w:rPr>
              <w:t xml:space="preserve"> Antiguos</w:t>
            </w:r>
            <w:r w:rsidRPr="008F2A3F">
              <w:rPr>
                <w:rFonts w:cs="Arial"/>
              </w:rPr>
              <w:t xml:space="preserve"> ETCR.</w:t>
            </w:r>
          </w:p>
          <w:p w:rsidR="00432808" w:rsidRPr="008F2A3F" w:rsidRDefault="00432808" w:rsidP="00432808">
            <w:pPr>
              <w:pStyle w:val="Prrafodelista"/>
              <w:jc w:val="both"/>
              <w:rPr>
                <w:rFonts w:cs="Arial"/>
              </w:rPr>
            </w:pPr>
          </w:p>
          <w:p w:rsidR="00432808" w:rsidRPr="008F2A3F" w:rsidRDefault="00432808" w:rsidP="00432808">
            <w:pPr>
              <w:ind w:left="708" w:hanging="708"/>
              <w:rPr>
                <w:rFonts w:cs="Arial"/>
                <w:b/>
              </w:rPr>
            </w:pPr>
            <w:r w:rsidRPr="008F2A3F">
              <w:rPr>
                <w:rFonts w:cs="Arial"/>
                <w:b/>
              </w:rPr>
              <w:t>Otros servicios</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autoSpaceDE w:val="0"/>
              <w:autoSpaceDN w:val="0"/>
              <w:spacing w:after="0" w:line="276" w:lineRule="auto"/>
              <w:jc w:val="both"/>
              <w:rPr>
                <w:rFonts w:cs="Arial"/>
              </w:rPr>
            </w:pPr>
            <w:r w:rsidRPr="008F2A3F">
              <w:rPr>
                <w:rFonts w:cs="Arial"/>
              </w:rPr>
              <w:t>Suministro mensual de gas a través de cilindros, que son entregados a la comunidad habitante de los espacios, para satisfacer sus necesidades en esta materia.</w:t>
            </w:r>
          </w:p>
          <w:p w:rsidR="00432808" w:rsidRPr="008F2A3F" w:rsidRDefault="00432808" w:rsidP="005B6819">
            <w:pPr>
              <w:pStyle w:val="Prrafodelista"/>
              <w:numPr>
                <w:ilvl w:val="0"/>
                <w:numId w:val="3"/>
              </w:numPr>
              <w:autoSpaceDE w:val="0"/>
              <w:autoSpaceDN w:val="0"/>
              <w:spacing w:after="0" w:line="276" w:lineRule="auto"/>
              <w:jc w:val="both"/>
              <w:rPr>
                <w:rFonts w:cs="Arial"/>
              </w:rPr>
            </w:pPr>
            <w:r w:rsidRPr="008F2A3F">
              <w:rPr>
                <w:rFonts w:cs="Arial"/>
              </w:rPr>
              <w:t>Suministro de ACPM</w:t>
            </w:r>
            <w:r w:rsidR="002842A5" w:rsidRPr="008F2A3F">
              <w:rPr>
                <w:rStyle w:val="Refdenotaalpie"/>
                <w:rFonts w:cs="Arial"/>
              </w:rPr>
              <w:footnoteReference w:id="2"/>
            </w:r>
            <w:r w:rsidRPr="008F2A3F">
              <w:rPr>
                <w:rFonts w:cs="Arial"/>
              </w:rPr>
              <w:t xml:space="preserve"> en aquellos </w:t>
            </w:r>
            <w:r w:rsidR="003B64F3" w:rsidRPr="008F2A3F">
              <w:rPr>
                <w:rFonts w:cs="Arial"/>
              </w:rPr>
              <w:t xml:space="preserve">Antiguos </w:t>
            </w:r>
            <w:r w:rsidRPr="008F2A3F">
              <w:rPr>
                <w:rFonts w:cs="Arial"/>
              </w:rPr>
              <w:t>ETCR donde se abastece el servicio de energía a través de plantas eléctricas.</w:t>
            </w:r>
          </w:p>
          <w:p w:rsidR="00432808" w:rsidRPr="008F2A3F" w:rsidRDefault="00432808" w:rsidP="005B6819">
            <w:pPr>
              <w:pStyle w:val="Prrafodelista"/>
              <w:numPr>
                <w:ilvl w:val="0"/>
                <w:numId w:val="3"/>
              </w:numPr>
              <w:autoSpaceDE w:val="0"/>
              <w:autoSpaceDN w:val="0"/>
              <w:spacing w:after="0" w:line="276" w:lineRule="auto"/>
              <w:jc w:val="both"/>
              <w:rPr>
                <w:rFonts w:cs="Arial"/>
              </w:rPr>
            </w:pPr>
            <w:r w:rsidRPr="008F2A3F">
              <w:rPr>
                <w:rFonts w:cs="Arial"/>
              </w:rPr>
              <w:t xml:space="preserve">Contratación de una solución provisional en materia de conectividad, para los </w:t>
            </w:r>
            <w:r w:rsidR="003B64F3" w:rsidRPr="008F2A3F">
              <w:rPr>
                <w:rFonts w:cs="Arial"/>
              </w:rPr>
              <w:t xml:space="preserve">Antiguos </w:t>
            </w:r>
            <w:r w:rsidRPr="008F2A3F">
              <w:rPr>
                <w:rFonts w:cs="Arial"/>
              </w:rPr>
              <w:t>ETCR en los cuales los KVD</w:t>
            </w:r>
            <w:r w:rsidR="002842A5" w:rsidRPr="008F2A3F">
              <w:rPr>
                <w:rStyle w:val="Refdenotaalpie"/>
                <w:rFonts w:cs="Arial"/>
              </w:rPr>
              <w:footnoteReference w:id="3"/>
            </w:r>
            <w:r w:rsidRPr="008F2A3F">
              <w:rPr>
                <w:rFonts w:cs="Arial"/>
              </w:rPr>
              <w:t xml:space="preserve"> quedaron sin funcionamiento a partir del 1 de enero de 2019.</w:t>
            </w:r>
          </w:p>
          <w:p w:rsidR="00782661" w:rsidRPr="008F2A3F" w:rsidRDefault="00782661" w:rsidP="00432808">
            <w:pPr>
              <w:spacing w:after="200" w:line="276" w:lineRule="auto"/>
              <w:jc w:val="both"/>
              <w:rPr>
                <w:b/>
                <w:u w:val="single"/>
              </w:rPr>
            </w:pPr>
          </w:p>
          <w:p w:rsidR="00432808" w:rsidRPr="008F2A3F" w:rsidRDefault="00432808" w:rsidP="00432808">
            <w:pPr>
              <w:spacing w:after="200" w:line="276" w:lineRule="auto"/>
              <w:jc w:val="both"/>
              <w:rPr>
                <w:b/>
                <w:u w:val="single"/>
              </w:rPr>
            </w:pPr>
            <w:r w:rsidRPr="008F2A3F">
              <w:rPr>
                <w:b/>
                <w:u w:val="single"/>
              </w:rPr>
              <w:t xml:space="preserve">ASEGURABILIDAD DE BIENES </w:t>
            </w:r>
          </w:p>
          <w:p w:rsidR="00432808" w:rsidRPr="008F2A3F" w:rsidRDefault="00432808" w:rsidP="00432808">
            <w:pPr>
              <w:jc w:val="both"/>
            </w:pPr>
            <w:r w:rsidRPr="008F2A3F">
              <w:t xml:space="preserve">Los bienes muebles e inmuebles que se encuentran instalados y en funcionamiento en los lugares de reincorporación, que hasta el 15 de agosto de 2019 se denominaron Espacios Territoriales de Capacitación y Reincorporación, se encuentran amparados hasta el 14 de febrero de 2020, mediante el Contrato de seguros No. 1625 de 2018 cuyo objeto es: “AMPARAR TODOS LOS BIENES INMUEBLES Y MUEBLES QUE CONFORMAN LOS ESPACIOS TERRITORIALES PARA CAPACITACIÓN Y REINCORPORACIÓN - ETCR, UBICADOS EN EL TERRITORIO NACIONAL, CONTRA LOS DAÑOS O PERDIDAS MATERIALES A CONSECUENCIA DE CUALQUIER RIESGO, TANTO POR EVENTOS INTERNOS O EXTERNOS, INCLUYENDO LAS PÉRDIDAS CONSECUENCIALES POR TODO CONCEPTO”, que se encuentra vigente hasta el 14 de febrero de 2020. </w:t>
            </w:r>
          </w:p>
          <w:p w:rsidR="00432808" w:rsidRPr="008F2A3F" w:rsidRDefault="00432808" w:rsidP="00432808">
            <w:pPr>
              <w:jc w:val="both"/>
            </w:pPr>
            <w:r w:rsidRPr="008F2A3F">
              <w:t>Para tal efecto, durante la vigencia 2019 fue necesario surtir los trámites de modificación a dicho contrato, en el sentido de realizar las prórrogas y adiciones que permitieran garantizar el amparo de los bienes donde se adelanta el proceso de reincorporación, toda vez que la licitación pública No. LP-</w:t>
            </w:r>
            <w:r w:rsidRPr="008F2A3F">
              <w:lastRenderedPageBreak/>
              <w:t>ARN-502-2019, mediante la cual se adelantaba el nuevo proceso contractual, fue declarada desierta en atención a que no se recibieron ofertas.</w:t>
            </w:r>
          </w:p>
          <w:p w:rsidR="00432808" w:rsidRPr="008F2A3F" w:rsidRDefault="00432808" w:rsidP="00432808">
            <w:pPr>
              <w:jc w:val="both"/>
            </w:pPr>
            <w:r w:rsidRPr="008F2A3F">
              <w:t>Finalmente</w:t>
            </w:r>
            <w:r w:rsidR="002028A7" w:rsidRPr="008F2A3F">
              <w:t>,</w:t>
            </w:r>
            <w:r w:rsidRPr="008F2A3F">
              <w:t xml:space="preserve"> se inició la estructuración de un nuevo proceso de selección para la contratación de la póliza de seguros que permita amparar durante la vigencia 2020, los bienes ubicados en los lugares en donde se adelanta el proceso de reincorporación</w:t>
            </w:r>
            <w:r w:rsidR="003900E0" w:rsidRPr="008F2A3F">
              <w:t>.</w:t>
            </w:r>
            <w:r w:rsidRPr="008F2A3F">
              <w:t xml:space="preserve"> </w:t>
            </w:r>
          </w:p>
          <w:p w:rsidR="00432808" w:rsidRPr="008F2A3F" w:rsidRDefault="00432808" w:rsidP="00432808">
            <w:pPr>
              <w:spacing w:after="200" w:line="276" w:lineRule="auto"/>
              <w:rPr>
                <w:b/>
                <w:u w:val="single"/>
              </w:rPr>
            </w:pPr>
            <w:r w:rsidRPr="008F2A3F">
              <w:rPr>
                <w:b/>
                <w:u w:val="single"/>
              </w:rPr>
              <w:t xml:space="preserve">SUMINISTRO DE VÍVERES SECOS Y FRESCOS </w:t>
            </w:r>
          </w:p>
          <w:p w:rsidR="00432808" w:rsidRPr="008F2A3F" w:rsidRDefault="00432808" w:rsidP="00432808">
            <w:pPr>
              <w:jc w:val="both"/>
            </w:pPr>
            <w:r w:rsidRPr="008F2A3F">
              <w:t xml:space="preserve">En el marco de lo dispuesto en </w:t>
            </w:r>
            <w:r w:rsidR="003900E0" w:rsidRPr="008F2A3F">
              <w:t>el D</w:t>
            </w:r>
            <w:r w:rsidRPr="008F2A3F">
              <w:t>ecreto 2446 de 2018, a partir del 1 de marzo Fondo Colombia en Paz asumió el suministro de víveres secos y frescos a los ex miembros de las extintas FARC – EP; motivo por el cual la ARN, como unidad ejecutora, fue la responsable de la estructuración del proceso y la supervisión de los contratos de suministro que ampararon la entrega de víveres desde el 1 de marzo hasta el 24 de octubre de 2019.</w:t>
            </w:r>
          </w:p>
          <w:p w:rsidR="00432808" w:rsidRPr="008F2A3F" w:rsidRDefault="00432808" w:rsidP="00432808">
            <w:pPr>
              <w:jc w:val="both"/>
            </w:pPr>
            <w:r w:rsidRPr="008F2A3F">
              <w:t>Posteriormente, en</w:t>
            </w:r>
            <w:r w:rsidR="003900E0" w:rsidRPr="008F2A3F">
              <w:t xml:space="preserve"> el marco de la expedición del D</w:t>
            </w:r>
            <w:r w:rsidRPr="008F2A3F">
              <w:t>ecreto 1629 del 9 de septiembre de 2019 y entendiendo que la entrega de víveres hace parte de los suministros necesarios para adelantar el proceso de reincorporación, se llevó a cabo la estructuración de la convocatoria abierta que permitió que Fondo Colombia en Paz suscribiera un nuevo contrato</w:t>
            </w:r>
            <w:r w:rsidR="00DA62EB" w:rsidRPr="008F2A3F">
              <w:t>,</w:t>
            </w:r>
            <w:r w:rsidRPr="008F2A3F">
              <w:t xml:space="preserve"> a efectos de garantizar la continuidad en el suministro, el cual ampara la entrega de víveres desde el 25 de octubre de 2019 hasta el 28 de febrero de 2020. </w:t>
            </w:r>
          </w:p>
          <w:p w:rsidR="00432808" w:rsidRPr="008F2A3F" w:rsidRDefault="00432808" w:rsidP="00432808">
            <w:pPr>
              <w:jc w:val="both"/>
            </w:pPr>
            <w:r w:rsidRPr="008F2A3F">
              <w:t>En tal sentido, a continuación, se presentan los contratos suscritos durante la vigencia 2019 por Fondo Colombia en Paz, en el marco de las actividades adelantadas por el equipo de trabajo de la ARN:</w:t>
            </w:r>
          </w:p>
          <w:tbl>
            <w:tblPr>
              <w:tblStyle w:val="Tablaconcuadrcula"/>
              <w:tblW w:w="0" w:type="auto"/>
              <w:tblLayout w:type="fixed"/>
              <w:tblLook w:val="04A0" w:firstRow="1" w:lastRow="0" w:firstColumn="1" w:lastColumn="0" w:noHBand="0" w:noVBand="1"/>
            </w:tblPr>
            <w:tblGrid>
              <w:gridCol w:w="1555"/>
              <w:gridCol w:w="1876"/>
              <w:gridCol w:w="1951"/>
              <w:gridCol w:w="2126"/>
              <w:gridCol w:w="1320"/>
            </w:tblGrid>
            <w:tr w:rsidR="008F2A3F" w:rsidRPr="008F2A3F" w:rsidTr="00782661">
              <w:tc>
                <w:tcPr>
                  <w:tcW w:w="1555" w:type="dxa"/>
                  <w:shd w:val="clear" w:color="auto" w:fill="D9D9D9" w:themeFill="background1" w:themeFillShade="D9"/>
                </w:tcPr>
                <w:p w:rsidR="001223BA" w:rsidRPr="008F2A3F" w:rsidRDefault="001223BA" w:rsidP="001223BA">
                  <w:pPr>
                    <w:jc w:val="center"/>
                    <w:rPr>
                      <w:b/>
                    </w:rPr>
                  </w:pPr>
                  <w:r w:rsidRPr="008F2A3F">
                    <w:rPr>
                      <w:b/>
                    </w:rPr>
                    <w:t>Número contrato</w:t>
                  </w:r>
                </w:p>
              </w:tc>
              <w:tc>
                <w:tcPr>
                  <w:tcW w:w="1876" w:type="dxa"/>
                  <w:shd w:val="clear" w:color="auto" w:fill="D9D9D9" w:themeFill="background1" w:themeFillShade="D9"/>
                </w:tcPr>
                <w:p w:rsidR="001223BA" w:rsidRPr="008F2A3F" w:rsidRDefault="001223BA" w:rsidP="001223BA">
                  <w:pPr>
                    <w:jc w:val="center"/>
                    <w:rPr>
                      <w:b/>
                    </w:rPr>
                  </w:pPr>
                  <w:r w:rsidRPr="008F2A3F">
                    <w:rPr>
                      <w:b/>
                    </w:rPr>
                    <w:t>Contratista</w:t>
                  </w:r>
                </w:p>
              </w:tc>
              <w:tc>
                <w:tcPr>
                  <w:tcW w:w="1951" w:type="dxa"/>
                  <w:shd w:val="clear" w:color="auto" w:fill="D9D9D9" w:themeFill="background1" w:themeFillShade="D9"/>
                </w:tcPr>
                <w:p w:rsidR="001223BA" w:rsidRPr="008F2A3F" w:rsidRDefault="001223BA" w:rsidP="001223BA">
                  <w:pPr>
                    <w:jc w:val="center"/>
                    <w:rPr>
                      <w:b/>
                    </w:rPr>
                  </w:pPr>
                  <w:r w:rsidRPr="008F2A3F">
                    <w:rPr>
                      <w:b/>
                    </w:rPr>
                    <w:t>Valor</w:t>
                  </w:r>
                </w:p>
              </w:tc>
              <w:tc>
                <w:tcPr>
                  <w:tcW w:w="2126" w:type="dxa"/>
                  <w:shd w:val="clear" w:color="auto" w:fill="D9D9D9" w:themeFill="background1" w:themeFillShade="D9"/>
                </w:tcPr>
                <w:p w:rsidR="001223BA" w:rsidRPr="008F2A3F" w:rsidRDefault="001223BA" w:rsidP="001223BA">
                  <w:pPr>
                    <w:jc w:val="center"/>
                    <w:rPr>
                      <w:b/>
                    </w:rPr>
                  </w:pPr>
                  <w:r w:rsidRPr="008F2A3F">
                    <w:rPr>
                      <w:b/>
                    </w:rPr>
                    <w:t>Plazo de ejecución</w:t>
                  </w:r>
                </w:p>
              </w:tc>
              <w:tc>
                <w:tcPr>
                  <w:tcW w:w="1320" w:type="dxa"/>
                  <w:shd w:val="clear" w:color="auto" w:fill="D9D9D9" w:themeFill="background1" w:themeFillShade="D9"/>
                </w:tcPr>
                <w:p w:rsidR="001223BA" w:rsidRPr="008F2A3F" w:rsidRDefault="001223BA" w:rsidP="001223BA">
                  <w:pPr>
                    <w:jc w:val="center"/>
                    <w:rPr>
                      <w:b/>
                    </w:rPr>
                  </w:pPr>
                  <w:r w:rsidRPr="008F2A3F">
                    <w:rPr>
                      <w:b/>
                    </w:rPr>
                    <w:t>Estado</w:t>
                  </w:r>
                </w:p>
              </w:tc>
            </w:tr>
            <w:tr w:rsidR="008F2A3F" w:rsidRPr="008F2A3F" w:rsidTr="00782661">
              <w:tc>
                <w:tcPr>
                  <w:tcW w:w="1555" w:type="dxa"/>
                </w:tcPr>
                <w:p w:rsidR="001223BA" w:rsidRPr="008F2A3F" w:rsidRDefault="001223BA" w:rsidP="001223BA">
                  <w:pPr>
                    <w:jc w:val="both"/>
                  </w:pPr>
                  <w:r w:rsidRPr="008F2A3F">
                    <w:t>FP 003-2019</w:t>
                  </w:r>
                </w:p>
              </w:tc>
              <w:tc>
                <w:tcPr>
                  <w:tcW w:w="1876" w:type="dxa"/>
                </w:tcPr>
                <w:p w:rsidR="001223BA" w:rsidRPr="008F2A3F" w:rsidRDefault="001223BA" w:rsidP="001223BA">
                  <w:pPr>
                    <w:jc w:val="both"/>
                  </w:pPr>
                  <w:r w:rsidRPr="008F2A3F">
                    <w:t>JR Soluciones EU</w:t>
                  </w:r>
                </w:p>
              </w:tc>
              <w:tc>
                <w:tcPr>
                  <w:tcW w:w="1951" w:type="dxa"/>
                </w:tcPr>
                <w:p w:rsidR="001223BA" w:rsidRPr="008F2A3F" w:rsidRDefault="001223BA" w:rsidP="001223BA">
                  <w:pPr>
                    <w:jc w:val="right"/>
                  </w:pPr>
                  <w:r w:rsidRPr="008F2A3F">
                    <w:t>$2.820.423.400</w:t>
                  </w:r>
                </w:p>
              </w:tc>
              <w:tc>
                <w:tcPr>
                  <w:tcW w:w="2126" w:type="dxa"/>
                </w:tcPr>
                <w:p w:rsidR="001223BA" w:rsidRPr="008F2A3F" w:rsidRDefault="001223BA" w:rsidP="001223BA">
                  <w:pPr>
                    <w:jc w:val="both"/>
                  </w:pPr>
                  <w:r w:rsidRPr="008F2A3F">
                    <w:t>1 a 31 de marzo 2019</w:t>
                  </w:r>
                </w:p>
              </w:tc>
              <w:tc>
                <w:tcPr>
                  <w:tcW w:w="1320" w:type="dxa"/>
                </w:tcPr>
                <w:p w:rsidR="001223BA" w:rsidRPr="008F2A3F" w:rsidRDefault="001223BA" w:rsidP="001223BA">
                  <w:pPr>
                    <w:jc w:val="both"/>
                  </w:pPr>
                  <w:r w:rsidRPr="008F2A3F">
                    <w:t>Liquidado</w:t>
                  </w:r>
                </w:p>
              </w:tc>
            </w:tr>
            <w:tr w:rsidR="008F2A3F" w:rsidRPr="008F2A3F" w:rsidTr="00782661">
              <w:trPr>
                <w:trHeight w:val="517"/>
              </w:trPr>
              <w:tc>
                <w:tcPr>
                  <w:tcW w:w="1555" w:type="dxa"/>
                </w:tcPr>
                <w:p w:rsidR="001223BA" w:rsidRPr="008F2A3F" w:rsidRDefault="001223BA" w:rsidP="001223BA">
                  <w:pPr>
                    <w:ind w:left="708" w:hanging="708"/>
                    <w:jc w:val="both"/>
                  </w:pPr>
                  <w:r w:rsidRPr="008F2A3F">
                    <w:t>FP 012-2019</w:t>
                  </w:r>
                </w:p>
              </w:tc>
              <w:tc>
                <w:tcPr>
                  <w:tcW w:w="1876" w:type="dxa"/>
                </w:tcPr>
                <w:p w:rsidR="001223BA" w:rsidRPr="008F2A3F" w:rsidRDefault="001223BA" w:rsidP="001223BA">
                  <w:pPr>
                    <w:jc w:val="both"/>
                  </w:pPr>
                  <w:r w:rsidRPr="008F2A3F">
                    <w:t>Fundación Caminemos Juntos</w:t>
                  </w:r>
                </w:p>
              </w:tc>
              <w:tc>
                <w:tcPr>
                  <w:tcW w:w="1951" w:type="dxa"/>
                </w:tcPr>
                <w:p w:rsidR="001223BA" w:rsidRPr="008F2A3F" w:rsidRDefault="001223BA" w:rsidP="001223BA">
                  <w:pPr>
                    <w:jc w:val="right"/>
                  </w:pPr>
                  <w:r w:rsidRPr="008F2A3F">
                    <w:t>$4.036.716.000</w:t>
                  </w:r>
                </w:p>
              </w:tc>
              <w:tc>
                <w:tcPr>
                  <w:tcW w:w="2126" w:type="dxa"/>
                </w:tcPr>
                <w:p w:rsidR="001223BA" w:rsidRPr="008F2A3F" w:rsidRDefault="001223BA" w:rsidP="001223BA">
                  <w:pPr>
                    <w:jc w:val="both"/>
                  </w:pPr>
                  <w:r w:rsidRPr="008F2A3F">
                    <w:t>1 abril a 15 mayo 2019</w:t>
                  </w:r>
                </w:p>
              </w:tc>
              <w:tc>
                <w:tcPr>
                  <w:tcW w:w="1320" w:type="dxa"/>
                </w:tcPr>
                <w:p w:rsidR="001223BA" w:rsidRPr="008F2A3F" w:rsidRDefault="001223BA" w:rsidP="001223BA">
                  <w:pPr>
                    <w:jc w:val="both"/>
                  </w:pPr>
                  <w:r w:rsidRPr="008F2A3F">
                    <w:t>Liquidado</w:t>
                  </w:r>
                </w:p>
              </w:tc>
            </w:tr>
            <w:tr w:rsidR="008F2A3F" w:rsidRPr="008F2A3F" w:rsidTr="00782661">
              <w:tc>
                <w:tcPr>
                  <w:tcW w:w="1555" w:type="dxa"/>
                </w:tcPr>
                <w:p w:rsidR="001223BA" w:rsidRPr="008F2A3F" w:rsidRDefault="001223BA" w:rsidP="001223BA">
                  <w:pPr>
                    <w:jc w:val="both"/>
                  </w:pPr>
                  <w:r w:rsidRPr="008F2A3F">
                    <w:t>FP 042-2019</w:t>
                  </w:r>
                </w:p>
              </w:tc>
              <w:tc>
                <w:tcPr>
                  <w:tcW w:w="1876" w:type="dxa"/>
                </w:tcPr>
                <w:p w:rsidR="001223BA" w:rsidRPr="008F2A3F" w:rsidRDefault="001223BA" w:rsidP="001223BA">
                  <w:pPr>
                    <w:jc w:val="both"/>
                  </w:pPr>
                  <w:r w:rsidRPr="008F2A3F">
                    <w:t>Integral Servicios SAS</w:t>
                  </w:r>
                </w:p>
              </w:tc>
              <w:tc>
                <w:tcPr>
                  <w:tcW w:w="1951" w:type="dxa"/>
                </w:tcPr>
                <w:p w:rsidR="001223BA" w:rsidRPr="008F2A3F" w:rsidRDefault="001223BA" w:rsidP="001223BA">
                  <w:pPr>
                    <w:jc w:val="right"/>
                  </w:pPr>
                  <w:r w:rsidRPr="008F2A3F">
                    <w:t>$12.218.537.664</w:t>
                  </w:r>
                </w:p>
              </w:tc>
              <w:tc>
                <w:tcPr>
                  <w:tcW w:w="2126" w:type="dxa"/>
                </w:tcPr>
                <w:p w:rsidR="001223BA" w:rsidRPr="008F2A3F" w:rsidRDefault="001223BA" w:rsidP="001223BA">
                  <w:pPr>
                    <w:jc w:val="both"/>
                  </w:pPr>
                  <w:r w:rsidRPr="008F2A3F">
                    <w:t>16 mayo a 24 de octubre de 2019</w:t>
                  </w:r>
                </w:p>
              </w:tc>
              <w:tc>
                <w:tcPr>
                  <w:tcW w:w="1320" w:type="dxa"/>
                </w:tcPr>
                <w:p w:rsidR="001223BA" w:rsidRPr="008F2A3F" w:rsidRDefault="001223BA" w:rsidP="001223BA">
                  <w:pPr>
                    <w:jc w:val="both"/>
                  </w:pPr>
                  <w:r w:rsidRPr="008F2A3F">
                    <w:t xml:space="preserve">En proceso de liquidación </w:t>
                  </w:r>
                </w:p>
              </w:tc>
            </w:tr>
            <w:tr w:rsidR="008F2A3F" w:rsidRPr="008F2A3F" w:rsidTr="00782661">
              <w:tc>
                <w:tcPr>
                  <w:tcW w:w="1555" w:type="dxa"/>
                </w:tcPr>
                <w:p w:rsidR="001223BA" w:rsidRPr="008F2A3F" w:rsidRDefault="001223BA" w:rsidP="001223BA">
                  <w:pPr>
                    <w:jc w:val="both"/>
                  </w:pPr>
                  <w:r w:rsidRPr="008F2A3F">
                    <w:t>FP 374-2019</w:t>
                  </w:r>
                </w:p>
              </w:tc>
              <w:tc>
                <w:tcPr>
                  <w:tcW w:w="1876" w:type="dxa"/>
                </w:tcPr>
                <w:p w:rsidR="001223BA" w:rsidRPr="008F2A3F" w:rsidRDefault="001223BA" w:rsidP="001223BA">
                  <w:pPr>
                    <w:jc w:val="both"/>
                  </w:pPr>
                  <w:r w:rsidRPr="008F2A3F">
                    <w:t>Consorcio Semillas para Alimentar</w:t>
                  </w:r>
                </w:p>
              </w:tc>
              <w:tc>
                <w:tcPr>
                  <w:tcW w:w="1951" w:type="dxa"/>
                </w:tcPr>
                <w:p w:rsidR="001223BA" w:rsidRPr="008F2A3F" w:rsidRDefault="001223BA" w:rsidP="001223BA">
                  <w:pPr>
                    <w:jc w:val="right"/>
                  </w:pPr>
                  <w:r w:rsidRPr="008F2A3F">
                    <w:t>$11.782.487.500</w:t>
                  </w:r>
                </w:p>
              </w:tc>
              <w:tc>
                <w:tcPr>
                  <w:tcW w:w="2126" w:type="dxa"/>
                </w:tcPr>
                <w:p w:rsidR="001223BA" w:rsidRPr="008F2A3F" w:rsidRDefault="001223BA" w:rsidP="001223BA">
                  <w:pPr>
                    <w:jc w:val="both"/>
                  </w:pPr>
                  <w:r w:rsidRPr="008F2A3F">
                    <w:t>25 de octubre de 2019 a 28 de febrero de 2020</w:t>
                  </w:r>
                </w:p>
              </w:tc>
              <w:tc>
                <w:tcPr>
                  <w:tcW w:w="1320" w:type="dxa"/>
                </w:tcPr>
                <w:p w:rsidR="001223BA" w:rsidRPr="008F2A3F" w:rsidRDefault="00782661" w:rsidP="001223BA">
                  <w:pPr>
                    <w:jc w:val="both"/>
                  </w:pPr>
                  <w:r w:rsidRPr="008F2A3F">
                    <w:t>Se contempla nuevo contrato en febrero de 2020</w:t>
                  </w:r>
                </w:p>
              </w:tc>
            </w:tr>
          </w:tbl>
          <w:p w:rsidR="00A91B15" w:rsidRPr="008F2A3F" w:rsidRDefault="00A91B15" w:rsidP="003900E0">
            <w:pPr>
              <w:pStyle w:val="Prrafodelista"/>
              <w:spacing w:after="0" w:line="240" w:lineRule="auto"/>
              <w:jc w:val="both"/>
            </w:pPr>
          </w:p>
        </w:tc>
      </w:tr>
      <w:tr w:rsidR="00A91B15" w:rsidRPr="008F2A3F" w:rsidTr="002A1AB6">
        <w:trPr>
          <w:jc w:val="center"/>
        </w:trPr>
        <w:tc>
          <w:tcPr>
            <w:tcW w:w="9214" w:type="dxa"/>
            <w:shd w:val="clear" w:color="auto" w:fill="F2F2F2"/>
          </w:tcPr>
          <w:p w:rsidR="00A91B15" w:rsidRPr="001F54B3" w:rsidRDefault="00A91B15" w:rsidP="00731437">
            <w:pPr>
              <w:spacing w:after="0" w:line="240" w:lineRule="auto"/>
              <w:jc w:val="both"/>
              <w:rPr>
                <w:rFonts w:cs="Arial"/>
                <w:color w:val="3366CC"/>
                <w:sz w:val="32"/>
                <w:szCs w:val="32"/>
                <w:u w:val="thick"/>
                <w:lang w:val="es-ES_tradnl"/>
              </w:rPr>
            </w:pPr>
            <w:r w:rsidRPr="001F54B3">
              <w:rPr>
                <w:rFonts w:cs="Arial"/>
                <w:color w:val="3366CC"/>
                <w:sz w:val="32"/>
                <w:szCs w:val="32"/>
                <w:u w:val="thick"/>
                <w:lang w:val="es-ES_tradnl"/>
              </w:rPr>
              <w:lastRenderedPageBreak/>
              <w:t xml:space="preserve">¿Quiénes se </w:t>
            </w:r>
            <w:r w:rsidR="009E40A8" w:rsidRPr="001F54B3">
              <w:rPr>
                <w:rFonts w:cs="Arial"/>
                <w:color w:val="3366CC"/>
                <w:sz w:val="32"/>
                <w:szCs w:val="32"/>
                <w:u w:val="thick"/>
                <w:lang w:val="es-ES_tradnl"/>
              </w:rPr>
              <w:t>beneficiaron</w:t>
            </w:r>
            <w:r w:rsidRPr="001F54B3">
              <w:rPr>
                <w:rFonts w:cs="Arial"/>
                <w:color w:val="3366CC"/>
                <w:sz w:val="32"/>
                <w:szCs w:val="32"/>
                <w:u w:val="thick"/>
                <w:lang w:val="es-ES_tradnl"/>
              </w:rPr>
              <w:t>?</w:t>
            </w:r>
            <w:r w:rsidR="003767F6" w:rsidRPr="001F54B3">
              <w:rPr>
                <w:rFonts w:cs="Arial"/>
                <w:noProof/>
                <w:color w:val="3366CC"/>
                <w:sz w:val="32"/>
                <w:szCs w:val="32"/>
                <w:u w:val="thick"/>
                <w:lang w:val="es-419" w:eastAsia="es-419"/>
              </w:rPr>
              <w:drawing>
                <wp:anchor distT="0" distB="0" distL="114300" distR="114300" simplePos="0" relativeHeight="251654656" behindDoc="0" locked="0" layoutInCell="1" allowOverlap="1" wp14:anchorId="0D90A563" wp14:editId="01256F6E">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4B3">
              <w:rPr>
                <w:rFonts w:cs="Arial"/>
                <w:color w:val="3366CC"/>
                <w:sz w:val="32"/>
                <w:szCs w:val="32"/>
                <w:u w:val="thick"/>
                <w:lang w:val="es-ES_tradnl"/>
              </w:rPr>
              <w:t xml:space="preserve"> </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56379C" w:rsidRPr="008F2A3F" w:rsidRDefault="00DD46A0" w:rsidP="00731437">
            <w:pPr>
              <w:spacing w:after="0" w:line="240" w:lineRule="auto"/>
              <w:jc w:val="both"/>
              <w:rPr>
                <w:rFonts w:cs="Arial"/>
                <w:i/>
                <w:sz w:val="24"/>
                <w:szCs w:val="24"/>
                <w:lang w:val="es-ES_tradnl"/>
              </w:rPr>
            </w:pPr>
            <w:r w:rsidRPr="008F2A3F">
              <w:rPr>
                <w:rFonts w:cs="Arial"/>
                <w:iCs/>
                <w:sz w:val="24"/>
                <w:szCs w:val="24"/>
                <w:lang w:val="es-ES_tradnl"/>
              </w:rPr>
              <w:t xml:space="preserve">Las personas destinatarias de los víveres son 5.049 adultos y 1.334 menores </w:t>
            </w:r>
          </w:p>
        </w:tc>
      </w:tr>
      <w:tr w:rsidR="00A91B15" w:rsidRPr="008F2A3F" w:rsidTr="002A1AB6">
        <w:trPr>
          <w:jc w:val="center"/>
        </w:trPr>
        <w:tc>
          <w:tcPr>
            <w:tcW w:w="9214" w:type="dxa"/>
            <w:shd w:val="clear" w:color="auto" w:fill="F2F2F2"/>
          </w:tcPr>
          <w:p w:rsidR="00A91B15" w:rsidRPr="001F54B3" w:rsidRDefault="003767F6" w:rsidP="00731437">
            <w:pPr>
              <w:spacing w:after="0" w:line="240" w:lineRule="auto"/>
              <w:rPr>
                <w:rFonts w:cs="Arial"/>
                <w:color w:val="3366CC"/>
                <w:sz w:val="32"/>
                <w:szCs w:val="32"/>
                <w:u w:val="thick"/>
                <w:lang w:val="es-ES_tradnl"/>
              </w:rPr>
            </w:pPr>
            <w:r w:rsidRPr="001F54B3">
              <w:rPr>
                <w:rFonts w:cs="Arial"/>
                <w:noProof/>
                <w:color w:val="3366CC"/>
                <w:sz w:val="32"/>
                <w:szCs w:val="32"/>
                <w:u w:val="thick"/>
                <w:lang w:val="es-419" w:eastAsia="es-419"/>
              </w:rPr>
              <w:lastRenderedPageBreak/>
              <w:drawing>
                <wp:anchor distT="0" distB="0" distL="114300" distR="114300" simplePos="0" relativeHeight="251655680" behindDoc="0" locked="0" layoutInCell="1" allowOverlap="1" wp14:anchorId="143085BD" wp14:editId="24874EAC">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F54B3">
              <w:rPr>
                <w:rFonts w:cs="Arial"/>
                <w:color w:val="3366CC"/>
                <w:sz w:val="32"/>
                <w:szCs w:val="32"/>
                <w:u w:val="thick"/>
                <w:lang w:val="es-ES_tradnl"/>
              </w:rPr>
              <w:t xml:space="preserve">¿Quiénes </w:t>
            </w:r>
            <w:r w:rsidR="006835B1" w:rsidRPr="001F54B3">
              <w:rPr>
                <w:rFonts w:cs="Arial"/>
                <w:color w:val="3366CC"/>
                <w:sz w:val="32"/>
                <w:szCs w:val="32"/>
                <w:u w:val="thick"/>
                <w:lang w:val="es-ES_tradnl"/>
              </w:rPr>
              <w:t xml:space="preserve">participaron </w:t>
            </w:r>
            <w:r w:rsidR="00240630" w:rsidRPr="001F54B3">
              <w:rPr>
                <w:rFonts w:cs="Arial"/>
                <w:color w:val="3366CC"/>
                <w:sz w:val="32"/>
                <w:szCs w:val="32"/>
                <w:u w:val="thick"/>
                <w:lang w:val="es-ES_tradnl"/>
              </w:rPr>
              <w:t>en</w:t>
            </w:r>
            <w:r w:rsidR="00A91B15" w:rsidRPr="001F54B3">
              <w:rPr>
                <w:rFonts w:cs="Arial"/>
                <w:color w:val="3366CC"/>
                <w:sz w:val="32"/>
                <w:szCs w:val="32"/>
                <w:u w:val="thick"/>
                <w:lang w:val="es-ES_tradnl"/>
              </w:rPr>
              <w:t xml:space="preserve"> esta acción y cómo </w:t>
            </w:r>
            <w:r w:rsidR="006835B1" w:rsidRPr="001F54B3">
              <w:rPr>
                <w:rFonts w:cs="Arial"/>
                <w:color w:val="3366CC"/>
                <w:sz w:val="32"/>
                <w:szCs w:val="32"/>
                <w:u w:val="thick"/>
                <w:lang w:val="es-ES_tradnl"/>
              </w:rPr>
              <w:t xml:space="preserve">se promovió </w:t>
            </w:r>
            <w:r w:rsidR="00A91B15" w:rsidRPr="001F54B3">
              <w:rPr>
                <w:rFonts w:cs="Arial"/>
                <w:color w:val="3366CC"/>
                <w:sz w:val="32"/>
                <w:szCs w:val="32"/>
                <w:u w:val="thick"/>
                <w:lang w:val="es-ES_tradnl"/>
              </w:rPr>
              <w:t xml:space="preserve">el control social? </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441283" w:rsidRPr="008F2A3F" w:rsidRDefault="00441283" w:rsidP="00731437">
            <w:pPr>
              <w:spacing w:after="0" w:line="240" w:lineRule="auto"/>
              <w:jc w:val="both"/>
              <w:rPr>
                <w:rFonts w:cs="Arial"/>
                <w:i/>
                <w:sz w:val="24"/>
                <w:szCs w:val="24"/>
                <w:lang w:val="es-ES_tradnl"/>
              </w:rPr>
            </w:pPr>
          </w:p>
          <w:p w:rsidR="001223BA" w:rsidRPr="008F2A3F" w:rsidRDefault="001223BA" w:rsidP="001223BA">
            <w:pPr>
              <w:spacing w:after="0" w:line="240" w:lineRule="auto"/>
              <w:jc w:val="both"/>
              <w:rPr>
                <w:sz w:val="24"/>
              </w:rPr>
            </w:pPr>
            <w:r w:rsidRPr="008F2A3F">
              <w:rPr>
                <w:sz w:val="24"/>
              </w:rPr>
              <w:t>El control social se hace en el marco de las reuniones de CTR y reuniones de carpa azul, donde asiste el personal en proceso de reincorporación, población receptora, fuerza pública (Ejército y Policía nacional) y autoridades departamentales y municipales.</w:t>
            </w:r>
          </w:p>
          <w:p w:rsidR="001223BA" w:rsidRPr="008F2A3F" w:rsidRDefault="001223BA" w:rsidP="001223BA">
            <w:pPr>
              <w:spacing w:after="0" w:line="240" w:lineRule="auto"/>
              <w:rPr>
                <w:sz w:val="24"/>
                <w:szCs w:val="24"/>
              </w:rPr>
            </w:pPr>
          </w:p>
          <w:p w:rsidR="00C34401" w:rsidRPr="008F2A3F" w:rsidRDefault="001223BA" w:rsidP="001223BA">
            <w:pPr>
              <w:pStyle w:val="Textocomentario"/>
              <w:rPr>
                <w:rFonts w:cs="Arial"/>
                <w:sz w:val="24"/>
                <w:szCs w:val="24"/>
                <w:lang w:val="es-ES_tradnl"/>
              </w:rPr>
            </w:pPr>
            <w:bookmarkStart w:id="1" w:name="_gjdgxs" w:colFirst="0" w:colLast="0"/>
            <w:bookmarkEnd w:id="1"/>
            <w:r w:rsidRPr="008F2A3F">
              <w:rPr>
                <w:rFonts w:eastAsia="Calibri"/>
                <w:sz w:val="24"/>
                <w:szCs w:val="22"/>
                <w:lang w:val="es-CO"/>
              </w:rPr>
              <w:t>Las adquisiciones de los bienes y servicios necesarios para atender las necesidades relacionadas con servicios públicos, mantenimiento y saneamiento básico en los ETCR, son realizadas en el marco del convenio de participación de terceros 1067 del 25 de enero de 2018 suscrito con PNUD, razón por la cual no se adelantan procesos contractuales que estén sujetos a las normas de la contratación pública, motivo por el cual no se encuentran registradas con Colombia Compra eficiente.</w:t>
            </w:r>
          </w:p>
          <w:tbl>
            <w:tblPr>
              <w:tblW w:w="0" w:type="auto"/>
              <w:tblLayout w:type="fixed"/>
              <w:tblLook w:val="04A0" w:firstRow="1" w:lastRow="0" w:firstColumn="1" w:lastColumn="0" w:noHBand="0" w:noVBand="1"/>
            </w:tblPr>
            <w:tblGrid>
              <w:gridCol w:w="4449"/>
              <w:gridCol w:w="4449"/>
            </w:tblGrid>
            <w:tr w:rsidR="00A91B15" w:rsidRPr="008F2A3F" w:rsidTr="003D515E">
              <w:trPr>
                <w:trHeight w:val="400"/>
              </w:trPr>
              <w:tc>
                <w:tcPr>
                  <w:tcW w:w="4449" w:type="dxa"/>
                  <w:shd w:val="clear" w:color="auto" w:fill="A6A6A6"/>
                </w:tcPr>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 xml:space="preserve">Número de Contrato/Año </w:t>
                  </w:r>
                </w:p>
              </w:tc>
              <w:tc>
                <w:tcPr>
                  <w:tcW w:w="4449" w:type="dxa"/>
                  <w:shd w:val="clear" w:color="auto" w:fill="A6A6A6"/>
                </w:tcPr>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Informe de supervisión o interventoría</w:t>
                  </w:r>
                </w:p>
                <w:p w:rsidR="00A91B15" w:rsidRPr="008F2A3F" w:rsidRDefault="00A91B15" w:rsidP="00731437">
                  <w:pPr>
                    <w:spacing w:after="0" w:line="240" w:lineRule="auto"/>
                    <w:jc w:val="both"/>
                    <w:rPr>
                      <w:rFonts w:cs="Arial"/>
                      <w:i/>
                      <w:sz w:val="20"/>
                      <w:szCs w:val="20"/>
                      <w:lang w:val="es-ES_tradnl"/>
                    </w:rPr>
                  </w:pPr>
                  <w:r w:rsidRPr="008F2A3F">
                    <w:rPr>
                      <w:rFonts w:cs="Arial"/>
                      <w:i/>
                      <w:sz w:val="20"/>
                      <w:szCs w:val="20"/>
                      <w:lang w:val="es-ES_tradnl"/>
                    </w:rPr>
                    <w:t>Conozca el informe del interventor o el supervisor aquí</w:t>
                  </w:r>
                </w:p>
              </w:tc>
            </w:tr>
            <w:tr w:rsidR="001223BA" w:rsidRPr="008F2A3F" w:rsidTr="003D515E">
              <w:trPr>
                <w:trHeight w:val="400"/>
              </w:trPr>
              <w:tc>
                <w:tcPr>
                  <w:tcW w:w="4449" w:type="dxa"/>
                  <w:shd w:val="clear" w:color="auto" w:fill="auto"/>
                </w:tcPr>
                <w:p w:rsidR="001223BA" w:rsidRPr="008F2A3F" w:rsidRDefault="001223BA" w:rsidP="001223BA">
                  <w:pPr>
                    <w:spacing w:after="0" w:line="240" w:lineRule="auto"/>
                    <w:jc w:val="both"/>
                    <w:rPr>
                      <w:i/>
                      <w:sz w:val="24"/>
                      <w:szCs w:val="24"/>
                    </w:rPr>
                  </w:pPr>
                  <w:r w:rsidRPr="008F2A3F">
                    <w:rPr>
                      <w:i/>
                      <w:sz w:val="24"/>
                      <w:szCs w:val="24"/>
                    </w:rPr>
                    <w:t>14 Profesionales equipo ETCR</w:t>
                  </w:r>
                </w:p>
                <w:p w:rsidR="001223BA" w:rsidRPr="008F2A3F" w:rsidRDefault="001223BA" w:rsidP="001223BA">
                  <w:pPr>
                    <w:spacing w:after="0" w:line="240" w:lineRule="auto"/>
                    <w:jc w:val="both"/>
                    <w:rPr>
                      <w:i/>
                      <w:sz w:val="24"/>
                      <w:szCs w:val="24"/>
                    </w:rPr>
                  </w:pPr>
                </w:p>
                <w:p w:rsidR="001223BA" w:rsidRPr="008F2A3F" w:rsidRDefault="001223BA" w:rsidP="001223BA">
                  <w:pPr>
                    <w:spacing w:after="0" w:line="240" w:lineRule="auto"/>
                    <w:jc w:val="both"/>
                  </w:pPr>
                </w:p>
                <w:p w:rsidR="001223BA" w:rsidRPr="008F2A3F" w:rsidRDefault="001223BA" w:rsidP="001223BA">
                  <w:pPr>
                    <w:spacing w:after="0" w:line="240" w:lineRule="auto"/>
                    <w:jc w:val="both"/>
                    <w:rPr>
                      <w:i/>
                      <w:sz w:val="24"/>
                      <w:szCs w:val="24"/>
                    </w:rPr>
                  </w:pPr>
                  <w:r w:rsidRPr="008F2A3F">
                    <w:rPr>
                      <w:i/>
                      <w:sz w:val="24"/>
                      <w:szCs w:val="24"/>
                    </w:rPr>
                    <w:t xml:space="preserve">Convenio ARN - PNUD - </w:t>
                  </w:r>
                  <w:hyperlink r:id="rId24" w:history="1">
                    <w:r w:rsidRPr="008F2A3F">
                      <w:rPr>
                        <w:i/>
                        <w:sz w:val="24"/>
                        <w:szCs w:val="24"/>
                      </w:rPr>
                      <w:t>CD-ARN-1067-2018</w:t>
                    </w:r>
                  </w:hyperlink>
                </w:p>
                <w:p w:rsidR="001223BA" w:rsidRPr="008F2A3F" w:rsidRDefault="001223BA" w:rsidP="001223BA">
                  <w:pPr>
                    <w:spacing w:after="0" w:line="240" w:lineRule="auto"/>
                    <w:jc w:val="both"/>
                    <w:rPr>
                      <w:i/>
                      <w:sz w:val="24"/>
                      <w:szCs w:val="24"/>
                    </w:rPr>
                  </w:pPr>
                </w:p>
                <w:p w:rsidR="001223BA" w:rsidRPr="008F2A3F" w:rsidRDefault="001223BA" w:rsidP="001223BA">
                  <w:pPr>
                    <w:spacing w:after="0" w:line="240" w:lineRule="auto"/>
                    <w:jc w:val="both"/>
                    <w:rPr>
                      <w:i/>
                      <w:sz w:val="24"/>
                      <w:szCs w:val="24"/>
                    </w:rPr>
                  </w:pPr>
                </w:p>
                <w:p w:rsidR="001223BA" w:rsidRPr="008F2A3F" w:rsidRDefault="001223BA" w:rsidP="001223BA">
                  <w:pPr>
                    <w:spacing w:after="0" w:line="240" w:lineRule="auto"/>
                    <w:jc w:val="both"/>
                    <w:rPr>
                      <w:rFonts w:cs="Arial"/>
                      <w:i/>
                      <w:sz w:val="24"/>
                      <w:szCs w:val="24"/>
                      <w:lang w:val="es-ES_tradnl"/>
                    </w:rPr>
                  </w:pPr>
                </w:p>
              </w:tc>
              <w:tc>
                <w:tcPr>
                  <w:tcW w:w="4449" w:type="dxa"/>
                  <w:shd w:val="clear" w:color="auto" w:fill="auto"/>
                </w:tcPr>
                <w:p w:rsidR="003B39AF" w:rsidRPr="003B39AF" w:rsidRDefault="009B7621" w:rsidP="001223BA">
                  <w:pPr>
                    <w:spacing w:after="0" w:line="240" w:lineRule="auto"/>
                    <w:rPr>
                      <w:rStyle w:val="Hipervnculo"/>
                      <w:i/>
                      <w:color w:val="auto"/>
                      <w:szCs w:val="24"/>
                    </w:rPr>
                  </w:pPr>
                  <w:hyperlink r:id="rId25" w:history="1">
                    <w:r w:rsidR="003B39AF" w:rsidRPr="003B39AF">
                      <w:rPr>
                        <w:rStyle w:val="Hipervnculo"/>
                        <w:i/>
                        <w:szCs w:val="24"/>
                      </w:rPr>
                      <w:t>https://www.contratos.gov.co/consultas/inicioConsulta.do</w:t>
                    </w:r>
                  </w:hyperlink>
                  <w:r w:rsidR="003B39AF" w:rsidRPr="003B39AF">
                    <w:rPr>
                      <w:rStyle w:val="Hipervnculo"/>
                      <w:i/>
                      <w:color w:val="auto"/>
                      <w:szCs w:val="24"/>
                    </w:rPr>
                    <w:t xml:space="preserve"> </w:t>
                  </w:r>
                </w:p>
                <w:p w:rsidR="001223BA" w:rsidRPr="008F2A3F" w:rsidRDefault="001223BA" w:rsidP="001223BA">
                  <w:pPr>
                    <w:spacing w:after="0" w:line="240" w:lineRule="auto"/>
                    <w:rPr>
                      <w:i/>
                      <w:sz w:val="24"/>
                      <w:szCs w:val="24"/>
                    </w:rPr>
                  </w:pPr>
                </w:p>
                <w:p w:rsidR="001223BA" w:rsidRPr="008F2A3F" w:rsidRDefault="009B7621" w:rsidP="001223BA">
                  <w:pPr>
                    <w:spacing w:after="0" w:line="240" w:lineRule="auto"/>
                    <w:rPr>
                      <w:rStyle w:val="Hipervnculo"/>
                      <w:i/>
                      <w:color w:val="auto"/>
                      <w:sz w:val="20"/>
                      <w:szCs w:val="20"/>
                    </w:rPr>
                  </w:pPr>
                  <w:hyperlink r:id="rId26" w:history="1">
                    <w:r w:rsidR="003B39AF" w:rsidRPr="00693E84">
                      <w:rPr>
                        <w:rStyle w:val="Hipervnculo"/>
                        <w:i/>
                        <w:sz w:val="20"/>
                        <w:szCs w:val="20"/>
                      </w:rPr>
                      <w:t>https://www.contratos.gov.co/consultas/detalleProceso.do?numConstancia=18-4-7733643</w:t>
                    </w:r>
                  </w:hyperlink>
                  <w:r w:rsidR="003B39AF">
                    <w:rPr>
                      <w:rStyle w:val="Hipervnculo"/>
                      <w:i/>
                      <w:color w:val="auto"/>
                      <w:sz w:val="20"/>
                      <w:szCs w:val="20"/>
                    </w:rPr>
                    <w:t xml:space="preserve"> </w:t>
                  </w:r>
                </w:p>
                <w:p w:rsidR="001223BA" w:rsidRPr="008F2A3F" w:rsidRDefault="001223BA" w:rsidP="001223BA">
                  <w:pPr>
                    <w:spacing w:after="0" w:line="240" w:lineRule="auto"/>
                    <w:rPr>
                      <w:rStyle w:val="Hipervnculo"/>
                      <w:i/>
                      <w:color w:val="auto"/>
                      <w:sz w:val="20"/>
                      <w:szCs w:val="20"/>
                    </w:rPr>
                  </w:pPr>
                </w:p>
                <w:p w:rsidR="001223BA" w:rsidRPr="008F2A3F" w:rsidRDefault="001223BA" w:rsidP="001223BA">
                  <w:pPr>
                    <w:spacing w:after="0" w:line="240" w:lineRule="auto"/>
                    <w:jc w:val="both"/>
                    <w:rPr>
                      <w:rFonts w:cs="Arial"/>
                      <w:i/>
                      <w:sz w:val="24"/>
                      <w:szCs w:val="24"/>
                      <w:lang w:val="es-ES_tradnl"/>
                    </w:rPr>
                  </w:pPr>
                </w:p>
              </w:tc>
            </w:tr>
          </w:tbl>
          <w:p w:rsidR="00A91B15" w:rsidRPr="008F2A3F" w:rsidRDefault="00A91B15" w:rsidP="00731437">
            <w:pPr>
              <w:spacing w:after="0" w:line="240" w:lineRule="auto"/>
              <w:jc w:val="both"/>
              <w:rPr>
                <w:rFonts w:cs="Arial"/>
                <w:i/>
                <w:sz w:val="24"/>
                <w:szCs w:val="24"/>
                <w:lang w:val="es-ES_tradnl"/>
              </w:rPr>
            </w:pPr>
          </w:p>
        </w:tc>
      </w:tr>
      <w:tr w:rsidR="008F2A3F" w:rsidRPr="008F2A3F" w:rsidTr="002A1AB6">
        <w:trPr>
          <w:trHeight w:val="1420"/>
          <w:jc w:val="center"/>
        </w:trPr>
        <w:tc>
          <w:tcPr>
            <w:tcW w:w="9214" w:type="dxa"/>
            <w:shd w:val="clear" w:color="auto" w:fill="F2F2F2"/>
          </w:tcPr>
          <w:p w:rsidR="00A91B15" w:rsidRPr="00EC0339" w:rsidRDefault="003767F6" w:rsidP="00731437">
            <w:pPr>
              <w:spacing w:after="0" w:line="240" w:lineRule="auto"/>
              <w:rPr>
                <w:rFonts w:cs="Arial"/>
                <w:color w:val="3366CC"/>
                <w:sz w:val="32"/>
                <w:szCs w:val="32"/>
                <w:u w:val="thick"/>
                <w:lang w:val="es-ES_tradnl"/>
              </w:rPr>
            </w:pPr>
            <w:r w:rsidRPr="00EC0339">
              <w:rPr>
                <w:rFonts w:cs="Arial"/>
                <w:noProof/>
                <w:color w:val="3366CC"/>
                <w:sz w:val="32"/>
                <w:szCs w:val="32"/>
                <w:u w:val="thick"/>
                <w:lang w:val="es-419" w:eastAsia="es-419"/>
              </w:rPr>
              <w:drawing>
                <wp:anchor distT="0" distB="0" distL="114300" distR="114300" simplePos="0" relativeHeight="251656704" behindDoc="0" locked="0" layoutInCell="1" allowOverlap="1" wp14:anchorId="75E1E580" wp14:editId="762E4CDB">
                  <wp:simplePos x="0" y="0"/>
                  <wp:positionH relativeFrom="column">
                    <wp:posOffset>-85725</wp:posOffset>
                  </wp:positionH>
                  <wp:positionV relativeFrom="paragraph">
                    <wp:posOffset>8255</wp:posOffset>
                  </wp:positionV>
                  <wp:extent cx="938530" cy="842645"/>
                  <wp:effectExtent l="0" t="0" r="0" b="0"/>
                  <wp:wrapSquare wrapText="bothSides"/>
                  <wp:docPr id="3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EC0339">
              <w:rPr>
                <w:rFonts w:cs="Arial"/>
                <w:color w:val="3366CC"/>
                <w:sz w:val="32"/>
                <w:szCs w:val="32"/>
                <w:u w:val="thick"/>
                <w:lang w:val="es-ES_tradnl"/>
              </w:rPr>
              <w:t xml:space="preserve">¿En </w:t>
            </w:r>
            <w:r w:rsidR="00240630" w:rsidRPr="00EC0339">
              <w:rPr>
                <w:rFonts w:cs="Arial"/>
                <w:color w:val="3366CC"/>
                <w:sz w:val="32"/>
                <w:szCs w:val="32"/>
                <w:u w:val="thick"/>
                <w:lang w:val="es-ES_tradnl"/>
              </w:rPr>
              <w:t>qué territorios</w:t>
            </w:r>
            <w:r w:rsidR="00A91B15" w:rsidRPr="00EC0339">
              <w:rPr>
                <w:rFonts w:cs="Arial"/>
                <w:color w:val="3366CC"/>
                <w:sz w:val="32"/>
                <w:szCs w:val="32"/>
                <w:u w:val="thick"/>
                <w:lang w:val="es-ES_tradnl"/>
              </w:rPr>
              <w:t xml:space="preserve"> </w:t>
            </w:r>
            <w:r w:rsidR="006835B1" w:rsidRPr="00EC0339">
              <w:rPr>
                <w:rFonts w:cs="Arial"/>
                <w:color w:val="3366CC"/>
                <w:sz w:val="32"/>
                <w:szCs w:val="32"/>
                <w:u w:val="thick"/>
                <w:lang w:val="es-ES_tradnl"/>
              </w:rPr>
              <w:t>se desarrolló</w:t>
            </w:r>
            <w:r w:rsidR="00A91B15" w:rsidRPr="00EC0339">
              <w:rPr>
                <w:rFonts w:cs="Arial"/>
                <w:color w:val="3366CC"/>
                <w:sz w:val="32"/>
                <w:szCs w:val="32"/>
                <w:u w:val="thick"/>
                <w:lang w:val="es-ES_tradnl"/>
              </w:rPr>
              <w:t xml:space="preserve"> la acción?</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1223BA" w:rsidRPr="008F2A3F" w:rsidRDefault="001223BA" w:rsidP="001223BA">
            <w:pPr>
              <w:spacing w:after="0" w:line="240" w:lineRule="auto"/>
              <w:jc w:val="both"/>
              <w:rPr>
                <w:rFonts w:cs="Arial"/>
                <w:i/>
                <w:sz w:val="24"/>
                <w:szCs w:val="24"/>
                <w:lang w:val="es-ES"/>
              </w:rPr>
            </w:pPr>
            <w:r w:rsidRPr="008F2A3F">
              <w:rPr>
                <w:rFonts w:cs="Arial"/>
                <w:i/>
                <w:sz w:val="24"/>
                <w:szCs w:val="24"/>
                <w:lang w:val="es-ES"/>
              </w:rPr>
              <w:t>Se ha desarrollado en los 24 Espacios de Capacitación y Reincorporación donde se encuentran ubicados los ex integrantes de FARC-EP.</w:t>
            </w:r>
          </w:p>
          <w:p w:rsidR="00A91B15" w:rsidRPr="008F2A3F" w:rsidRDefault="001223BA" w:rsidP="00782661">
            <w:pPr>
              <w:rPr>
                <w:rFonts w:cs="Arial"/>
                <w:i/>
                <w:sz w:val="24"/>
                <w:szCs w:val="24"/>
                <w:lang w:val="es-ES_tradnl"/>
              </w:rPr>
            </w:pPr>
            <w:r w:rsidRPr="008F2A3F">
              <w:rPr>
                <w:noProof/>
                <w:lang w:val="es-419" w:eastAsia="es-419"/>
              </w:rPr>
              <w:lastRenderedPageBreak/>
              <w:drawing>
                <wp:anchor distT="0" distB="0" distL="114300" distR="114300" simplePos="0" relativeHeight="251697664" behindDoc="0" locked="0" layoutInCell="1" allowOverlap="1" wp14:anchorId="69475EA0" wp14:editId="4DC1EEF3">
                  <wp:simplePos x="0" y="0"/>
                  <wp:positionH relativeFrom="column">
                    <wp:posOffset>181622</wp:posOffset>
                  </wp:positionH>
                  <wp:positionV relativeFrom="paragraph">
                    <wp:posOffset>127371</wp:posOffset>
                  </wp:positionV>
                  <wp:extent cx="1916430" cy="2560244"/>
                  <wp:effectExtent l="0" t="0" r="762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6430" cy="2560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A3F">
              <w:rPr>
                <w:noProof/>
                <w:lang w:val="es-419" w:eastAsia="es-419"/>
              </w:rPr>
              <w:drawing>
                <wp:anchor distT="0" distB="0" distL="114300" distR="114300" simplePos="0" relativeHeight="251698688" behindDoc="1" locked="0" layoutInCell="1" allowOverlap="1" wp14:anchorId="6AE303EF" wp14:editId="221AD958">
                  <wp:simplePos x="0" y="0"/>
                  <wp:positionH relativeFrom="column">
                    <wp:posOffset>2639060</wp:posOffset>
                  </wp:positionH>
                  <wp:positionV relativeFrom="paragraph">
                    <wp:posOffset>33655</wp:posOffset>
                  </wp:positionV>
                  <wp:extent cx="3102610" cy="2962275"/>
                  <wp:effectExtent l="0" t="0" r="2540" b="9525"/>
                  <wp:wrapTight wrapText="bothSides">
                    <wp:wrapPolygon edited="0">
                      <wp:start x="0" y="0"/>
                      <wp:lineTo x="0" y="21531"/>
                      <wp:lineTo x="21485" y="21531"/>
                      <wp:lineTo x="21485" y="0"/>
                      <wp:lineTo x="0"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261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013D" w:rsidRPr="008F2A3F" w:rsidRDefault="0043013D" w:rsidP="0043013D">
      <w:pPr>
        <w:rPr>
          <w:rFonts w:cs="Arial"/>
          <w:b/>
          <w:sz w:val="44"/>
          <w:szCs w:val="44"/>
          <w:lang w:val="es-ES_tradnl"/>
        </w:rPr>
      </w:pPr>
      <w:r w:rsidRPr="008F2A3F">
        <w:rPr>
          <w:i/>
          <w:sz w:val="28"/>
          <w:szCs w:val="28"/>
        </w:rPr>
        <w:lastRenderedPageBreak/>
        <w:t>Acción 2.</w:t>
      </w:r>
      <w:r w:rsidRPr="008F2A3F">
        <w:rPr>
          <w:b/>
          <w:sz w:val="36"/>
          <w:szCs w:val="36"/>
        </w:rPr>
        <w:t xml:space="preserve"> </w:t>
      </w:r>
      <w:r w:rsidRPr="008F2A3F">
        <w:rPr>
          <w:b/>
          <w:sz w:val="36"/>
          <w:szCs w:val="36"/>
        </w:rPr>
        <w:br/>
      </w:r>
      <w:r w:rsidRPr="008F2A3F">
        <w:rPr>
          <w:rFonts w:cs="Arial"/>
          <w:b/>
          <w:sz w:val="40"/>
          <w:szCs w:val="36"/>
        </w:rPr>
        <w:t>Actividades desarrolladas en los Espacios Territoriales de Capacitación y Reincorporación (ETCR)</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r w:rsidRPr="008F2A3F">
              <w:rPr>
                <w:b/>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sz w:val="24"/>
                <w:szCs w:val="24"/>
              </w:rPr>
            </w:pPr>
            <w:r w:rsidRPr="008F2A3F">
              <w:rPr>
                <w:rFonts w:cs="Arial"/>
                <w:sz w:val="24"/>
                <w:szCs w:val="24"/>
                <w:lang w:val="es-ES"/>
              </w:rPr>
              <w:t>En el Marco del Fin del Conflicto: a) Acciones de coordinación entre entidades. 2. Establecer necesidades para adelantar actividades. b) Acciones para las comunidades aledañas. c) Trámites administrativos para adquisición de predios con ANT. d) Entrega de listados de acreditados FARC por la OACP a la ARN. e) Censo socioeconómico para facilitar el proceso de reincorporación integral de FARC-EP.</w:t>
            </w:r>
          </w:p>
        </w:tc>
      </w:tr>
    </w:tbl>
    <w:p w:rsidR="0043013D" w:rsidRPr="008F2A3F" w:rsidRDefault="0043013D" w:rsidP="0043013D">
      <w:pPr>
        <w:spacing w:line="240" w:lineRule="auto"/>
        <w:jc w:val="both"/>
        <w:rPr>
          <w:sz w:val="24"/>
          <w:szCs w:val="24"/>
        </w:rPr>
      </w:pPr>
    </w:p>
    <w:p w:rsidR="0043013D" w:rsidRPr="008F2A3F" w:rsidRDefault="0043013D" w:rsidP="0043013D">
      <w:pPr>
        <w:spacing w:line="240" w:lineRule="auto"/>
        <w:jc w:val="both"/>
        <w:rPr>
          <w:sz w:val="24"/>
          <w:szCs w:val="24"/>
        </w:rPr>
      </w:pPr>
      <w:r w:rsidRPr="008F2A3F">
        <w:rPr>
          <w:sz w:val="24"/>
          <w:szCs w:val="24"/>
        </w:rPr>
        <w:t>Para dar cumplimiento a los compromisos acá relacionados, esta entidad tiene a cargo los siguientes productos del Plan Marco de Implementación.</w:t>
      </w:r>
    </w:p>
    <w:p w:rsidR="0043013D" w:rsidRPr="00EC0339" w:rsidRDefault="0043013D" w:rsidP="0043013D">
      <w:pPr>
        <w:spacing w:line="240" w:lineRule="auto"/>
        <w:jc w:val="both"/>
        <w:rPr>
          <w:rFonts w:cs="Arial"/>
          <w:color w:val="3366CC"/>
          <w:sz w:val="32"/>
          <w:szCs w:val="32"/>
          <w:u w:val="thick"/>
          <w:lang w:val="es-ES_tradnl"/>
        </w:rPr>
      </w:pPr>
      <w:r w:rsidRPr="00EC0339">
        <w:rPr>
          <w:rFonts w:cs="Arial"/>
          <w:color w:val="3366CC"/>
          <w:sz w:val="32"/>
          <w:szCs w:val="32"/>
          <w:u w:val="thick"/>
          <w:lang w:val="es-ES_tradnl"/>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663"/>
        <w:gridCol w:w="2320"/>
        <w:gridCol w:w="1921"/>
        <w:gridCol w:w="1028"/>
        <w:gridCol w:w="1027"/>
      </w:tblGrid>
      <w:tr w:rsidR="001F54B3" w:rsidRPr="008F2A3F" w:rsidTr="00E73961">
        <w:trPr>
          <w:trHeight w:val="400"/>
        </w:trPr>
        <w:tc>
          <w:tcPr>
            <w:tcW w:w="1486"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295"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1072"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74"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73"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1F54B3" w:rsidRPr="008F2A3F" w:rsidTr="00E73961">
        <w:trPr>
          <w:trHeight w:val="400"/>
        </w:trPr>
        <w:tc>
          <w:tcPr>
            <w:tcW w:w="1486"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 social y económica con base en el censo socioeconómico</w:t>
            </w:r>
          </w:p>
        </w:tc>
        <w:tc>
          <w:tcPr>
            <w:tcW w:w="1295"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 social y económica implementados</w:t>
            </w:r>
          </w:p>
        </w:tc>
        <w:tc>
          <w:tcPr>
            <w:tcW w:w="1072" w:type="pct"/>
            <w:shd w:val="clear" w:color="auto" w:fill="E8E8E8"/>
          </w:tcPr>
          <w:p w:rsidR="0043013D" w:rsidRPr="008F2A3F" w:rsidRDefault="0043013D" w:rsidP="00E73961">
            <w:pPr>
              <w:spacing w:after="0" w:line="240" w:lineRule="auto"/>
            </w:pPr>
            <w:r w:rsidRPr="008F2A3F">
              <w:t xml:space="preserve">Presidencia </w:t>
            </w:r>
          </w:p>
        </w:tc>
        <w:tc>
          <w:tcPr>
            <w:tcW w:w="574" w:type="pct"/>
            <w:shd w:val="clear" w:color="auto" w:fill="E8E8E8"/>
          </w:tcPr>
          <w:p w:rsidR="0043013D" w:rsidRPr="008F2A3F" w:rsidRDefault="0043013D" w:rsidP="00E73961">
            <w:pPr>
              <w:spacing w:after="0" w:line="240" w:lineRule="auto"/>
            </w:pPr>
            <w:r w:rsidRPr="008F2A3F">
              <w:t>2017</w:t>
            </w:r>
          </w:p>
        </w:tc>
        <w:tc>
          <w:tcPr>
            <w:tcW w:w="573" w:type="pct"/>
            <w:shd w:val="clear" w:color="auto" w:fill="E8E8E8"/>
          </w:tcPr>
          <w:p w:rsidR="0043013D" w:rsidRPr="008F2A3F" w:rsidRDefault="0043013D" w:rsidP="00E73961">
            <w:pPr>
              <w:spacing w:after="0" w:line="240" w:lineRule="auto"/>
            </w:pPr>
            <w:r w:rsidRPr="008F2A3F">
              <w:t>2026</w:t>
            </w:r>
          </w:p>
        </w:tc>
      </w:tr>
      <w:tr w:rsidR="001F54B3" w:rsidRPr="008F2A3F" w:rsidTr="00E73961">
        <w:trPr>
          <w:trHeight w:val="400"/>
        </w:trPr>
        <w:tc>
          <w:tcPr>
            <w:tcW w:w="1486" w:type="pct"/>
            <w:shd w:val="clear" w:color="auto" w:fill="E8E8E8"/>
          </w:tcPr>
          <w:p w:rsidR="00845800" w:rsidRPr="008F2A3F" w:rsidRDefault="00845800" w:rsidP="00845800">
            <w:pPr>
              <w:spacing w:after="0" w:line="240" w:lineRule="auto"/>
              <w:rPr>
                <w:rFonts w:cs="Arial"/>
                <w:lang w:val="es-ES_tradnl"/>
              </w:rPr>
            </w:pPr>
            <w:r w:rsidRPr="008F2A3F">
              <w:rPr>
                <w:rFonts w:cs="Arial"/>
                <w:lang w:val="es-ES_tradnl"/>
              </w:rPr>
              <w:t xml:space="preserve">Apoyo económico para proyectos productivos aprobados y </w:t>
            </w:r>
            <w:r w:rsidR="003329DD" w:rsidRPr="008F2A3F">
              <w:rPr>
                <w:rFonts w:cs="Arial"/>
                <w:lang w:val="es-ES_tradnl"/>
              </w:rPr>
              <w:t>|</w:t>
            </w:r>
            <w:r w:rsidRPr="008F2A3F">
              <w:rPr>
                <w:rFonts w:cs="Arial"/>
                <w:lang w:val="es-ES_tradnl"/>
              </w:rPr>
              <w:t>viabilizados</w:t>
            </w:r>
          </w:p>
          <w:p w:rsidR="00845800" w:rsidRPr="008F2A3F" w:rsidRDefault="00845800" w:rsidP="00845800">
            <w:pPr>
              <w:spacing w:after="0" w:line="240" w:lineRule="auto"/>
              <w:rPr>
                <w:rFonts w:cs="Arial"/>
                <w:lang w:val="es-ES_tradnl"/>
              </w:rPr>
            </w:pPr>
            <w:r w:rsidRPr="008F2A3F">
              <w:rPr>
                <w:rFonts w:cs="Arial"/>
                <w:lang w:val="es-ES_tradnl"/>
              </w:rPr>
              <w:lastRenderedPageBreak/>
              <w:t>por el CNR (8 millones de pesos por proyecto / única vez)</w:t>
            </w:r>
          </w:p>
        </w:tc>
        <w:tc>
          <w:tcPr>
            <w:tcW w:w="1295" w:type="pct"/>
            <w:shd w:val="clear" w:color="auto" w:fill="E8E8E8"/>
          </w:tcPr>
          <w:p w:rsidR="00845800" w:rsidRPr="008F2A3F" w:rsidRDefault="00845800" w:rsidP="00845800">
            <w:pPr>
              <w:spacing w:after="0" w:line="240" w:lineRule="auto"/>
              <w:rPr>
                <w:rFonts w:cs="Arial"/>
                <w:lang w:val="es-ES_tradnl"/>
              </w:rPr>
            </w:pPr>
            <w:r w:rsidRPr="008F2A3F">
              <w:rPr>
                <w:rFonts w:cs="Arial"/>
                <w:lang w:val="es-ES_tradnl"/>
              </w:rPr>
              <w:lastRenderedPageBreak/>
              <w:t xml:space="preserve">Porcentaje de integrantes de FARC- EP acreditados con proyecto productivo individual o colectivo </w:t>
            </w:r>
            <w:r w:rsidRPr="008F2A3F">
              <w:rPr>
                <w:rFonts w:cs="Arial"/>
                <w:lang w:val="es-ES_tradnl"/>
              </w:rPr>
              <w:lastRenderedPageBreak/>
              <w:t>viabilizado con  apoyo económico entregado</w:t>
            </w:r>
          </w:p>
        </w:tc>
        <w:tc>
          <w:tcPr>
            <w:tcW w:w="1072" w:type="pct"/>
            <w:shd w:val="clear" w:color="auto" w:fill="E8E8E8"/>
          </w:tcPr>
          <w:p w:rsidR="00845800" w:rsidRPr="008F2A3F" w:rsidRDefault="00845800" w:rsidP="00845800">
            <w:pPr>
              <w:spacing w:after="0" w:line="240" w:lineRule="auto"/>
            </w:pPr>
            <w:r w:rsidRPr="008F2A3F">
              <w:lastRenderedPageBreak/>
              <w:t>Presidencia</w:t>
            </w:r>
          </w:p>
        </w:tc>
        <w:tc>
          <w:tcPr>
            <w:tcW w:w="574" w:type="pct"/>
            <w:shd w:val="clear" w:color="auto" w:fill="E8E8E8"/>
          </w:tcPr>
          <w:p w:rsidR="00845800" w:rsidRPr="008F2A3F" w:rsidRDefault="00845800" w:rsidP="00845800">
            <w:pPr>
              <w:spacing w:after="0" w:line="240" w:lineRule="auto"/>
            </w:pPr>
            <w:r w:rsidRPr="008F2A3F">
              <w:t>2017</w:t>
            </w:r>
          </w:p>
        </w:tc>
        <w:tc>
          <w:tcPr>
            <w:tcW w:w="573" w:type="pct"/>
            <w:shd w:val="clear" w:color="auto" w:fill="E8E8E8"/>
          </w:tcPr>
          <w:p w:rsidR="00845800" w:rsidRPr="008F2A3F" w:rsidRDefault="00845800" w:rsidP="00845800">
            <w:pPr>
              <w:spacing w:after="0" w:line="240" w:lineRule="auto"/>
            </w:pPr>
            <w:r w:rsidRPr="008F2A3F">
              <w:t>2018</w:t>
            </w:r>
          </w:p>
        </w:tc>
      </w:tr>
      <w:tr w:rsidR="001F54B3" w:rsidRPr="008F2A3F" w:rsidTr="00E73961">
        <w:trPr>
          <w:trHeight w:val="400"/>
        </w:trPr>
        <w:tc>
          <w:tcPr>
            <w:tcW w:w="1486" w:type="pct"/>
            <w:tcBorders>
              <w:left w:val="nil"/>
              <w:right w:val="nil"/>
            </w:tcBorders>
            <w:shd w:val="clear" w:color="auto" w:fill="auto"/>
          </w:tcPr>
          <w:p w:rsidR="00845800" w:rsidRPr="008F2A3F" w:rsidRDefault="00845800" w:rsidP="00845800">
            <w:pPr>
              <w:spacing w:after="0" w:line="240" w:lineRule="auto"/>
            </w:pPr>
          </w:p>
        </w:tc>
        <w:tc>
          <w:tcPr>
            <w:tcW w:w="1295" w:type="pct"/>
            <w:tcBorders>
              <w:left w:val="nil"/>
              <w:right w:val="nil"/>
            </w:tcBorders>
          </w:tcPr>
          <w:p w:rsidR="00845800" w:rsidRPr="008F2A3F" w:rsidRDefault="00845800" w:rsidP="00845800">
            <w:pPr>
              <w:spacing w:after="0" w:line="240" w:lineRule="auto"/>
            </w:pPr>
          </w:p>
        </w:tc>
        <w:tc>
          <w:tcPr>
            <w:tcW w:w="1072" w:type="pct"/>
            <w:tcBorders>
              <w:left w:val="nil"/>
              <w:right w:val="nil"/>
            </w:tcBorders>
          </w:tcPr>
          <w:p w:rsidR="00845800" w:rsidRPr="008F2A3F" w:rsidRDefault="00845800" w:rsidP="00845800">
            <w:pPr>
              <w:spacing w:after="0" w:line="240" w:lineRule="auto"/>
            </w:pPr>
          </w:p>
        </w:tc>
        <w:tc>
          <w:tcPr>
            <w:tcW w:w="574" w:type="pct"/>
            <w:tcBorders>
              <w:left w:val="nil"/>
              <w:right w:val="nil"/>
            </w:tcBorders>
          </w:tcPr>
          <w:p w:rsidR="00845800" w:rsidRPr="008F2A3F" w:rsidRDefault="00845800" w:rsidP="00845800">
            <w:pPr>
              <w:spacing w:after="0" w:line="240" w:lineRule="auto"/>
            </w:pPr>
          </w:p>
        </w:tc>
        <w:tc>
          <w:tcPr>
            <w:tcW w:w="573" w:type="pct"/>
            <w:tcBorders>
              <w:left w:val="nil"/>
              <w:right w:val="nil"/>
            </w:tcBorders>
          </w:tcPr>
          <w:p w:rsidR="00845800" w:rsidRPr="008F2A3F" w:rsidRDefault="00845800" w:rsidP="00845800">
            <w:pPr>
              <w:spacing w:after="0" w:line="240" w:lineRule="auto"/>
            </w:pPr>
          </w:p>
        </w:tc>
      </w:tr>
    </w:tbl>
    <w:p w:rsidR="001F54B3" w:rsidRDefault="001F54B3" w:rsidP="001F54B3">
      <w:pPr>
        <w:spacing w:line="240" w:lineRule="auto"/>
        <w:jc w:val="both"/>
        <w:rPr>
          <w:color w:val="3366CC"/>
          <w:sz w:val="32"/>
          <w:szCs w:val="32"/>
          <w:u w:val="single"/>
        </w:rPr>
      </w:pPr>
      <w:r>
        <w:rPr>
          <w:color w:val="3366CC"/>
          <w:sz w:val="32"/>
          <w:szCs w:val="32"/>
          <w:u w:val="single"/>
        </w:rPr>
        <w:t>Actividades que se desarrollaron:</w:t>
      </w:r>
    </w:p>
    <w:tbl>
      <w:tblPr>
        <w:tblW w:w="8671"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260"/>
      </w:tblGrid>
      <w:tr w:rsidR="001F54B3" w:rsidRPr="008F2A3F" w:rsidTr="003B39AF">
        <w:trPr>
          <w:trHeight w:val="380"/>
          <w:tblHeader/>
        </w:trPr>
        <w:tc>
          <w:tcPr>
            <w:tcW w:w="2411"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260"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1F54B3" w:rsidRPr="008F2A3F" w:rsidTr="003B39AF">
        <w:trPr>
          <w:trHeight w:val="380"/>
        </w:trPr>
        <w:tc>
          <w:tcPr>
            <w:tcW w:w="2411" w:type="dxa"/>
            <w:tcBorders>
              <w:right w:val="nil"/>
            </w:tcBorders>
            <w:shd w:val="clear" w:color="auto" w:fill="auto"/>
          </w:tcPr>
          <w:p w:rsidR="0043013D" w:rsidRPr="008F2A3F" w:rsidRDefault="0043013D" w:rsidP="00E73961">
            <w:pPr>
              <w:spacing w:after="0" w:line="240" w:lineRule="auto"/>
              <w:rPr>
                <w:b/>
              </w:rPr>
            </w:pPr>
            <w:r w:rsidRPr="008F2A3F">
              <w:rPr>
                <w:b/>
              </w:rPr>
              <w:t>2019</w:t>
            </w:r>
          </w:p>
        </w:tc>
        <w:tc>
          <w:tcPr>
            <w:tcW w:w="6260" w:type="dxa"/>
            <w:tcBorders>
              <w:left w:val="nil"/>
              <w:right w:val="nil"/>
            </w:tcBorders>
            <w:shd w:val="clear" w:color="auto" w:fill="auto"/>
          </w:tcPr>
          <w:p w:rsidR="0043013D" w:rsidRPr="008F2A3F" w:rsidRDefault="0043013D" w:rsidP="005B6819">
            <w:pPr>
              <w:pStyle w:val="Prrafodelista"/>
              <w:numPr>
                <w:ilvl w:val="0"/>
                <w:numId w:val="8"/>
              </w:numPr>
              <w:spacing w:after="0" w:line="240" w:lineRule="auto"/>
              <w:rPr>
                <w:rFonts w:cs="Arial"/>
                <w:lang w:val="es-ES_tradnl"/>
              </w:rPr>
            </w:pPr>
            <w:r w:rsidRPr="008F2A3F">
              <w:rPr>
                <w:rFonts w:cs="Arial"/>
                <w:lang w:val="es-ES_tradnl"/>
              </w:rPr>
              <w:t>Formulación e implementación de Estrategia de Reincorporación Comunitaria.</w:t>
            </w:r>
          </w:p>
          <w:p w:rsidR="0043013D" w:rsidRPr="008F2A3F" w:rsidRDefault="0043013D" w:rsidP="005B6819">
            <w:pPr>
              <w:pStyle w:val="Prrafodelista"/>
              <w:numPr>
                <w:ilvl w:val="0"/>
                <w:numId w:val="8"/>
              </w:numPr>
              <w:spacing w:after="0" w:line="240" w:lineRule="auto"/>
              <w:rPr>
                <w:rFonts w:cs="Arial"/>
                <w:lang w:val="es-ES_tradnl"/>
              </w:rPr>
            </w:pPr>
            <w:r w:rsidRPr="008F2A3F">
              <w:rPr>
                <w:rFonts w:cs="Arial"/>
                <w:lang w:val="es-ES_tradnl"/>
              </w:rPr>
              <w:t xml:space="preserve"> Implementación del Programa Camino Diferencial de Vida para el acompañamiento a población sujeto de atención.</w:t>
            </w:r>
          </w:p>
          <w:p w:rsidR="0043013D" w:rsidRPr="008F2A3F" w:rsidRDefault="0043013D" w:rsidP="005B6819">
            <w:pPr>
              <w:pStyle w:val="Prrafodelista"/>
              <w:numPr>
                <w:ilvl w:val="0"/>
                <w:numId w:val="8"/>
              </w:numPr>
              <w:spacing w:after="0" w:line="240" w:lineRule="auto"/>
              <w:rPr>
                <w:rFonts w:cs="Arial"/>
                <w:lang w:val="es-ES_tradnl"/>
              </w:rPr>
            </w:pPr>
            <w:r w:rsidRPr="008F2A3F">
              <w:rPr>
                <w:rFonts w:cs="Arial"/>
                <w:lang w:val="es-ES_tradnl"/>
              </w:rPr>
              <w:t xml:space="preserve"> Ejercicios piloto para el diseño del programa Especial de Armonización para la Reintegración y Reincorporación Social y Económica con Enfoque Diferencial Étnico y de Género.</w:t>
            </w:r>
          </w:p>
          <w:p w:rsidR="0043013D" w:rsidRPr="008F2A3F" w:rsidRDefault="0043013D" w:rsidP="005B6819">
            <w:pPr>
              <w:pStyle w:val="Prrafodelista"/>
              <w:numPr>
                <w:ilvl w:val="0"/>
                <w:numId w:val="8"/>
              </w:numPr>
              <w:spacing w:after="0" w:line="240" w:lineRule="auto"/>
            </w:pPr>
            <w:r w:rsidRPr="008F2A3F">
              <w:rPr>
                <w:rFonts w:cs="Arial"/>
                <w:lang w:val="es-ES_tradnl"/>
              </w:rPr>
              <w:t>Proyectos productivos individuales o colectivo viabilizado con apoyo económico entregado.</w:t>
            </w:r>
          </w:p>
        </w:tc>
      </w:tr>
    </w:tbl>
    <w:p w:rsidR="0043013D" w:rsidRPr="008F2A3F" w:rsidRDefault="0043013D" w:rsidP="0043013D"/>
    <w:tbl>
      <w:tblPr>
        <w:tblW w:w="9214" w:type="dxa"/>
        <w:tblInd w:w="-6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8F2A3F" w:rsidRPr="008F2A3F" w:rsidTr="0052453A">
        <w:tc>
          <w:tcPr>
            <w:tcW w:w="9214" w:type="dxa"/>
            <w:shd w:val="clear" w:color="auto" w:fill="F2F2F2"/>
          </w:tcPr>
          <w:p w:rsidR="0043013D" w:rsidRPr="00F67B04" w:rsidRDefault="0043013D" w:rsidP="00E73961">
            <w:pPr>
              <w:spacing w:after="0" w:line="240" w:lineRule="auto"/>
              <w:ind w:left="-282" w:right="529" w:firstLine="282"/>
              <w:jc w:val="both"/>
              <w:rPr>
                <w:color w:val="3366CC"/>
                <w:sz w:val="32"/>
                <w:szCs w:val="32"/>
                <w:u w:val="single"/>
              </w:rPr>
            </w:pPr>
            <w:r w:rsidRPr="00F67B04">
              <w:rPr>
                <w:color w:val="3366CC"/>
                <w:sz w:val="32"/>
                <w:szCs w:val="32"/>
                <w:u w:val="single"/>
              </w:rPr>
              <w:t>¿Cómo se hizo?</w:t>
            </w:r>
          </w:p>
          <w:p w:rsidR="0043013D" w:rsidRPr="008F2A3F" w:rsidRDefault="0043013D" w:rsidP="00E73961">
            <w:pPr>
              <w:spacing w:after="0" w:line="240" w:lineRule="auto"/>
              <w:ind w:left="-282" w:right="529" w:firstLine="282"/>
              <w:jc w:val="both"/>
              <w:rPr>
                <w:i/>
              </w:rPr>
            </w:pPr>
          </w:p>
          <w:p w:rsidR="0043013D" w:rsidRPr="008F2A3F" w:rsidRDefault="0043013D" w:rsidP="00E73961">
            <w:pPr>
              <w:spacing w:after="0" w:line="240" w:lineRule="auto"/>
              <w:ind w:left="-282" w:right="529" w:firstLine="282"/>
              <w:jc w:val="both"/>
              <w:rPr>
                <w:b/>
                <w:i/>
              </w:rPr>
            </w:pPr>
            <w:r w:rsidRPr="008F2A3F">
              <w:rPr>
                <w:b/>
                <w:noProof/>
                <w:sz w:val="32"/>
                <w:lang w:val="es-419" w:eastAsia="es-419"/>
              </w:rPr>
              <w:drawing>
                <wp:anchor distT="0" distB="0" distL="114300" distR="114300" simplePos="0" relativeHeight="251700736" behindDoc="0" locked="0" layoutInCell="1" hidden="0" allowOverlap="1" wp14:anchorId="7B10BFA2" wp14:editId="4C94B2AC">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r w:rsidRPr="008F2A3F">
              <w:rPr>
                <w:b/>
                <w:i/>
              </w:rPr>
              <w:t>2019</w:t>
            </w:r>
          </w:p>
          <w:p w:rsidR="0043013D" w:rsidRPr="008F2A3F" w:rsidRDefault="0043013D" w:rsidP="00E73961">
            <w:pPr>
              <w:spacing w:after="0" w:line="240" w:lineRule="auto"/>
              <w:ind w:left="-282" w:right="529" w:firstLine="282"/>
              <w:jc w:val="both"/>
              <w:rPr>
                <w:i/>
              </w:rPr>
            </w:pPr>
          </w:p>
          <w:p w:rsidR="000B7FE8" w:rsidRPr="008F2A3F" w:rsidRDefault="000B7FE8" w:rsidP="005B6819">
            <w:pPr>
              <w:pStyle w:val="Prrafodelista"/>
              <w:numPr>
                <w:ilvl w:val="0"/>
                <w:numId w:val="30"/>
              </w:numPr>
              <w:spacing w:after="0" w:line="240" w:lineRule="auto"/>
              <w:rPr>
                <w:rFonts w:cs="Arial"/>
                <w:lang w:val="es-ES_tradnl"/>
              </w:rPr>
            </w:pPr>
            <w:r w:rsidRPr="008F2A3F">
              <w:rPr>
                <w:rFonts w:cs="Arial"/>
                <w:lang w:val="es-ES_tradnl"/>
              </w:rPr>
              <w:t>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rsidR="000B7FE8" w:rsidRPr="008F2A3F" w:rsidRDefault="000B7FE8" w:rsidP="000B7FE8">
            <w:pPr>
              <w:spacing w:after="0" w:line="240" w:lineRule="auto"/>
              <w:ind w:left="360"/>
              <w:jc w:val="both"/>
              <w:rPr>
                <w:rFonts w:cs="Arial"/>
                <w:b/>
                <w:lang w:val="es-ES_tradnl"/>
              </w:rPr>
            </w:pPr>
          </w:p>
          <w:p w:rsidR="0043013D" w:rsidRPr="008F2A3F" w:rsidRDefault="000B7FE8" w:rsidP="000B7FE8">
            <w:pPr>
              <w:spacing w:after="0" w:line="240" w:lineRule="auto"/>
              <w:ind w:left="360"/>
              <w:jc w:val="both"/>
              <w:rPr>
                <w:b/>
                <w:i/>
              </w:rPr>
            </w:pPr>
            <w:r w:rsidRPr="008F2A3F">
              <w:rPr>
                <w:rFonts w:cs="Arial"/>
                <w:b/>
                <w:lang w:val="es-ES_tradnl"/>
              </w:rPr>
              <w:t xml:space="preserve">a) </w:t>
            </w:r>
            <w:r w:rsidR="0043013D" w:rsidRPr="008F2A3F">
              <w:rPr>
                <w:rFonts w:cs="Arial"/>
                <w:b/>
                <w:lang w:val="es-ES_tradnl"/>
              </w:rPr>
              <w:t>Formulación e implementación de Estrategia de Reincorporación Comunitaria:</w:t>
            </w:r>
          </w:p>
          <w:p w:rsidR="0043013D" w:rsidRPr="008F2A3F" w:rsidRDefault="0043013D" w:rsidP="00E73961">
            <w:pPr>
              <w:pStyle w:val="Prrafodelista"/>
              <w:spacing w:after="0" w:line="240" w:lineRule="auto"/>
              <w:jc w:val="both"/>
              <w:rPr>
                <w:b/>
                <w:i/>
              </w:rPr>
            </w:pPr>
          </w:p>
          <w:p w:rsidR="0043013D" w:rsidRPr="008F2A3F" w:rsidRDefault="00514686" w:rsidP="00441283">
            <w:pPr>
              <w:spacing w:after="0" w:line="240" w:lineRule="auto"/>
              <w:jc w:val="both"/>
              <w:rPr>
                <w:rFonts w:cs="Arial"/>
                <w:lang w:val="es-ES_tradnl"/>
              </w:rPr>
            </w:pPr>
            <w:r w:rsidRPr="008F2A3F">
              <w:rPr>
                <w:rFonts w:cs="Arial"/>
                <w:lang w:val="es-ES_tradnl"/>
              </w:rPr>
              <w:t>E</w:t>
            </w:r>
            <w:r w:rsidR="0043013D" w:rsidRPr="008F2A3F">
              <w:rPr>
                <w:rFonts w:cs="Arial"/>
                <w:lang w:val="es-ES_tradnl"/>
              </w:rPr>
              <w:t xml:space="preserve">n el marco de la implementación de la estrategia se focalizaron </w:t>
            </w:r>
            <w:r w:rsidR="00EC6FBB" w:rsidRPr="008F2A3F">
              <w:rPr>
                <w:rFonts w:cs="Arial"/>
                <w:lang w:val="es-ES_tradnl"/>
              </w:rPr>
              <w:t xml:space="preserve"> 62</w:t>
            </w:r>
            <w:r w:rsidR="0043013D" w:rsidRPr="008F2A3F">
              <w:rPr>
                <w:rFonts w:cs="Arial"/>
                <w:lang w:val="es-ES_tradnl"/>
              </w:rPr>
              <w:t xml:space="preserve"> procesos comunitarios</w:t>
            </w:r>
            <w:r w:rsidR="00205366" w:rsidRPr="008F2A3F">
              <w:rPr>
                <w:rFonts w:cs="Arial"/>
                <w:lang w:val="es-ES_tradnl"/>
              </w:rPr>
              <w:t xml:space="preserve"> (</w:t>
            </w:r>
            <w:r w:rsidR="00EC6FBB" w:rsidRPr="008F2A3F">
              <w:rPr>
                <w:rFonts w:cs="Arial"/>
                <w:lang w:val="es-ES_tradnl"/>
              </w:rPr>
              <w:t xml:space="preserve"> 52</w:t>
            </w:r>
            <w:r w:rsidR="00205366" w:rsidRPr="008F2A3F">
              <w:rPr>
                <w:rFonts w:cs="Arial"/>
                <w:lang w:val="es-ES_tradnl"/>
              </w:rPr>
              <w:t xml:space="preserve"> Municipios, </w:t>
            </w:r>
            <w:r w:rsidR="0052453A" w:rsidRPr="008F2A3F">
              <w:rPr>
                <w:rFonts w:cs="Arial"/>
                <w:lang w:val="es-ES_tradnl"/>
              </w:rPr>
              <w:t>83</w:t>
            </w:r>
            <w:r w:rsidR="00205366" w:rsidRPr="008F2A3F">
              <w:rPr>
                <w:rFonts w:cs="Arial"/>
                <w:lang w:val="es-ES_tradnl"/>
              </w:rPr>
              <w:t>% Municipios PDET)</w:t>
            </w:r>
            <w:r w:rsidR="0043013D" w:rsidRPr="008F2A3F">
              <w:rPr>
                <w:rFonts w:cs="Arial"/>
                <w:lang w:val="es-ES_tradnl"/>
              </w:rPr>
              <w:t xml:space="preserve"> distribuidos en: 35 Modelos de Fortalecimiento Comunitario dirigidos a exintegrantes FARC-EP y miembros de las comunidades; </w:t>
            </w:r>
            <w:r w:rsidR="00EC6FBB" w:rsidRPr="008F2A3F">
              <w:rPr>
                <w:rFonts w:cs="Arial"/>
                <w:lang w:val="es-ES_tradnl"/>
              </w:rPr>
              <w:t>17</w:t>
            </w:r>
            <w:r w:rsidR="0043013D" w:rsidRPr="008F2A3F">
              <w:rPr>
                <w:rFonts w:cs="Arial"/>
                <w:lang w:val="es-ES_tradnl"/>
              </w:rPr>
              <w:t xml:space="preserve"> Iniciativas que constituyen entornos protectores para niños, niñas, adolescentes y jóvenes para la prevención temprana de su vinculación a grupos armados; y el desarrollo </w:t>
            </w:r>
            <w:r w:rsidR="0052453A" w:rsidRPr="008F2A3F">
              <w:rPr>
                <w:rFonts w:cs="Arial"/>
                <w:lang w:val="es-ES_tradnl"/>
              </w:rPr>
              <w:t xml:space="preserve">adicional </w:t>
            </w:r>
            <w:r w:rsidR="0043013D" w:rsidRPr="008F2A3F">
              <w:rPr>
                <w:rFonts w:cs="Arial"/>
                <w:lang w:val="es-ES_tradnl"/>
              </w:rPr>
              <w:t>de 10 acciones comunitarias con enfoque de género y derechos de las mujeres dirigidos a mujeres exintegrantes FARC-EP y de las comunidades.</w:t>
            </w:r>
            <w:r w:rsidR="0043013D" w:rsidRPr="008F2A3F">
              <w:t xml:space="preserve"> </w:t>
            </w:r>
            <w:r w:rsidR="0043013D" w:rsidRPr="008F2A3F">
              <w:rPr>
                <w:rFonts w:cs="Arial"/>
                <w:lang w:val="es-ES_tradnl"/>
              </w:rPr>
              <w:t>En el marco de estas estrategias, se realizó la selección de 16 mujeres lideresas en los escenarios de reincorporación, para la realización de actividades como dinamizadoras y gestoras de las agendas de incidencia de mujeres.</w:t>
            </w:r>
          </w:p>
          <w:p w:rsidR="0043013D" w:rsidRPr="008F2A3F" w:rsidRDefault="0043013D" w:rsidP="00E73961">
            <w:pPr>
              <w:pStyle w:val="Prrafodelista"/>
              <w:spacing w:after="0" w:line="240" w:lineRule="auto"/>
              <w:jc w:val="both"/>
              <w:rPr>
                <w:rFonts w:cs="Arial"/>
                <w:lang w:val="es-ES_tradnl"/>
              </w:rPr>
            </w:pPr>
          </w:p>
          <w:p w:rsidR="0043013D" w:rsidRPr="008F2A3F" w:rsidRDefault="0043013D" w:rsidP="00441283">
            <w:pPr>
              <w:spacing w:after="0" w:line="240" w:lineRule="auto"/>
              <w:jc w:val="both"/>
            </w:pPr>
            <w:r w:rsidRPr="008F2A3F">
              <w:rPr>
                <w:rFonts w:cs="Arial"/>
                <w:lang w:val="es-ES_tradnl"/>
              </w:rPr>
              <w:t xml:space="preserve">Para la ejecución de estos procesos se </w:t>
            </w:r>
            <w:r w:rsidRPr="008F2A3F">
              <w:t>suscribieron los contratos para la implementación de 62 procesos comunitarios p</w:t>
            </w:r>
            <w:r w:rsidR="00011E24" w:rsidRPr="008F2A3F">
              <w:t>or un valor de $ 11.199.206.294</w:t>
            </w:r>
            <w:r w:rsidRPr="008F2A3F">
              <w:t>, los cuales se desarrollan entre septiembre de 2019 y septiembre de 2020. Adicionalmente, se suscribió alianza entre ARN y el British Council por $1.976.246.729 para la implementación de una estrategia comunitaria con enfoque de género. Con el fin de fortalecer la visibilizarían de los proyectos comunitarios y agendas de incidencia construidas por las mujeres participantes, el 1 de noviembre se adicionaron $ 828.125.904, para un total de $ 2.805.372.633.</w:t>
            </w:r>
          </w:p>
          <w:p w:rsidR="0043013D" w:rsidRPr="008F2A3F" w:rsidRDefault="0043013D" w:rsidP="00E73961">
            <w:pPr>
              <w:pStyle w:val="Prrafodelista"/>
              <w:spacing w:after="0" w:line="240" w:lineRule="auto"/>
              <w:jc w:val="both"/>
              <w:rPr>
                <w:b/>
              </w:rPr>
            </w:pPr>
          </w:p>
          <w:p w:rsidR="0043013D" w:rsidRPr="008F2A3F" w:rsidRDefault="0043013D" w:rsidP="005B6819">
            <w:pPr>
              <w:pStyle w:val="Prrafodelista"/>
              <w:numPr>
                <w:ilvl w:val="0"/>
                <w:numId w:val="31"/>
              </w:numPr>
              <w:spacing w:after="0" w:line="240" w:lineRule="auto"/>
              <w:jc w:val="both"/>
              <w:rPr>
                <w:b/>
              </w:rPr>
            </w:pPr>
            <w:r w:rsidRPr="008F2A3F">
              <w:rPr>
                <w:b/>
              </w:rPr>
              <w:t>Implementación del Programa Camino Diferencial de Vida</w:t>
            </w:r>
          </w:p>
          <w:p w:rsidR="0043013D" w:rsidRPr="008F2A3F" w:rsidRDefault="0043013D" w:rsidP="00E73961">
            <w:pPr>
              <w:pStyle w:val="Prrafodelista"/>
              <w:spacing w:after="0" w:line="240" w:lineRule="auto"/>
              <w:jc w:val="both"/>
              <w:rPr>
                <w:b/>
              </w:rPr>
            </w:pPr>
          </w:p>
          <w:p w:rsidR="0043013D" w:rsidRPr="008F2A3F" w:rsidRDefault="0043013D" w:rsidP="0026694B">
            <w:pPr>
              <w:spacing w:after="0" w:line="240" w:lineRule="auto"/>
              <w:jc w:val="both"/>
            </w:pPr>
            <w:r w:rsidRPr="008F2A3F">
              <w:t>El programa contempla las siguientes líneas de apoyo:</w:t>
            </w:r>
          </w:p>
          <w:p w:rsidR="0043013D" w:rsidRPr="008F2A3F" w:rsidRDefault="0043013D" w:rsidP="00E73961">
            <w:pPr>
              <w:pStyle w:val="Prrafodelista"/>
              <w:spacing w:after="0" w:line="240" w:lineRule="auto"/>
              <w:jc w:val="both"/>
            </w:pPr>
          </w:p>
          <w:p w:rsidR="0043013D" w:rsidRPr="008F2A3F" w:rsidRDefault="0043013D" w:rsidP="005B6819">
            <w:pPr>
              <w:pStyle w:val="Prrafodelista"/>
              <w:numPr>
                <w:ilvl w:val="0"/>
                <w:numId w:val="7"/>
              </w:numPr>
              <w:spacing w:after="0" w:line="240" w:lineRule="auto"/>
              <w:jc w:val="both"/>
            </w:pPr>
            <w:r w:rsidRPr="008F2A3F">
              <w:t>Acompañamiento familiar y redes de apoyo</w:t>
            </w:r>
          </w:p>
          <w:p w:rsidR="0043013D" w:rsidRPr="008F2A3F" w:rsidRDefault="0043013D" w:rsidP="005B6819">
            <w:pPr>
              <w:pStyle w:val="Prrafodelista"/>
              <w:numPr>
                <w:ilvl w:val="0"/>
                <w:numId w:val="7"/>
              </w:numPr>
              <w:spacing w:after="0" w:line="240" w:lineRule="auto"/>
              <w:jc w:val="both"/>
            </w:pPr>
            <w:r w:rsidRPr="008F2A3F">
              <w:t>Salud y sexualidad responsable</w:t>
            </w:r>
          </w:p>
          <w:p w:rsidR="0043013D" w:rsidRPr="008F2A3F" w:rsidRDefault="0043013D" w:rsidP="005B6819">
            <w:pPr>
              <w:pStyle w:val="Prrafodelista"/>
              <w:numPr>
                <w:ilvl w:val="0"/>
                <w:numId w:val="7"/>
              </w:numPr>
              <w:spacing w:after="0" w:line="240" w:lineRule="auto"/>
              <w:jc w:val="both"/>
            </w:pPr>
            <w:r w:rsidRPr="008F2A3F">
              <w:t>Formación académica y laboral</w:t>
            </w:r>
          </w:p>
          <w:p w:rsidR="0043013D" w:rsidRPr="008F2A3F" w:rsidRDefault="0043013D" w:rsidP="005B6819">
            <w:pPr>
              <w:pStyle w:val="Prrafodelista"/>
              <w:numPr>
                <w:ilvl w:val="0"/>
                <w:numId w:val="7"/>
              </w:numPr>
              <w:spacing w:after="0" w:line="240" w:lineRule="auto"/>
              <w:jc w:val="both"/>
            </w:pPr>
            <w:r w:rsidRPr="008F2A3F">
              <w:t>Manejo del recurso económico</w:t>
            </w:r>
          </w:p>
          <w:p w:rsidR="0043013D" w:rsidRPr="008F2A3F" w:rsidRDefault="0043013D" w:rsidP="005B6819">
            <w:pPr>
              <w:pStyle w:val="Prrafodelista"/>
              <w:numPr>
                <w:ilvl w:val="0"/>
                <w:numId w:val="7"/>
              </w:numPr>
              <w:spacing w:after="0" w:line="240" w:lineRule="auto"/>
              <w:jc w:val="both"/>
            </w:pPr>
            <w:r w:rsidRPr="008F2A3F">
              <w:t>Escenarios de participación</w:t>
            </w:r>
          </w:p>
          <w:p w:rsidR="0043013D" w:rsidRPr="008F2A3F" w:rsidRDefault="0043013D" w:rsidP="005B6819">
            <w:pPr>
              <w:pStyle w:val="Prrafodelista"/>
              <w:numPr>
                <w:ilvl w:val="0"/>
                <w:numId w:val="7"/>
              </w:numPr>
              <w:spacing w:after="0" w:line="240" w:lineRule="auto"/>
              <w:jc w:val="both"/>
            </w:pPr>
            <w:r w:rsidRPr="008F2A3F">
              <w:t>Acompañamiento tramite libreta militar y 4 proyectos específicos para la población desarrollados durante el 2019.</w:t>
            </w:r>
          </w:p>
          <w:p w:rsidR="0043013D" w:rsidRPr="008F2A3F" w:rsidRDefault="0043013D" w:rsidP="00E73961">
            <w:pPr>
              <w:pStyle w:val="Prrafodelista"/>
              <w:spacing w:after="0" w:line="240" w:lineRule="auto"/>
              <w:ind w:left="1440"/>
              <w:jc w:val="both"/>
            </w:pPr>
          </w:p>
          <w:p w:rsidR="0043013D" w:rsidRPr="008F2A3F" w:rsidRDefault="0043013D" w:rsidP="0026694B">
            <w:pPr>
              <w:spacing w:after="0" w:line="240" w:lineRule="auto"/>
              <w:jc w:val="both"/>
            </w:pPr>
            <w:r w:rsidRPr="008F2A3F">
              <w:t>Adicionalmente en el transcurso del año se realizaron 2 encuentros nacionales de orientadores y facilitadores que realizan acompañamiento al programa para el fortalecimiento del mismo.</w:t>
            </w:r>
          </w:p>
          <w:p w:rsidR="0043013D" w:rsidRPr="008F2A3F" w:rsidRDefault="0043013D" w:rsidP="00E73961">
            <w:pPr>
              <w:pStyle w:val="Prrafodelista"/>
              <w:spacing w:after="0" w:line="240" w:lineRule="auto"/>
              <w:jc w:val="both"/>
            </w:pPr>
          </w:p>
          <w:p w:rsidR="0043013D" w:rsidRPr="008F2A3F" w:rsidRDefault="0043013D" w:rsidP="005B6819">
            <w:pPr>
              <w:pStyle w:val="Prrafodelista"/>
              <w:numPr>
                <w:ilvl w:val="0"/>
                <w:numId w:val="31"/>
              </w:numPr>
              <w:spacing w:after="0" w:line="240" w:lineRule="auto"/>
              <w:jc w:val="both"/>
              <w:rPr>
                <w:b/>
              </w:rPr>
            </w:pPr>
            <w:r w:rsidRPr="008F2A3F">
              <w:rPr>
                <w:rFonts w:cs="Arial"/>
                <w:b/>
                <w:lang w:val="es-ES_tradnl"/>
              </w:rPr>
              <w:t>Ejercicios piloto para el diseño del programa Especial de Armonización para la Reintegración y Reincorporación Social y Económica con Enfoque Diferencial Étnico y de Género.</w:t>
            </w:r>
          </w:p>
          <w:p w:rsidR="0043013D" w:rsidRPr="008F2A3F" w:rsidRDefault="0043013D" w:rsidP="00E73961">
            <w:pPr>
              <w:pStyle w:val="Prrafodelista"/>
              <w:spacing w:after="0" w:line="240" w:lineRule="auto"/>
              <w:jc w:val="both"/>
              <w:rPr>
                <w:rFonts w:cs="Arial"/>
                <w:b/>
                <w:lang w:val="es-ES_tradnl"/>
              </w:rPr>
            </w:pPr>
          </w:p>
          <w:p w:rsidR="0043013D" w:rsidRPr="008F2A3F" w:rsidRDefault="0043013D" w:rsidP="0026694B">
            <w:pPr>
              <w:autoSpaceDE w:val="0"/>
              <w:autoSpaceDN w:val="0"/>
              <w:spacing w:after="0" w:line="240" w:lineRule="auto"/>
            </w:pPr>
            <w:r w:rsidRPr="008F2A3F">
              <w:t>Durante la vigencia 2019 se adelantaron encuentros previos con la Instancia Especial de Alto Nivel de Pueblos</w:t>
            </w:r>
            <w:r w:rsidR="003235A1" w:rsidRPr="008F2A3F">
              <w:t xml:space="preserve"> y Comunidades Étnicas –IEANPE-:</w:t>
            </w:r>
            <w:r w:rsidRPr="008F2A3F">
              <w:t xml:space="preserve"> Estos encuentros tuvieron como propósito socializar el contexto de Política Pública en el que surge el Programa de Armonización, sus avances y experiencias significativas que pueden contribuir a su formulación y concertación. Así como recoger recomendaciones generales para los lineamientos del Programa y priorizar los territorios en los que se realizarían los ejercicios piloto de recolección de información.</w:t>
            </w:r>
          </w:p>
          <w:p w:rsidR="0043013D" w:rsidRPr="008F2A3F" w:rsidRDefault="0043013D" w:rsidP="00E73961">
            <w:pPr>
              <w:spacing w:after="0" w:line="240" w:lineRule="auto"/>
              <w:ind w:left="708"/>
            </w:pPr>
          </w:p>
          <w:p w:rsidR="0043013D" w:rsidRPr="008F2A3F" w:rsidRDefault="0043013D" w:rsidP="0026694B">
            <w:pPr>
              <w:spacing w:after="0" w:line="240" w:lineRule="auto"/>
              <w:rPr>
                <w:rFonts w:asciiTheme="minorHAnsi" w:hAnsiTheme="minorHAnsi" w:cstheme="minorHAnsi"/>
                <w:iCs/>
              </w:rPr>
            </w:pPr>
            <w:r w:rsidRPr="008F2A3F">
              <w:t xml:space="preserve">En cada uno de estos territorios se desarrollaron talleres con la participación </w:t>
            </w:r>
            <w:r w:rsidRPr="008F2A3F">
              <w:rPr>
                <w:iCs/>
              </w:rPr>
              <w:t xml:space="preserve">de autoridades indígenas, comunidades y personas en reincorporación </w:t>
            </w:r>
            <w:r w:rsidRPr="008F2A3F">
              <w:t>claves para el desarrollo del proceso de consulta previa y fortalecer capacidades de los excombatientes para el reconocimiento y ejercicio de los derechos de las comunidades</w:t>
            </w:r>
            <w:r w:rsidRPr="008F2A3F">
              <w:rPr>
                <w:rFonts w:asciiTheme="minorHAnsi" w:hAnsiTheme="minorHAnsi" w:cstheme="minorHAnsi"/>
                <w:iCs/>
              </w:rPr>
              <w:t xml:space="preserve"> étnicas en el país. </w:t>
            </w:r>
          </w:p>
          <w:p w:rsidR="0043013D" w:rsidRPr="008F2A3F" w:rsidRDefault="0043013D" w:rsidP="00E73961">
            <w:pPr>
              <w:spacing w:after="0" w:line="240" w:lineRule="auto"/>
              <w:ind w:left="708"/>
              <w:rPr>
                <w:rFonts w:asciiTheme="minorHAnsi" w:hAnsiTheme="minorHAnsi" w:cstheme="minorHAnsi"/>
                <w:iCs/>
              </w:rPr>
            </w:pPr>
          </w:p>
          <w:p w:rsidR="0043013D" w:rsidRPr="008F2A3F" w:rsidRDefault="0043013D" w:rsidP="0026694B">
            <w:pPr>
              <w:spacing w:after="0" w:line="240" w:lineRule="auto"/>
              <w:rPr>
                <w:rFonts w:asciiTheme="minorHAnsi" w:hAnsiTheme="minorHAnsi" w:cstheme="minorHAnsi"/>
                <w:iCs/>
              </w:rPr>
            </w:pPr>
            <w:r w:rsidRPr="008F2A3F">
              <w:rPr>
                <w:rFonts w:asciiTheme="minorHAnsi" w:hAnsiTheme="minorHAnsi" w:cstheme="minorHAnsi"/>
                <w:iCs/>
              </w:rPr>
              <w:t xml:space="preserve">Así mismo, los insumos recolectados en estos escenarios resultan relevantes para nutrir la formulación del Programa Especial de Armonización establecido en el marco del Acuerdo y recogido en compromisos específicos en el Conpes 3931 </w:t>
            </w:r>
            <w:r w:rsidR="00787FD7" w:rsidRPr="008F2A3F">
              <w:rPr>
                <w:rFonts w:asciiTheme="minorHAnsi" w:hAnsiTheme="minorHAnsi" w:cstheme="minorHAnsi"/>
                <w:iCs/>
              </w:rPr>
              <w:t xml:space="preserve">de la Política Nacional para la Reincorporación social y económica de ex integrantes de las Farc-EP </w:t>
            </w:r>
            <w:r w:rsidRPr="008F2A3F">
              <w:rPr>
                <w:rFonts w:asciiTheme="minorHAnsi" w:hAnsiTheme="minorHAnsi" w:cstheme="minorHAnsi"/>
                <w:iCs/>
              </w:rPr>
              <w:t>y el Plan Nacional de Desarrollo</w:t>
            </w:r>
            <w:r w:rsidR="00787FD7" w:rsidRPr="008F2A3F">
              <w:rPr>
                <w:rFonts w:asciiTheme="minorHAnsi" w:hAnsiTheme="minorHAnsi" w:cstheme="minorHAnsi"/>
                <w:iCs/>
              </w:rPr>
              <w:t xml:space="preserve"> 2018-2022</w:t>
            </w:r>
            <w:r w:rsidRPr="008F2A3F">
              <w:rPr>
                <w:rFonts w:asciiTheme="minorHAnsi" w:hAnsiTheme="minorHAnsi" w:cstheme="minorHAnsi"/>
                <w:iCs/>
              </w:rPr>
              <w:t xml:space="preserve">. </w:t>
            </w:r>
          </w:p>
          <w:p w:rsidR="0043013D" w:rsidRPr="008F2A3F" w:rsidRDefault="0043013D" w:rsidP="00E73961">
            <w:pPr>
              <w:spacing w:after="0" w:line="240" w:lineRule="auto"/>
              <w:ind w:left="360"/>
              <w:rPr>
                <w:rFonts w:asciiTheme="minorHAnsi" w:hAnsiTheme="minorHAnsi" w:cstheme="minorHAnsi"/>
                <w:iCs/>
              </w:rPr>
            </w:pPr>
          </w:p>
          <w:p w:rsidR="0043013D" w:rsidRPr="008F2A3F" w:rsidRDefault="0043013D" w:rsidP="005B6819">
            <w:pPr>
              <w:pStyle w:val="Prrafodelista"/>
              <w:numPr>
                <w:ilvl w:val="0"/>
                <w:numId w:val="30"/>
              </w:numPr>
              <w:rPr>
                <w:rFonts w:asciiTheme="minorHAnsi" w:hAnsiTheme="minorHAnsi" w:cstheme="minorHAnsi"/>
                <w:b/>
                <w:iCs/>
              </w:rPr>
            </w:pPr>
            <w:r w:rsidRPr="008F2A3F">
              <w:rPr>
                <w:rFonts w:asciiTheme="minorHAnsi" w:hAnsiTheme="minorHAnsi" w:cstheme="minorHAnsi"/>
                <w:b/>
                <w:iCs/>
              </w:rPr>
              <w:t>Proyectos productivos individuales o colectivo viabilizados con apoyo económico entregado.</w:t>
            </w:r>
          </w:p>
          <w:p w:rsidR="00125EBF" w:rsidRPr="008F2A3F" w:rsidRDefault="00125EBF" w:rsidP="00125EBF">
            <w:pPr>
              <w:pStyle w:val="Textocomentario"/>
              <w:rPr>
                <w:rFonts w:cs="Calibri"/>
                <w:sz w:val="22"/>
                <w:szCs w:val="22"/>
              </w:rPr>
            </w:pPr>
            <w:r w:rsidRPr="008F2A3F">
              <w:rPr>
                <w:rFonts w:asciiTheme="minorHAnsi" w:eastAsia="Calibri" w:hAnsiTheme="minorHAnsi" w:cstheme="minorHAnsi"/>
                <w:iCs/>
                <w:sz w:val="22"/>
                <w:szCs w:val="22"/>
                <w:lang w:val="es-CO"/>
              </w:rPr>
              <w:t xml:space="preserve">A </w:t>
            </w:r>
            <w:r w:rsidR="00386969" w:rsidRPr="008F2A3F">
              <w:rPr>
                <w:rFonts w:asciiTheme="minorHAnsi" w:eastAsia="Calibri" w:hAnsiTheme="minorHAnsi" w:cstheme="minorHAnsi"/>
                <w:iCs/>
                <w:sz w:val="22"/>
                <w:szCs w:val="22"/>
                <w:lang w:val="es-CO"/>
              </w:rPr>
              <w:t xml:space="preserve">31 de </w:t>
            </w:r>
            <w:r w:rsidRPr="008F2A3F">
              <w:rPr>
                <w:rFonts w:asciiTheme="minorHAnsi" w:eastAsia="Calibri" w:hAnsiTheme="minorHAnsi" w:cstheme="minorHAnsi"/>
                <w:iCs/>
                <w:sz w:val="22"/>
                <w:szCs w:val="22"/>
                <w:lang w:val="es-CO"/>
              </w:rPr>
              <w:t xml:space="preserve">diciembre del 2019, se tiene un acumulado de 3.176 excombatientes con proyecto productivo desembolsado, donde 812 son mujeres y 2.364 son hombres, </w:t>
            </w:r>
            <w:r w:rsidRPr="008F2A3F">
              <w:rPr>
                <w:rFonts w:eastAsia="Calibri" w:cs="Calibri"/>
                <w:iCs/>
                <w:sz w:val="22"/>
                <w:szCs w:val="22"/>
                <w:lang w:val="es-CO"/>
              </w:rPr>
              <w:t>correspondientes a 883 proyectos individuales y 43 proyectos colectivos por un valor total de $25.385.948.780 d</w:t>
            </w:r>
            <w:r w:rsidRPr="008F2A3F">
              <w:rPr>
                <w:rFonts w:cs="Calibri"/>
                <w:sz w:val="22"/>
                <w:szCs w:val="22"/>
              </w:rPr>
              <w:t>e recursos del Presupuesto General de la Nación (PGN) y $6.154.553.023 de otras fuentes, para un total de $31.540.501.803</w:t>
            </w:r>
            <w:r w:rsidRPr="008F2A3F">
              <w:rPr>
                <w:rStyle w:val="Refdenotaalpie"/>
                <w:rFonts w:cs="Calibri"/>
                <w:sz w:val="22"/>
                <w:szCs w:val="22"/>
              </w:rPr>
              <w:footnoteReference w:id="4"/>
            </w:r>
            <w:r w:rsidRPr="008F2A3F">
              <w:rPr>
                <w:rFonts w:cs="Calibri"/>
                <w:sz w:val="22"/>
                <w:szCs w:val="22"/>
              </w:rPr>
              <w:t>.</w:t>
            </w:r>
          </w:p>
          <w:p w:rsidR="0032147F" w:rsidRPr="008F2A3F" w:rsidRDefault="0032147F" w:rsidP="0032147F">
            <w:pPr>
              <w:rPr>
                <w:rFonts w:cs="Calibri"/>
              </w:rPr>
            </w:pPr>
            <w:r w:rsidRPr="008F2A3F">
              <w:rPr>
                <w:rFonts w:cs="Calibri"/>
              </w:rPr>
              <w:lastRenderedPageBreak/>
              <w:t>En el año 2018 se desembolsaron 7 proyectos colectivos, beneficiando a 317 personas por un valor de $2.536.000.000 y 28 proyectos individuales, beneficiando a 31 personas por un valor de $247.898.650.</w:t>
            </w:r>
          </w:p>
          <w:p w:rsidR="00703E9D" w:rsidRPr="008F2A3F" w:rsidRDefault="00386969">
            <w:pPr>
              <w:rPr>
                <w:rFonts w:cs="Calibri"/>
              </w:rPr>
            </w:pPr>
            <w:r w:rsidRPr="008F2A3F">
              <w:rPr>
                <w:rFonts w:cs="Calibri"/>
                <w:iCs/>
              </w:rPr>
              <w:t xml:space="preserve">En el año </w:t>
            </w:r>
            <w:r w:rsidR="00437A11" w:rsidRPr="008F2A3F">
              <w:rPr>
                <w:rFonts w:cs="Calibri"/>
                <w:iCs/>
              </w:rPr>
              <w:t xml:space="preserve">2019 </w:t>
            </w:r>
            <w:r w:rsidR="00703E9D" w:rsidRPr="008F2A3F">
              <w:rPr>
                <w:rFonts w:cs="Calibri"/>
              </w:rPr>
              <w:t>se desembolsaron proyectos productivos a 2.828 personas donde 704 son mujeres y 2.124 son hombres, correspondientes a 36 proyectos colectivos, beneficiando a 1.829 personas por un valor de $14.632.000.000 y 855 proyectos individuales, beneficiando a 999 personas por un valor de $7.970.050.130</w:t>
            </w:r>
            <w:r w:rsidR="00AB3A21" w:rsidRPr="008F2A3F">
              <w:rPr>
                <w:rFonts w:cs="Calibri"/>
              </w:rPr>
              <w:t>.</w:t>
            </w:r>
          </w:p>
          <w:p w:rsidR="00125EBF" w:rsidRPr="008F2A3F" w:rsidRDefault="0043013D" w:rsidP="0026694B">
            <w:pPr>
              <w:rPr>
                <w:rFonts w:asciiTheme="minorHAnsi" w:hAnsiTheme="minorHAnsi" w:cstheme="minorHAnsi"/>
                <w:iCs/>
              </w:rPr>
            </w:pPr>
            <w:r w:rsidRPr="008F2A3F">
              <w:rPr>
                <w:rFonts w:cs="Calibri"/>
                <w:iCs/>
              </w:rPr>
              <w:t>Para lograr los resultados anteriores se desarrollaron acciones articuladas con aliados estratégicos como</w:t>
            </w:r>
            <w:r w:rsidRPr="008F2A3F">
              <w:rPr>
                <w:rFonts w:cs="Calibri"/>
              </w:rPr>
              <w:t xml:space="preserve"> </w:t>
            </w:r>
            <w:r w:rsidRPr="008F2A3F">
              <w:rPr>
                <w:rFonts w:cs="Calibri"/>
                <w:iCs/>
              </w:rPr>
              <w:t>Ministerio de Agricultura y Desarrollo Rural (MADR), la Unidad de Planificación Rural Agropecuaria (UPRA), la Agencia Nacional de Tierras (ANT), la Agencia de Desarrollo Rural (ADR), Autoridad Nacional de Acuicultura y Pesca (AUNAP), el Instituto Colombiano Agropecuario (ICA), la Agencia de Renovación del Territorio (ART), el Instituto Geográfico Agustín Codazzi (IGAC), la Sociedad de Activos Especiales (SAE), las Corporaciones Autónomas Regionales (CAR), el Instituto Nacional de Vigilancia de Medicamentos y Alimentos (INVIMA), el Servicio Nacional de Aprendizaje (SENA), las Cámaras de Comercio, la Unidad Administrativa Especi</w:t>
            </w:r>
            <w:r w:rsidRPr="008F2A3F">
              <w:rPr>
                <w:rFonts w:asciiTheme="minorHAnsi" w:hAnsiTheme="minorHAnsi" w:cstheme="minorHAnsi"/>
                <w:iCs/>
              </w:rPr>
              <w:t>al de Organizaciones Solidarias (UAEOS), ECOMUN; y el acompañamiento de Organizaciones de Cooperación Internacional, tales como ONU, PNUD, OIM, Consejo Noruego para los Refugiados, Unión Europea, empresas privadas, universidades, entidades territoriales y gubernamentales, Consejería, entre otros.</w:t>
            </w:r>
          </w:p>
          <w:p w:rsidR="0043013D" w:rsidRPr="008F2A3F" w:rsidRDefault="00F65221" w:rsidP="00DA0F3F">
            <w:pPr>
              <w:rPr>
                <w:i/>
              </w:rPr>
            </w:pPr>
            <w:r w:rsidRPr="008F2A3F">
              <w:t>Se cuentan con cinco líneas de cooperación de diferentes cooperantes que benefician a 2.808 personas en reincorporación, fortaleciendo iniciativas productivas en el territorio. Estas iniciativas no tienen el carácter de proyectos productivos colectivos de acuerdo a la normativa de la agencia</w:t>
            </w:r>
            <w:r w:rsidR="0052453A" w:rsidRPr="008F2A3F">
              <w:t>.</w:t>
            </w:r>
            <w:r w:rsidR="000B7A88" w:rsidRPr="008F2A3F">
              <w:rPr>
                <w:rFonts w:asciiTheme="minorHAnsi" w:hAnsiTheme="minorHAnsi" w:cstheme="minorHAnsi"/>
                <w:iCs/>
              </w:rPr>
              <w:t xml:space="preserve"> </w:t>
            </w:r>
          </w:p>
        </w:tc>
      </w:tr>
      <w:tr w:rsidR="008F2A3F" w:rsidRPr="008F2A3F" w:rsidTr="0052453A">
        <w:tc>
          <w:tcPr>
            <w:tcW w:w="9214" w:type="dxa"/>
            <w:shd w:val="clear" w:color="auto" w:fill="F2F2F2"/>
          </w:tcPr>
          <w:p w:rsidR="0043013D" w:rsidRPr="00F67B04" w:rsidRDefault="0043013D" w:rsidP="00E73961">
            <w:pPr>
              <w:spacing w:after="0" w:line="240" w:lineRule="auto"/>
              <w:jc w:val="both"/>
              <w:rPr>
                <w:color w:val="3366CC"/>
                <w:sz w:val="32"/>
                <w:u w:val="single"/>
              </w:rPr>
            </w:pPr>
            <w:r w:rsidRPr="00F67B04">
              <w:rPr>
                <w:color w:val="3366CC"/>
                <w:sz w:val="32"/>
                <w:u w:val="single"/>
              </w:rPr>
              <w:lastRenderedPageBreak/>
              <w:t xml:space="preserve">¿Quiénes se beneficiaron? </w:t>
            </w:r>
            <w:r w:rsidRPr="00F67B04">
              <w:rPr>
                <w:noProof/>
                <w:color w:val="3366CC"/>
                <w:sz w:val="32"/>
                <w:u w:val="single"/>
                <w:lang w:val="es-419" w:eastAsia="es-419"/>
              </w:rPr>
              <w:drawing>
                <wp:anchor distT="0" distB="0" distL="114300" distR="114300" simplePos="0" relativeHeight="251701760" behindDoc="0" locked="0" layoutInCell="1" hidden="0" allowOverlap="1" wp14:anchorId="7F973E08" wp14:editId="6833B908">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after="0" w:line="240" w:lineRule="auto"/>
              <w:jc w:val="both"/>
              <w:rPr>
                <w:sz w:val="24"/>
                <w:szCs w:val="24"/>
              </w:rPr>
            </w:pPr>
            <w:r w:rsidRPr="008F2A3F">
              <w:rPr>
                <w:sz w:val="24"/>
                <w:szCs w:val="24"/>
              </w:rPr>
              <w:t>2019</w:t>
            </w:r>
          </w:p>
          <w:p w:rsidR="00DA0F3F" w:rsidRPr="008F2A3F" w:rsidRDefault="00DA0F3F" w:rsidP="005B6819">
            <w:pPr>
              <w:pStyle w:val="Prrafodelista"/>
              <w:numPr>
                <w:ilvl w:val="0"/>
                <w:numId w:val="33"/>
              </w:numPr>
              <w:spacing w:after="0" w:line="240" w:lineRule="auto"/>
              <w:jc w:val="both"/>
              <w:rPr>
                <w:rFonts w:cs="Arial"/>
                <w:lang w:val="es-ES_tradnl"/>
              </w:rPr>
            </w:pPr>
            <w:r w:rsidRPr="008F2A3F">
              <w:rPr>
                <w:rFonts w:cs="Arial"/>
                <w:lang w:val="es-ES_tradnl"/>
              </w:rPr>
              <w:t>Los 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rsidR="00DA0F3F" w:rsidRPr="008F2A3F" w:rsidRDefault="00DA0F3F" w:rsidP="00E73961">
            <w:pPr>
              <w:spacing w:after="0" w:line="240" w:lineRule="auto"/>
              <w:jc w:val="both"/>
              <w:rPr>
                <w:sz w:val="24"/>
                <w:szCs w:val="24"/>
              </w:rPr>
            </w:pPr>
          </w:p>
          <w:p w:rsidR="0043013D" w:rsidRPr="008F2A3F" w:rsidRDefault="0043013D" w:rsidP="005B6819">
            <w:pPr>
              <w:pStyle w:val="Prrafodelista"/>
              <w:numPr>
                <w:ilvl w:val="0"/>
                <w:numId w:val="32"/>
              </w:numPr>
              <w:spacing w:after="0" w:line="240" w:lineRule="auto"/>
              <w:jc w:val="both"/>
              <w:rPr>
                <w:rFonts w:cs="Arial"/>
                <w:lang w:val="es-ES_tradnl"/>
              </w:rPr>
            </w:pPr>
            <w:r w:rsidRPr="008F2A3F">
              <w:rPr>
                <w:rFonts w:cs="Arial"/>
                <w:b/>
                <w:lang w:val="es-ES_tradnl"/>
              </w:rPr>
              <w:t>Estrategia de Reincorporación comunitaria</w:t>
            </w:r>
            <w:r w:rsidRPr="008F2A3F">
              <w:rPr>
                <w:rFonts w:cs="Arial"/>
                <w:lang w:val="es-ES_tradnl"/>
              </w:rPr>
              <w:t xml:space="preserve"> </w:t>
            </w:r>
          </w:p>
          <w:p w:rsidR="0043013D" w:rsidRPr="008F2A3F" w:rsidRDefault="0043013D" w:rsidP="00A73473">
            <w:pPr>
              <w:spacing w:after="0" w:line="240" w:lineRule="auto"/>
              <w:ind w:left="34"/>
              <w:jc w:val="both"/>
            </w:pPr>
            <w:r w:rsidRPr="008F2A3F">
              <w:t xml:space="preserve">En los encuentros comunitarios de la fase de lectura de territorio en las estrategias Modelos de Fortalecimiento Comunitario y Fortalecimiento de entornos protectores participaron durante la vigencia: 1.450 niñas y mujeres jóvenes, 1.190 niños y hombres jóvenes, 388 hombres adultos y 441 mujeres adultas. De estos, 395 corresponden a población afrodescendiente de los municipios de Urrao, Buenaventura, Tumaco y Carmen del Darién, y comunidades indígenas de los municipios de Frontino, Cartagena del Chaira, Pueblo Rico y Riosucio. </w:t>
            </w:r>
          </w:p>
          <w:p w:rsidR="0043013D" w:rsidRPr="008F2A3F" w:rsidRDefault="0043013D" w:rsidP="00E73961">
            <w:pPr>
              <w:spacing w:after="0" w:line="240" w:lineRule="auto"/>
              <w:ind w:left="720"/>
              <w:jc w:val="both"/>
            </w:pPr>
          </w:p>
          <w:p w:rsidR="0043013D" w:rsidRPr="008F2A3F" w:rsidRDefault="0043013D" w:rsidP="00A73473">
            <w:pPr>
              <w:spacing w:after="0" w:line="240" w:lineRule="auto"/>
              <w:jc w:val="both"/>
            </w:pPr>
            <w:r w:rsidRPr="008F2A3F">
              <w:t>Así mismo, 300 mujeres exintegrantes FARC-EP y de las comunidades, se benefician de los procesos orientados a fortalecer las capacidades para el ejercicio de la ciudadanía desde un enfoque de género e incidencia en escenarios de construcción de paz en diez espacios de reincorporación.</w:t>
            </w:r>
          </w:p>
          <w:p w:rsidR="0043013D" w:rsidRPr="008F2A3F" w:rsidRDefault="0043013D" w:rsidP="00E73961">
            <w:pPr>
              <w:spacing w:after="0" w:line="240" w:lineRule="auto"/>
              <w:ind w:left="720"/>
              <w:jc w:val="both"/>
            </w:pPr>
          </w:p>
          <w:p w:rsidR="0043013D" w:rsidRPr="008F2A3F" w:rsidRDefault="0043013D" w:rsidP="00A73473">
            <w:pPr>
              <w:spacing w:after="0" w:line="240" w:lineRule="auto"/>
              <w:jc w:val="both"/>
            </w:pPr>
            <w:r w:rsidRPr="008F2A3F">
              <w:t xml:space="preserve">En diciembre se da inicio a la formulación participativa de los Planes de Fortalecimiento Comunitario en sus líneas de formación ciudadana, proyecto comunitario, acciones simbólicas y talleres de incidencia y articulación (esta última, específicamente para los municipios de El Tarra, Tibú, Teorama, </w:t>
            </w:r>
            <w:r w:rsidRPr="008F2A3F">
              <w:lastRenderedPageBreak/>
              <w:t>San Vicente del Caguán y La Montañita). Se destaca la participación de 277 exintegrantes FARC-EP en las distintas actividades de este proceso durante el 2019.</w:t>
            </w:r>
          </w:p>
          <w:p w:rsidR="0043013D" w:rsidRPr="008F2A3F" w:rsidRDefault="0043013D" w:rsidP="00E73961">
            <w:pPr>
              <w:spacing w:after="0" w:line="240" w:lineRule="auto"/>
              <w:ind w:left="720"/>
              <w:jc w:val="both"/>
            </w:pPr>
          </w:p>
          <w:p w:rsidR="0043013D" w:rsidRPr="008F2A3F" w:rsidRDefault="0043013D" w:rsidP="005B6819">
            <w:pPr>
              <w:pStyle w:val="Prrafodelista"/>
              <w:numPr>
                <w:ilvl w:val="0"/>
                <w:numId w:val="32"/>
              </w:numPr>
              <w:spacing w:after="0" w:line="240" w:lineRule="auto"/>
              <w:ind w:left="34" w:firstLine="425"/>
              <w:jc w:val="both"/>
              <w:rPr>
                <w:b/>
              </w:rPr>
            </w:pPr>
            <w:r w:rsidRPr="008F2A3F">
              <w:rPr>
                <w:b/>
              </w:rPr>
              <w:t xml:space="preserve">Programa Camino Diferencial de Vida:  </w:t>
            </w:r>
            <w:r w:rsidRPr="008F2A3F">
              <w:t>En el marco del Programa 124 jóvenes han alcanzado la mayoría de edad, de estos, 120 iniciaron el proceso de reincorporación recibiendo acompañamiento en las líneas antes mencionadas. 53 son hombres y 67 son mujeres, donde se reconocen 22 indígenas y 10 afrodescendientes. A la fecha 3 jóvenes mayores de edad están bajo la protección del ICBF.</w:t>
            </w:r>
            <w:r w:rsidR="0026694B" w:rsidRPr="008F2A3F">
              <w:t xml:space="preserve"> Los departamentos que presentan mayor cantidad de beneficiarios son Antioquia con 21, Caquetá con 17 y Meta con 12. Para el 2020 se continuará con el fortalecimiento de los lineamientos del programa con el componente FARC.</w:t>
            </w:r>
          </w:p>
          <w:p w:rsidR="0043013D" w:rsidRPr="008F2A3F" w:rsidRDefault="0043013D" w:rsidP="00E73961">
            <w:pPr>
              <w:pStyle w:val="Prrafodelista"/>
              <w:spacing w:after="0" w:line="240" w:lineRule="auto"/>
              <w:jc w:val="both"/>
              <w:rPr>
                <w:b/>
              </w:rPr>
            </w:pPr>
          </w:p>
          <w:p w:rsidR="00A73473" w:rsidRPr="008F2A3F" w:rsidRDefault="0043013D" w:rsidP="005B6819">
            <w:pPr>
              <w:pStyle w:val="Prrafodelista"/>
              <w:numPr>
                <w:ilvl w:val="0"/>
                <w:numId w:val="32"/>
              </w:numPr>
              <w:spacing w:after="0" w:line="240" w:lineRule="auto"/>
              <w:ind w:left="34" w:firstLine="425"/>
              <w:jc w:val="both"/>
              <w:rPr>
                <w:b/>
              </w:rPr>
            </w:pPr>
            <w:r w:rsidRPr="008F2A3F">
              <w:rPr>
                <w:b/>
              </w:rPr>
              <w:t>Ejercicios piloto para el diseño del programa Especial de Armonización para la Reintegración y Reincorporación Social y Económica con Enfoque</w:t>
            </w:r>
            <w:r w:rsidR="00DA0F3F" w:rsidRPr="008F2A3F">
              <w:rPr>
                <w:b/>
              </w:rPr>
              <w:t xml:space="preserve"> Diferencial Étnico y de Género: </w:t>
            </w:r>
            <w:r w:rsidRPr="008F2A3F">
              <w:t>En los encuentros piloto realizados participaron 257 personas en reincorporación que se reconocen con pertenencia étnica, adicionalmente se contó con participación de las comunidades y autoridades indígenas</w:t>
            </w:r>
            <w:r w:rsidR="00A72651" w:rsidRPr="008F2A3F">
              <w:t>, realizados en Norte del Cauca y Buenaventura, Quibdó, Colinas y Charras (Guaviare), Caldono (Cauca) y Mayasquer (Cumbal, Nariño)</w:t>
            </w:r>
            <w:r w:rsidRPr="008F2A3F">
              <w:t>. Se espera que el programa de armonización beneficie a 2</w:t>
            </w:r>
            <w:r w:rsidR="00221630" w:rsidRPr="008F2A3F">
              <w:t>.</w:t>
            </w:r>
            <w:r w:rsidRPr="008F2A3F">
              <w:t>048 personas en reincorporación que a enero de 20</w:t>
            </w:r>
            <w:r w:rsidR="008515C7" w:rsidRPr="008F2A3F">
              <w:t>1</w:t>
            </w:r>
            <w:r w:rsidRPr="008F2A3F">
              <w:t>9 se reconocen como pertenecientes a comunidades o grupos étnicos.</w:t>
            </w:r>
          </w:p>
          <w:p w:rsidR="00A73473" w:rsidRPr="008F2A3F" w:rsidRDefault="00A73473" w:rsidP="00E73961">
            <w:pPr>
              <w:pStyle w:val="Prrafodelista"/>
              <w:spacing w:after="0" w:line="240" w:lineRule="auto"/>
              <w:jc w:val="both"/>
            </w:pPr>
          </w:p>
          <w:p w:rsidR="0043013D" w:rsidRPr="008F2A3F" w:rsidRDefault="00DA0F3F" w:rsidP="00DA0F3F">
            <w:pPr>
              <w:rPr>
                <w:rFonts w:asciiTheme="minorHAnsi" w:hAnsiTheme="minorHAnsi" w:cstheme="minorHAnsi"/>
                <w:iCs/>
              </w:rPr>
            </w:pPr>
            <w:r w:rsidRPr="008F2A3F">
              <w:rPr>
                <w:rFonts w:asciiTheme="minorHAnsi" w:hAnsiTheme="minorHAnsi" w:cstheme="minorHAnsi"/>
                <w:b/>
                <w:iCs/>
              </w:rPr>
              <w:t xml:space="preserve">2) </w:t>
            </w:r>
            <w:r w:rsidR="0043013D" w:rsidRPr="008F2A3F">
              <w:rPr>
                <w:rFonts w:asciiTheme="minorHAnsi" w:hAnsiTheme="minorHAnsi" w:cstheme="minorHAnsi"/>
                <w:b/>
                <w:iCs/>
              </w:rPr>
              <w:t>Proyectos productivos individuales o colectivo viabilizados con apoyo económico entregado</w:t>
            </w:r>
            <w:r w:rsidR="0043013D" w:rsidRPr="008F2A3F">
              <w:rPr>
                <w:rFonts w:asciiTheme="minorHAnsi" w:hAnsiTheme="minorHAnsi" w:cstheme="minorHAnsi"/>
                <w:iCs/>
              </w:rPr>
              <w:t>.</w:t>
            </w:r>
          </w:p>
          <w:p w:rsidR="00125EBF" w:rsidRPr="008F2A3F" w:rsidRDefault="00125EBF" w:rsidP="00DA0F3F">
            <w:pPr>
              <w:pStyle w:val="Textocomentario"/>
            </w:pPr>
            <w:r w:rsidRPr="008F2A3F">
              <w:rPr>
                <w:rFonts w:asciiTheme="minorHAnsi" w:eastAsia="Calibri" w:hAnsiTheme="minorHAnsi" w:cstheme="minorHAnsi"/>
                <w:iCs/>
                <w:sz w:val="22"/>
                <w:szCs w:val="22"/>
                <w:lang w:val="es-CO"/>
              </w:rPr>
              <w:t xml:space="preserve">Se tiene un acumulado de 3.176 personas con proyecto productivo entregado, donde 812 son mujeres y 2.364 son hombres, correspondientes a 883 proyectos individuales beneficiando a 1.030 personas y 43 proyectos colectivos beneficiando a 2.146 personas. </w:t>
            </w:r>
          </w:p>
          <w:p w:rsidR="00125EBF" w:rsidRPr="008F2A3F" w:rsidRDefault="00125EBF" w:rsidP="00DA0F3F">
            <w:pPr>
              <w:pStyle w:val="Textocomentario"/>
              <w:rPr>
                <w:rFonts w:asciiTheme="minorHAnsi" w:eastAsia="Calibri" w:hAnsiTheme="minorHAnsi" w:cstheme="minorHAnsi"/>
                <w:iCs/>
                <w:sz w:val="22"/>
                <w:szCs w:val="22"/>
                <w:lang w:val="es-CO"/>
              </w:rPr>
            </w:pPr>
            <w:r w:rsidRPr="008F2A3F">
              <w:rPr>
                <w:rFonts w:asciiTheme="minorHAnsi" w:eastAsia="Calibri" w:hAnsiTheme="minorHAnsi" w:cstheme="minorHAnsi"/>
                <w:iCs/>
                <w:sz w:val="22"/>
                <w:szCs w:val="22"/>
                <w:lang w:val="es-CO"/>
              </w:rPr>
              <w:t>En el año 2018 se desembolsaron 7 proyectos colectivos, beneficiando a 317 personas 28 proyectos individuales, beneficiando a 31 personas.</w:t>
            </w:r>
          </w:p>
          <w:p w:rsidR="0043013D" w:rsidRPr="008F2A3F" w:rsidRDefault="00386969" w:rsidP="00DA0F3F">
            <w:pPr>
              <w:pStyle w:val="Textocomentario"/>
              <w:rPr>
                <w:sz w:val="24"/>
                <w:szCs w:val="24"/>
              </w:rPr>
            </w:pPr>
            <w:r w:rsidRPr="008F2A3F">
              <w:rPr>
                <w:rFonts w:asciiTheme="minorHAnsi" w:eastAsia="Calibri" w:hAnsiTheme="minorHAnsi" w:cstheme="minorHAnsi"/>
                <w:iCs/>
                <w:sz w:val="22"/>
                <w:szCs w:val="22"/>
                <w:lang w:val="es-CO"/>
              </w:rPr>
              <w:t>En el año 2019</w:t>
            </w:r>
            <w:r w:rsidR="005929A8" w:rsidRPr="008F2A3F">
              <w:rPr>
                <w:rFonts w:asciiTheme="minorHAnsi" w:eastAsia="Calibri" w:hAnsiTheme="minorHAnsi" w:cstheme="minorHAnsi"/>
                <w:iCs/>
                <w:sz w:val="22"/>
                <w:szCs w:val="22"/>
                <w:lang w:val="es-CO"/>
              </w:rPr>
              <w:t xml:space="preserve"> </w:t>
            </w:r>
            <w:r w:rsidR="00025532" w:rsidRPr="008F2A3F">
              <w:rPr>
                <w:rFonts w:asciiTheme="minorHAnsi" w:eastAsia="Calibri" w:hAnsiTheme="minorHAnsi" w:cstheme="minorHAnsi"/>
                <w:iCs/>
                <w:sz w:val="22"/>
                <w:szCs w:val="22"/>
                <w:lang w:val="es-CO"/>
              </w:rPr>
              <w:t xml:space="preserve">se </w:t>
            </w:r>
            <w:r w:rsidR="005929A8" w:rsidRPr="008F2A3F">
              <w:rPr>
                <w:rFonts w:asciiTheme="minorHAnsi" w:eastAsia="Calibri" w:hAnsiTheme="minorHAnsi" w:cstheme="minorHAnsi"/>
                <w:iCs/>
                <w:sz w:val="22"/>
                <w:szCs w:val="22"/>
                <w:lang w:val="es-CO"/>
              </w:rPr>
              <w:t>beneficia</w:t>
            </w:r>
            <w:r w:rsidR="00025532" w:rsidRPr="008F2A3F">
              <w:rPr>
                <w:rFonts w:asciiTheme="minorHAnsi" w:eastAsia="Calibri" w:hAnsiTheme="minorHAnsi" w:cstheme="minorHAnsi"/>
                <w:iCs/>
                <w:sz w:val="22"/>
                <w:szCs w:val="22"/>
                <w:lang w:val="es-CO"/>
              </w:rPr>
              <w:t>r</w:t>
            </w:r>
            <w:r w:rsidR="005929A8" w:rsidRPr="008F2A3F">
              <w:rPr>
                <w:rFonts w:asciiTheme="minorHAnsi" w:eastAsia="Calibri" w:hAnsiTheme="minorHAnsi" w:cstheme="minorHAnsi"/>
                <w:iCs/>
                <w:sz w:val="22"/>
                <w:szCs w:val="22"/>
                <w:lang w:val="es-CO"/>
              </w:rPr>
              <w:t>o</w:t>
            </w:r>
            <w:r w:rsidR="00025532" w:rsidRPr="008F2A3F">
              <w:rPr>
                <w:rFonts w:asciiTheme="minorHAnsi" w:eastAsia="Calibri" w:hAnsiTheme="minorHAnsi" w:cstheme="minorHAnsi"/>
                <w:iCs/>
                <w:sz w:val="22"/>
                <w:szCs w:val="22"/>
                <w:lang w:val="es-CO"/>
              </w:rPr>
              <w:t>n</w:t>
            </w:r>
            <w:r w:rsidR="005929A8" w:rsidRPr="008F2A3F">
              <w:rPr>
                <w:rFonts w:asciiTheme="minorHAnsi" w:eastAsia="Calibri" w:hAnsiTheme="minorHAnsi" w:cstheme="minorHAnsi"/>
                <w:iCs/>
                <w:sz w:val="22"/>
                <w:szCs w:val="22"/>
                <w:lang w:val="es-CO"/>
              </w:rPr>
              <w:t xml:space="preserve"> de proyectos productivos con apoyo económico entregado 2.828 personas, </w:t>
            </w:r>
            <w:r w:rsidR="00F25B30" w:rsidRPr="008F2A3F">
              <w:rPr>
                <w:rFonts w:asciiTheme="minorHAnsi" w:eastAsia="Calibri" w:hAnsiTheme="minorHAnsi" w:cstheme="minorHAnsi"/>
                <w:iCs/>
                <w:sz w:val="22"/>
                <w:szCs w:val="22"/>
                <w:lang w:val="es-CO"/>
              </w:rPr>
              <w:t xml:space="preserve">donde </w:t>
            </w:r>
            <w:r w:rsidR="00790C9A" w:rsidRPr="008F2A3F">
              <w:rPr>
                <w:rFonts w:asciiTheme="minorHAnsi" w:eastAsia="Calibri" w:hAnsiTheme="minorHAnsi" w:cstheme="minorHAnsi"/>
                <w:iCs/>
                <w:sz w:val="22"/>
                <w:szCs w:val="22"/>
                <w:lang w:val="es-CO"/>
              </w:rPr>
              <w:t>704</w:t>
            </w:r>
            <w:r w:rsidR="00F25B30" w:rsidRPr="008F2A3F">
              <w:rPr>
                <w:rFonts w:asciiTheme="minorHAnsi" w:eastAsia="Calibri" w:hAnsiTheme="minorHAnsi" w:cstheme="minorHAnsi"/>
                <w:iCs/>
                <w:sz w:val="22"/>
                <w:szCs w:val="22"/>
                <w:lang w:val="es-CO"/>
              </w:rPr>
              <w:t xml:space="preserve"> son</w:t>
            </w:r>
            <w:r w:rsidR="00790C9A" w:rsidRPr="008F2A3F">
              <w:rPr>
                <w:rFonts w:asciiTheme="minorHAnsi" w:eastAsia="Calibri" w:hAnsiTheme="minorHAnsi" w:cstheme="minorHAnsi"/>
                <w:iCs/>
                <w:sz w:val="22"/>
                <w:szCs w:val="22"/>
                <w:lang w:val="es-CO"/>
              </w:rPr>
              <w:t xml:space="preserve"> </w:t>
            </w:r>
            <w:r w:rsidR="00025532" w:rsidRPr="008F2A3F">
              <w:rPr>
                <w:rFonts w:asciiTheme="minorHAnsi" w:eastAsia="Calibri" w:hAnsiTheme="minorHAnsi" w:cstheme="minorHAnsi"/>
                <w:iCs/>
                <w:sz w:val="22"/>
                <w:szCs w:val="22"/>
                <w:lang w:val="es-CO"/>
              </w:rPr>
              <w:t xml:space="preserve">mujeres y </w:t>
            </w:r>
            <w:r w:rsidR="00790C9A" w:rsidRPr="008F2A3F">
              <w:rPr>
                <w:rFonts w:asciiTheme="minorHAnsi" w:eastAsia="Calibri" w:hAnsiTheme="minorHAnsi" w:cstheme="minorHAnsi"/>
                <w:iCs/>
                <w:sz w:val="22"/>
                <w:szCs w:val="22"/>
                <w:lang w:val="es-CO"/>
              </w:rPr>
              <w:t>2.124</w:t>
            </w:r>
            <w:r w:rsidR="00F25B30" w:rsidRPr="008F2A3F">
              <w:rPr>
                <w:rFonts w:asciiTheme="minorHAnsi" w:eastAsia="Calibri" w:hAnsiTheme="minorHAnsi" w:cstheme="minorHAnsi"/>
                <w:iCs/>
                <w:sz w:val="22"/>
                <w:szCs w:val="22"/>
                <w:lang w:val="es-CO"/>
              </w:rPr>
              <w:t xml:space="preserve"> son</w:t>
            </w:r>
            <w:r w:rsidR="00790C9A" w:rsidRPr="008F2A3F">
              <w:rPr>
                <w:rFonts w:asciiTheme="minorHAnsi" w:eastAsia="Calibri" w:hAnsiTheme="minorHAnsi" w:cstheme="minorHAnsi"/>
                <w:iCs/>
                <w:sz w:val="22"/>
                <w:szCs w:val="22"/>
                <w:lang w:val="es-CO"/>
              </w:rPr>
              <w:t xml:space="preserve"> </w:t>
            </w:r>
            <w:r w:rsidR="00025532" w:rsidRPr="008F2A3F">
              <w:rPr>
                <w:rFonts w:asciiTheme="minorHAnsi" w:eastAsia="Calibri" w:hAnsiTheme="minorHAnsi" w:cstheme="minorHAnsi"/>
                <w:iCs/>
                <w:sz w:val="22"/>
                <w:szCs w:val="22"/>
                <w:lang w:val="es-CO"/>
              </w:rPr>
              <w:t>hombres</w:t>
            </w:r>
            <w:r w:rsidR="00790C9A" w:rsidRPr="008F2A3F">
              <w:rPr>
                <w:rFonts w:asciiTheme="minorHAnsi" w:eastAsia="Calibri" w:hAnsiTheme="minorHAnsi" w:cstheme="minorHAnsi"/>
                <w:iCs/>
                <w:sz w:val="22"/>
                <w:szCs w:val="22"/>
                <w:lang w:val="es-CO"/>
              </w:rPr>
              <w:t>, correspondientes a 855 proyectos individuales</w:t>
            </w:r>
            <w:r w:rsidR="00A20FB3" w:rsidRPr="008F2A3F">
              <w:rPr>
                <w:rFonts w:asciiTheme="minorHAnsi" w:eastAsia="Calibri" w:hAnsiTheme="minorHAnsi" w:cstheme="minorHAnsi"/>
                <w:iCs/>
                <w:sz w:val="22"/>
                <w:szCs w:val="22"/>
                <w:lang w:val="es-CO"/>
              </w:rPr>
              <w:t xml:space="preserve"> beneficiando a 999 personas </w:t>
            </w:r>
            <w:r w:rsidR="00790C9A" w:rsidRPr="008F2A3F">
              <w:rPr>
                <w:rFonts w:asciiTheme="minorHAnsi" w:eastAsia="Calibri" w:hAnsiTheme="minorHAnsi" w:cstheme="minorHAnsi"/>
                <w:iCs/>
                <w:sz w:val="22"/>
                <w:szCs w:val="22"/>
                <w:lang w:val="es-CO"/>
              </w:rPr>
              <w:t xml:space="preserve">y </w:t>
            </w:r>
            <w:r w:rsidR="00025532" w:rsidRPr="008F2A3F">
              <w:rPr>
                <w:rFonts w:asciiTheme="minorHAnsi" w:eastAsia="Calibri" w:hAnsiTheme="minorHAnsi" w:cstheme="minorHAnsi"/>
                <w:iCs/>
                <w:sz w:val="22"/>
                <w:szCs w:val="22"/>
                <w:lang w:val="es-CO"/>
              </w:rPr>
              <w:t>36 proyectos colectivos</w:t>
            </w:r>
            <w:r w:rsidR="00A20FB3" w:rsidRPr="008F2A3F">
              <w:rPr>
                <w:rFonts w:asciiTheme="minorHAnsi" w:eastAsia="Calibri" w:hAnsiTheme="minorHAnsi" w:cstheme="minorHAnsi"/>
                <w:iCs/>
                <w:sz w:val="22"/>
                <w:szCs w:val="22"/>
                <w:lang w:val="es-CO"/>
              </w:rPr>
              <w:t xml:space="preserve"> beneficiando a 1.829 personas</w:t>
            </w:r>
            <w:r w:rsidR="00790C9A" w:rsidRPr="008F2A3F">
              <w:rPr>
                <w:rFonts w:asciiTheme="minorHAnsi" w:eastAsia="Calibri" w:hAnsiTheme="minorHAnsi" w:cstheme="minorHAnsi"/>
                <w:iCs/>
                <w:sz w:val="22"/>
                <w:szCs w:val="22"/>
                <w:lang w:val="es-CO"/>
              </w:rPr>
              <w:t>.</w:t>
            </w:r>
            <w:r w:rsidR="00025532" w:rsidRPr="008F2A3F">
              <w:rPr>
                <w:rFonts w:asciiTheme="minorHAnsi" w:eastAsia="Calibri" w:hAnsiTheme="minorHAnsi" w:cstheme="minorHAnsi"/>
                <w:iCs/>
                <w:sz w:val="22"/>
                <w:szCs w:val="22"/>
                <w:lang w:val="es-CO"/>
              </w:rPr>
              <w:t xml:space="preserve"> </w:t>
            </w:r>
          </w:p>
        </w:tc>
      </w:tr>
      <w:tr w:rsidR="008F2A3F" w:rsidRPr="008F2A3F" w:rsidTr="0052453A">
        <w:tc>
          <w:tcPr>
            <w:tcW w:w="9214" w:type="dxa"/>
            <w:shd w:val="clear" w:color="auto" w:fill="F2F2F2"/>
          </w:tcPr>
          <w:p w:rsidR="0043013D" w:rsidRPr="008F2A3F" w:rsidRDefault="0043013D" w:rsidP="00E73961">
            <w:pPr>
              <w:spacing w:after="0" w:line="240" w:lineRule="auto"/>
              <w:rPr>
                <w:sz w:val="32"/>
                <w:szCs w:val="32"/>
                <w:u w:val="single"/>
              </w:rPr>
            </w:pPr>
            <w:r w:rsidRPr="00F67B04">
              <w:rPr>
                <w:color w:val="3366CC"/>
                <w:sz w:val="32"/>
                <w:u w:val="single"/>
              </w:rPr>
              <w:lastRenderedPageBreak/>
              <w:t>¿Quiénes participaron en esta acción y cómo se promovió el control social?</w:t>
            </w:r>
            <w:r w:rsidRPr="008F2A3F">
              <w:rPr>
                <w:sz w:val="32"/>
                <w:szCs w:val="32"/>
                <w:u w:val="single"/>
              </w:rPr>
              <w:t xml:space="preserve"> </w:t>
            </w:r>
            <w:r w:rsidRPr="008F2A3F">
              <w:rPr>
                <w:noProof/>
                <w:lang w:val="es-419" w:eastAsia="es-419"/>
              </w:rPr>
              <w:drawing>
                <wp:anchor distT="0" distB="0" distL="114300" distR="114300" simplePos="0" relativeHeight="251702784" behindDoc="0" locked="0" layoutInCell="1" hidden="0" allowOverlap="1" wp14:anchorId="234E5920" wp14:editId="0FBDE5B6">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4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pPr>
            <w:r w:rsidRPr="008F2A3F">
              <w:t xml:space="preserve">En lo que respecta a la Estrategia de Reincorporación comunitaria, por su propósito y metodología se promueve la participación amplia de miembros de las comunidades de los territorios donde se adelantan los procesos.  </w:t>
            </w:r>
          </w:p>
          <w:p w:rsidR="0043013D" w:rsidRPr="008F2A3F" w:rsidRDefault="0043013D" w:rsidP="00E73961">
            <w:pPr>
              <w:spacing w:after="0" w:line="240" w:lineRule="auto"/>
            </w:pPr>
          </w:p>
          <w:p w:rsidR="0043013D" w:rsidRPr="008F2A3F" w:rsidRDefault="0043013D" w:rsidP="00E73961">
            <w:pPr>
              <w:spacing w:after="0" w:line="240" w:lineRule="auto"/>
            </w:pPr>
            <w:r w:rsidRPr="008F2A3F">
              <w:t>Así mismo, en los encuentros piloto realizados para la recolección de insumos para el Diseño del Programa Especial de Armonización participaron autoridades indígenas y se abrieron espacios de diálogo con la Instancia Especial de Alto Nivel de Pueblos y Comunidades Étnicas –IEANPE-.</w:t>
            </w:r>
          </w:p>
          <w:p w:rsidR="0043013D" w:rsidRPr="008F2A3F" w:rsidRDefault="0043013D" w:rsidP="00E73961">
            <w:pPr>
              <w:spacing w:after="0" w:line="240" w:lineRule="auto"/>
              <w:jc w:val="both"/>
              <w:rPr>
                <w:sz w:val="24"/>
                <w:szCs w:val="24"/>
              </w:rPr>
            </w:pPr>
          </w:p>
          <w:p w:rsidR="008F2A3F" w:rsidRPr="008F2A3F" w:rsidRDefault="008F2A3F" w:rsidP="008F2A3F">
            <w:pPr>
              <w:spacing w:after="0" w:line="240" w:lineRule="auto"/>
              <w:jc w:val="both"/>
            </w:pPr>
            <w:r w:rsidRPr="008F2A3F">
              <w:t xml:space="preserve">Lo invitamos  a hacer control social a los contratos que se celebran por parte de las entidades públicas en el portal de Colombia Compra Eficiente </w:t>
            </w:r>
            <w:hyperlink r:id="rId33">
              <w:r w:rsidR="00F67B04" w:rsidRPr="00EF2A96">
                <w:rPr>
                  <w:color w:val="0563C1"/>
                  <w:u w:val="single"/>
                </w:rPr>
                <w:t>www.colombiacompra.gov.co</w:t>
              </w:r>
            </w:hyperlink>
          </w:p>
          <w:p w:rsidR="008F2A3F" w:rsidRPr="008F2A3F" w:rsidRDefault="008F2A3F" w:rsidP="008F2A3F">
            <w:pPr>
              <w:spacing w:after="0" w:line="240" w:lineRule="auto"/>
            </w:pPr>
          </w:p>
          <w:p w:rsidR="008F2A3F" w:rsidRPr="008F2A3F" w:rsidRDefault="008F2A3F" w:rsidP="008F2A3F">
            <w:pPr>
              <w:spacing w:after="0" w:line="240" w:lineRule="auto"/>
              <w:jc w:val="both"/>
            </w:pPr>
            <w:r w:rsidRPr="008F2A3F">
              <w:lastRenderedPageBreak/>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F67B04" w:rsidRPr="00EF2A96" w:rsidRDefault="00F67B04" w:rsidP="00F67B04">
            <w:pPr>
              <w:spacing w:after="0" w:line="240" w:lineRule="auto"/>
              <w:jc w:val="both"/>
              <w:rPr>
                <w:color w:val="000000"/>
              </w:rPr>
            </w:pPr>
          </w:p>
          <w:p w:rsidR="00F67B04" w:rsidRPr="00EF2A96" w:rsidRDefault="009B7621" w:rsidP="00F67B04">
            <w:pPr>
              <w:spacing w:after="0" w:line="240" w:lineRule="auto"/>
              <w:rPr>
                <w:color w:val="000000"/>
              </w:rPr>
            </w:pPr>
            <w:hyperlink r:id="rId34">
              <w:r w:rsidR="00F67B04" w:rsidRPr="00EF2A96">
                <w:rPr>
                  <w:color w:val="0563C1"/>
                  <w:u w:val="single"/>
                </w:rPr>
                <w:t>https://www.colombiacompra.gov.co/secop/busqueda-de-procesos-de-contratacion</w:t>
              </w:r>
            </w:hyperlink>
            <w:r w:rsidR="00F67B04" w:rsidRPr="00EF2A96">
              <w:rPr>
                <w:color w:val="000000"/>
              </w:rPr>
              <w:t xml:space="preserve"> </w:t>
            </w:r>
          </w:p>
          <w:p w:rsidR="00F67B04" w:rsidRPr="00EF2A96" w:rsidRDefault="009B7621" w:rsidP="00F67B04">
            <w:pPr>
              <w:spacing w:after="0" w:line="240" w:lineRule="auto"/>
              <w:rPr>
                <w:color w:val="000000"/>
              </w:rPr>
            </w:pPr>
            <w:hyperlink r:id="rId35">
              <w:r w:rsidR="00F67B04" w:rsidRPr="00EF2A96">
                <w:rPr>
                  <w:color w:val="0563C1"/>
                  <w:u w:val="single"/>
                </w:rPr>
                <w:t>https://www.contratos.gov.co/consultas/inicioConsulta.do</w:t>
              </w:r>
            </w:hyperlink>
            <w:r w:rsidR="00F67B04" w:rsidRPr="00EF2A96">
              <w:rPr>
                <w:color w:val="000000"/>
              </w:rPr>
              <w:t xml:space="preserve">  </w:t>
            </w:r>
          </w:p>
          <w:p w:rsidR="008F2A3F" w:rsidRPr="008F2A3F" w:rsidRDefault="008F2A3F" w:rsidP="008F2A3F">
            <w:pPr>
              <w:spacing w:after="0" w:line="240" w:lineRule="auto"/>
            </w:pPr>
          </w:p>
          <w:p w:rsidR="00F65FF3" w:rsidRPr="008F2A3F" w:rsidRDefault="008F2A3F" w:rsidP="008F2A3F">
            <w:pPr>
              <w:spacing w:after="0" w:line="240" w:lineRule="auto"/>
              <w:jc w:val="both"/>
            </w:pPr>
            <w:r w:rsidRPr="008F2A3F">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r w:rsidR="0043013D" w:rsidRPr="008F2A3F">
              <w:t xml:space="preserve"> </w:t>
            </w:r>
          </w:p>
          <w:p w:rsidR="003F448B" w:rsidRPr="008F2A3F" w:rsidRDefault="003F448B" w:rsidP="0068713B">
            <w:pPr>
              <w:spacing w:after="0" w:line="240" w:lineRule="auto"/>
              <w:jc w:val="both"/>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5812"/>
            </w:tblGrid>
            <w:tr w:rsidR="00DA30C5" w:rsidRPr="008F2A3F" w:rsidTr="00E45C95">
              <w:trPr>
                <w:trHeight w:val="400"/>
                <w:tblHeader/>
              </w:trPr>
              <w:tc>
                <w:tcPr>
                  <w:tcW w:w="3001" w:type="dxa"/>
                  <w:tcBorders>
                    <w:bottom w:val="single" w:sz="4" w:space="0" w:color="auto"/>
                  </w:tcBorders>
                  <w:shd w:val="clear" w:color="auto" w:fill="A6A6A6"/>
                </w:tcPr>
                <w:p w:rsidR="003F448B" w:rsidRPr="008F2A3F" w:rsidRDefault="003F448B" w:rsidP="003F448B">
                  <w:pPr>
                    <w:spacing w:after="0" w:line="240" w:lineRule="auto"/>
                    <w:jc w:val="both"/>
                    <w:rPr>
                      <w:rFonts w:cs="Arial"/>
                      <w:i/>
                      <w:sz w:val="24"/>
                      <w:szCs w:val="24"/>
                      <w:lang w:val="es-ES_tradnl"/>
                    </w:rPr>
                  </w:pPr>
                  <w:r w:rsidRPr="008F2A3F">
                    <w:rPr>
                      <w:rFonts w:cs="Arial"/>
                      <w:i/>
                      <w:sz w:val="24"/>
                      <w:szCs w:val="24"/>
                      <w:lang w:val="es-ES_tradnl"/>
                    </w:rPr>
                    <w:t xml:space="preserve">Número de Contrato/Año </w:t>
                  </w:r>
                </w:p>
              </w:tc>
              <w:tc>
                <w:tcPr>
                  <w:tcW w:w="5812" w:type="dxa"/>
                  <w:tcBorders>
                    <w:bottom w:val="single" w:sz="4" w:space="0" w:color="auto"/>
                  </w:tcBorders>
                  <w:shd w:val="clear" w:color="auto" w:fill="A6A6A6"/>
                </w:tcPr>
                <w:p w:rsidR="003F448B" w:rsidRPr="008F2A3F" w:rsidRDefault="003F448B" w:rsidP="003F448B">
                  <w:pPr>
                    <w:spacing w:after="0" w:line="240" w:lineRule="auto"/>
                    <w:jc w:val="both"/>
                    <w:rPr>
                      <w:rFonts w:cs="Arial"/>
                      <w:i/>
                      <w:sz w:val="24"/>
                      <w:szCs w:val="24"/>
                      <w:lang w:val="es-ES_tradnl"/>
                    </w:rPr>
                  </w:pPr>
                  <w:r w:rsidRPr="008F2A3F">
                    <w:rPr>
                      <w:rFonts w:cs="Arial"/>
                      <w:i/>
                      <w:sz w:val="24"/>
                      <w:szCs w:val="24"/>
                      <w:lang w:val="es-ES_tradnl"/>
                    </w:rPr>
                    <w:t>Informe de supervisión o interventoría</w:t>
                  </w:r>
                </w:p>
                <w:p w:rsidR="003F448B" w:rsidRPr="008F2A3F" w:rsidRDefault="003F448B" w:rsidP="003F448B">
                  <w:pPr>
                    <w:spacing w:after="0" w:line="240" w:lineRule="auto"/>
                    <w:jc w:val="both"/>
                    <w:rPr>
                      <w:rFonts w:cs="Arial"/>
                      <w:i/>
                      <w:sz w:val="20"/>
                      <w:szCs w:val="20"/>
                      <w:lang w:val="es-ES_tradnl"/>
                    </w:rPr>
                  </w:pPr>
                  <w:r w:rsidRPr="008F2A3F">
                    <w:rPr>
                      <w:rFonts w:cs="Arial"/>
                      <w:i/>
                      <w:sz w:val="20"/>
                      <w:szCs w:val="20"/>
                      <w:lang w:val="es-ES_tradnl"/>
                    </w:rPr>
                    <w:t>Conozca el informe del interventor o el supervisor aquí</w:t>
                  </w:r>
                </w:p>
              </w:tc>
            </w:tr>
            <w:tr w:rsidR="00DA30C5" w:rsidRPr="008F2A3F" w:rsidTr="0068713B">
              <w:trPr>
                <w:trHeight w:val="400"/>
              </w:trPr>
              <w:tc>
                <w:tcPr>
                  <w:tcW w:w="3001" w:type="dxa"/>
                  <w:tcBorders>
                    <w:top w:val="single" w:sz="4" w:space="0" w:color="auto"/>
                    <w:left w:val="single" w:sz="4" w:space="0" w:color="auto"/>
                    <w:bottom w:val="nil"/>
                    <w:right w:val="nil"/>
                  </w:tcBorders>
                  <w:shd w:val="clear" w:color="auto" w:fill="auto"/>
                </w:tcPr>
                <w:p w:rsidR="003F448B" w:rsidRPr="008F2A3F" w:rsidRDefault="003F448B" w:rsidP="003F448B">
                  <w:pPr>
                    <w:spacing w:after="0" w:line="240" w:lineRule="auto"/>
                    <w:jc w:val="both"/>
                  </w:pPr>
                  <w:r w:rsidRPr="008F2A3F">
                    <w:rPr>
                      <w:rFonts w:eastAsia="Times New Roman" w:cs="Calibri"/>
                      <w:lang w:eastAsia="es-CO"/>
                    </w:rPr>
                    <w:t xml:space="preserve">Convenio de Cooperación No. 1167 de 2019. </w:t>
                  </w:r>
                </w:p>
                <w:p w:rsidR="003F448B" w:rsidRPr="008F2A3F" w:rsidRDefault="003F448B" w:rsidP="003F448B">
                  <w:pPr>
                    <w:spacing w:after="0" w:line="240" w:lineRule="auto"/>
                    <w:jc w:val="both"/>
                    <w:rPr>
                      <w:i/>
                      <w:sz w:val="24"/>
                      <w:szCs w:val="24"/>
                    </w:rPr>
                  </w:pPr>
                </w:p>
              </w:tc>
              <w:tc>
                <w:tcPr>
                  <w:tcW w:w="5812" w:type="dxa"/>
                  <w:tcBorders>
                    <w:top w:val="single" w:sz="4" w:space="0" w:color="auto"/>
                    <w:left w:val="nil"/>
                    <w:bottom w:val="nil"/>
                    <w:right w:val="single" w:sz="4" w:space="0" w:color="auto"/>
                  </w:tcBorders>
                  <w:shd w:val="clear" w:color="auto" w:fill="auto"/>
                </w:tcPr>
                <w:p w:rsidR="003F448B" w:rsidRPr="008F2A3F" w:rsidRDefault="009B7621" w:rsidP="003B39AF">
                  <w:pPr>
                    <w:spacing w:after="0" w:line="240" w:lineRule="auto"/>
                  </w:pPr>
                  <w:hyperlink r:id="rId36" w:history="1">
                    <w:r w:rsidR="003B39AF" w:rsidRPr="00693E84">
                      <w:rPr>
                        <w:rStyle w:val="Hipervnculo"/>
                        <w:rFonts w:eastAsia="Times New Roman" w:cs="Calibri"/>
                        <w:lang w:eastAsia="es-CO"/>
                      </w:rPr>
                      <w:t>https://www.contratos.gov.co/consultas/detalleProceso.do?numConstancia=19-4-9506197</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3F448B" w:rsidP="003F448B">
                  <w:pPr>
                    <w:spacing w:after="0" w:line="240" w:lineRule="auto"/>
                    <w:jc w:val="both"/>
                    <w:rPr>
                      <w:rFonts w:eastAsia="Times New Roman" w:cs="Calibri"/>
                      <w:lang w:eastAsia="es-CO"/>
                    </w:rPr>
                  </w:pPr>
                  <w:r w:rsidRPr="008F2A3F">
                    <w:rPr>
                      <w:rFonts w:eastAsia="Times New Roman" w:cs="Calibri"/>
                      <w:lang w:eastAsia="es-CO"/>
                    </w:rPr>
                    <w:t>Contrato 1330 de 2019 N° de Proceso SECOP II SAMC-ARN-480-2019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37"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Fonts w:eastAsia="Times New Roman" w:cs="Calibri"/>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Contrato 1481 de 2019 N° de Proceso SECOP IISAMC-ARN-480-2019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38"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Contrato 1390 de 2019 N° de Proceso SECOP II SAMC-ARN-481-2019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39"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marco ARN – INNPULSA 142</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0" w:history="1">
                    <w:r w:rsidR="003B39AF" w:rsidRPr="00693E84">
                      <w:rPr>
                        <w:rStyle w:val="Hipervnculo"/>
                        <w:rFonts w:eastAsia="Times New Roman" w:cs="Calibri"/>
                        <w:lang w:eastAsia="es-CO"/>
                      </w:rPr>
                      <w:t>https://www.contratos.gov.co/consultas/detalleProceso.do?numConstancia=18-4-8040740</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de Asociación 1324-2019 N° de Proceso SECOP IIRE-ARN-495-2019"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1"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de Cooperación Internacional 1328-2019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2" w:history="1">
                    <w:r w:rsidR="003B39AF" w:rsidRPr="00693E84">
                      <w:rPr>
                        <w:rStyle w:val="Hipervnculo"/>
                        <w:rFonts w:eastAsia="Times New Roman" w:cs="Calibri"/>
                        <w:lang w:eastAsia="es-CO"/>
                      </w:rPr>
                      <w:t>https://www.contratos.gov.co/consultas/detalleProceso.do?numConstancia=19-12-9844969</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de Cooperación Internacional 1518-2019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3" w:history="1">
                    <w:r w:rsidR="003B39AF" w:rsidRPr="00693E84">
                      <w:rPr>
                        <w:rStyle w:val="Hipervnculo"/>
                        <w:rFonts w:eastAsia="Times New Roman" w:cs="Calibri"/>
                        <w:lang w:eastAsia="es-CO"/>
                      </w:rPr>
                      <w:t>https://www.contratos.gov.co/consultas/inicioConsulta.do</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single" w:sz="4" w:space="0" w:color="auto"/>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Acuerdo de Cooperación 1542A-2019</w:t>
                  </w:r>
                </w:p>
              </w:tc>
              <w:tc>
                <w:tcPr>
                  <w:tcW w:w="5812" w:type="dxa"/>
                  <w:tcBorders>
                    <w:top w:val="nil"/>
                    <w:left w:val="nil"/>
                    <w:bottom w:val="single" w:sz="4" w:space="0" w:color="auto"/>
                    <w:right w:val="single" w:sz="4" w:space="0" w:color="auto"/>
                  </w:tcBorders>
                  <w:shd w:val="clear" w:color="auto" w:fill="auto"/>
                </w:tcPr>
                <w:p w:rsidR="003F448B" w:rsidRPr="008F2A3F" w:rsidRDefault="003F448B" w:rsidP="003F448B">
                  <w:pPr>
                    <w:spacing w:after="0" w:line="240" w:lineRule="auto"/>
                    <w:rPr>
                      <w:rFonts w:eastAsia="Times New Roman" w:cs="Calibri"/>
                      <w:lang w:eastAsia="es-CO"/>
                    </w:rPr>
                  </w:pPr>
                </w:p>
              </w:tc>
            </w:tr>
          </w:tbl>
          <w:p w:rsidR="0043013D" w:rsidRPr="008F2A3F" w:rsidRDefault="0043013D" w:rsidP="00E73961">
            <w:pPr>
              <w:spacing w:after="0" w:line="240" w:lineRule="auto"/>
              <w:jc w:val="both"/>
              <w:rPr>
                <w:i/>
                <w:sz w:val="24"/>
                <w:szCs w:val="24"/>
              </w:rPr>
            </w:pPr>
          </w:p>
        </w:tc>
      </w:tr>
      <w:tr w:rsidR="008F2A3F" w:rsidRPr="008F2A3F" w:rsidTr="0052453A">
        <w:tblPrEx>
          <w:tblCellMar>
            <w:left w:w="70" w:type="dxa"/>
            <w:right w:w="70" w:type="dxa"/>
          </w:tblCellMar>
        </w:tblPrEx>
        <w:trPr>
          <w:trHeight w:val="1420"/>
        </w:trPr>
        <w:tc>
          <w:tcPr>
            <w:tcW w:w="9214" w:type="dxa"/>
            <w:shd w:val="clear" w:color="auto" w:fill="F2F2F2"/>
          </w:tcPr>
          <w:p w:rsidR="0043013D" w:rsidRPr="00F67B04" w:rsidRDefault="0043013D" w:rsidP="00E73961">
            <w:pPr>
              <w:spacing w:after="0" w:line="240" w:lineRule="auto"/>
              <w:rPr>
                <w:color w:val="3366CC"/>
                <w:sz w:val="32"/>
                <w:szCs w:val="32"/>
                <w:u w:val="single"/>
              </w:rPr>
            </w:pPr>
            <w:r w:rsidRPr="00F67B04">
              <w:rPr>
                <w:color w:val="3366CC"/>
                <w:sz w:val="32"/>
                <w:szCs w:val="32"/>
                <w:u w:val="single"/>
              </w:rPr>
              <w:lastRenderedPageBreak/>
              <w:t>¿En qué territorios se desarrolló la acción?</w:t>
            </w:r>
            <w:r w:rsidRPr="00F67B04">
              <w:rPr>
                <w:noProof/>
                <w:color w:val="3366CC"/>
                <w:sz w:val="32"/>
                <w:szCs w:val="32"/>
                <w:u w:val="single"/>
                <w:lang w:val="es-419" w:eastAsia="es-419"/>
              </w:rPr>
              <w:drawing>
                <wp:anchor distT="0" distB="0" distL="114300" distR="114300" simplePos="0" relativeHeight="251703808" behindDoc="0" locked="0" layoutInCell="1" hidden="0" allowOverlap="1" wp14:anchorId="03223CBB" wp14:editId="53807B98">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E5688D" w:rsidRPr="008F2A3F" w:rsidRDefault="00E5688D" w:rsidP="00E73961">
            <w:pPr>
              <w:spacing w:after="0" w:line="240" w:lineRule="auto"/>
              <w:jc w:val="both"/>
              <w:rPr>
                <w:i/>
                <w:sz w:val="24"/>
                <w:szCs w:val="24"/>
              </w:rPr>
            </w:pPr>
          </w:p>
          <w:p w:rsidR="00E5688D" w:rsidRPr="008F2A3F" w:rsidRDefault="00E5688D" w:rsidP="005B6819">
            <w:pPr>
              <w:pStyle w:val="Prrafodelista"/>
              <w:numPr>
                <w:ilvl w:val="0"/>
                <w:numId w:val="34"/>
              </w:numPr>
              <w:spacing w:after="0" w:line="240" w:lineRule="auto"/>
              <w:jc w:val="both"/>
              <w:rPr>
                <w:rFonts w:cs="Arial"/>
                <w:lang w:val="es-ES_tradnl"/>
              </w:rPr>
            </w:pPr>
            <w:r w:rsidRPr="008F2A3F">
              <w:rPr>
                <w:rFonts w:cs="Arial"/>
                <w:lang w:val="es-ES_tradnl"/>
              </w:rPr>
              <w:t>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rsidR="00E5688D" w:rsidRPr="008F2A3F" w:rsidRDefault="00E5688D" w:rsidP="00E73961">
            <w:pPr>
              <w:spacing w:after="0" w:line="240" w:lineRule="auto"/>
              <w:jc w:val="both"/>
              <w:rPr>
                <w:i/>
                <w:sz w:val="24"/>
                <w:szCs w:val="24"/>
              </w:rPr>
            </w:pPr>
          </w:p>
          <w:p w:rsidR="0043013D" w:rsidRPr="008F2A3F" w:rsidRDefault="0043013D" w:rsidP="005B6819">
            <w:pPr>
              <w:pStyle w:val="Prrafodelista"/>
              <w:numPr>
                <w:ilvl w:val="0"/>
                <w:numId w:val="35"/>
              </w:numPr>
              <w:spacing w:after="0" w:line="240" w:lineRule="auto"/>
              <w:jc w:val="both"/>
              <w:rPr>
                <w:rFonts w:cs="Arial"/>
                <w:lang w:val="es-ES_tradnl"/>
              </w:rPr>
            </w:pPr>
            <w:r w:rsidRPr="008F2A3F">
              <w:rPr>
                <w:rFonts w:cs="Arial"/>
                <w:b/>
                <w:lang w:val="es-ES_tradnl"/>
              </w:rPr>
              <w:t>Estrategia de Reincorporación comunitaria</w:t>
            </w:r>
            <w:r w:rsidRPr="008F2A3F">
              <w:rPr>
                <w:rFonts w:cs="Arial"/>
                <w:lang w:val="es-ES_tradnl"/>
              </w:rPr>
              <w:t xml:space="preserve">. Se implementó </w:t>
            </w:r>
            <w:r w:rsidR="00637303" w:rsidRPr="008F2A3F">
              <w:rPr>
                <w:rFonts w:cs="Arial"/>
                <w:lang w:val="es-ES_tradnl"/>
              </w:rPr>
              <w:t xml:space="preserve">en </w:t>
            </w:r>
            <w:r w:rsidRPr="008F2A3F">
              <w:rPr>
                <w:rFonts w:cs="Arial"/>
                <w:lang w:val="es-ES_tradnl"/>
              </w:rPr>
              <w:t xml:space="preserve">62 municipios del país, siendo el 84% municipios PDET: 12 municipios de Antioquia, 1 Municipio de Arauca, 2 Municipios de Atlántico, 1 localidad en Bogotá, 1 Municipio del Bolívar, 1 Municipio de Caldas, 4 Municipios de Caquetá, 6 Municipios del Cauca, 2 Municipios del Cesar, 2 Municipios del Chocó, 3 </w:t>
            </w:r>
            <w:r w:rsidRPr="008F2A3F">
              <w:rPr>
                <w:rFonts w:cs="Arial"/>
                <w:lang w:val="es-ES_tradnl"/>
              </w:rPr>
              <w:lastRenderedPageBreak/>
              <w:t>Municipios de Córdoba, 3 Municipios de Córdoba, 1 Municipio de Guajira, 1 Municipio del Guaviare, 2 Municipios del Huila, 1 Municipio del Magdalena, 4 Municipios del Meta, 2 Municipios de Nariño, 3 Municipios de Norte de Santander, 1 Municipio de Putumayo, 1 Municipio de Risaralda, 2 Municipios de Santander, 1 Municipio de Sucre, 3 Municipios del Tolima y 2 Municipios en Valle del Cauca.</w:t>
            </w:r>
          </w:p>
          <w:p w:rsidR="0043013D" w:rsidRPr="008F2A3F" w:rsidRDefault="0043013D" w:rsidP="00E73961">
            <w:pPr>
              <w:pStyle w:val="Prrafodelista"/>
              <w:spacing w:after="0" w:line="240" w:lineRule="auto"/>
              <w:jc w:val="both"/>
              <w:rPr>
                <w:rFonts w:cs="Arial"/>
                <w:lang w:val="es-ES_tradnl"/>
              </w:rPr>
            </w:pPr>
          </w:p>
          <w:p w:rsidR="0043013D" w:rsidRPr="008F2A3F" w:rsidRDefault="0043013D" w:rsidP="00E73961">
            <w:pPr>
              <w:spacing w:after="0" w:line="240" w:lineRule="auto"/>
              <w:ind w:left="720"/>
              <w:jc w:val="both"/>
            </w:pPr>
            <w:r w:rsidRPr="008F2A3F">
              <w:rPr>
                <w:rFonts w:cs="Arial"/>
                <w:lang w:val="es-ES_tradnl"/>
              </w:rPr>
              <w:t xml:space="preserve">Así mismo, se desarrollan procesos en espacios de reincorporación de </w:t>
            </w:r>
            <w:r w:rsidRPr="008F2A3F">
              <w:t xml:space="preserve">Tibú, Pasca, La Paz, Fonseca, Ituango, Mutatá, Mesetas, San </w:t>
            </w:r>
            <w:r w:rsidR="006938F2" w:rsidRPr="008F2A3F">
              <w:t>José de Guaviare, Tumaco y Cali.</w:t>
            </w:r>
          </w:p>
          <w:p w:rsidR="0043013D" w:rsidRPr="008F2A3F" w:rsidRDefault="0043013D" w:rsidP="00E73961">
            <w:pPr>
              <w:spacing w:after="0" w:line="240" w:lineRule="auto"/>
              <w:ind w:left="720"/>
              <w:jc w:val="both"/>
            </w:pPr>
          </w:p>
          <w:p w:rsidR="0043013D" w:rsidRPr="008F2A3F" w:rsidRDefault="0043013D" w:rsidP="005B6819">
            <w:pPr>
              <w:pStyle w:val="Prrafodelista"/>
              <w:numPr>
                <w:ilvl w:val="0"/>
                <w:numId w:val="35"/>
              </w:numPr>
              <w:spacing w:after="0" w:line="240" w:lineRule="auto"/>
              <w:jc w:val="both"/>
            </w:pPr>
            <w:r w:rsidRPr="008F2A3F">
              <w:rPr>
                <w:b/>
              </w:rPr>
              <w:t>Programa Camino Diferencial de Vida</w:t>
            </w:r>
            <w:r w:rsidRPr="008F2A3F">
              <w:t>. Se desarrolla en los territorios donde adelantan su reincorporación los jóvenes que hacen parte del Programa. Los departamentos que presentan mayor cantidad de beneficiarios son Antioquia con 21, Caquetá con 17 y Meta con 12.</w:t>
            </w:r>
          </w:p>
          <w:p w:rsidR="0043013D" w:rsidRPr="008F2A3F" w:rsidRDefault="0043013D" w:rsidP="00E73961">
            <w:pPr>
              <w:spacing w:after="0" w:line="240" w:lineRule="auto"/>
              <w:ind w:left="720"/>
              <w:jc w:val="both"/>
            </w:pPr>
          </w:p>
          <w:p w:rsidR="0043013D" w:rsidRPr="008F2A3F" w:rsidRDefault="0043013D" w:rsidP="005B6819">
            <w:pPr>
              <w:pStyle w:val="Prrafodelista"/>
              <w:numPr>
                <w:ilvl w:val="0"/>
                <w:numId w:val="35"/>
              </w:numPr>
              <w:spacing w:after="0" w:line="240" w:lineRule="auto"/>
              <w:jc w:val="both"/>
            </w:pPr>
            <w:r w:rsidRPr="008F2A3F">
              <w:rPr>
                <w:b/>
              </w:rPr>
              <w:t xml:space="preserve">Ejercicios piloto para el diseño del programa Especial de Armonización para la Reintegración y Reincorporación Social y Económica con Enfoque Diferencial Étnico y de Género. </w:t>
            </w:r>
            <w:r w:rsidRPr="008F2A3F">
              <w:t>Los territorios priorizados fueron los siguientes: Norte del Cauca y Buenaventura; Quibdó; Colinas y Charras (Guaviare); Caldono (Cauca); Mayasquer (Cumbal, Nariño).</w:t>
            </w:r>
          </w:p>
          <w:p w:rsidR="0043013D" w:rsidRPr="008F2A3F" w:rsidRDefault="0043013D" w:rsidP="00E73961">
            <w:pPr>
              <w:pStyle w:val="Prrafodelista"/>
              <w:rPr>
                <w:b/>
              </w:rPr>
            </w:pPr>
          </w:p>
          <w:p w:rsidR="0043013D" w:rsidRPr="008F2A3F" w:rsidRDefault="0043013D" w:rsidP="005B6819">
            <w:pPr>
              <w:pStyle w:val="Prrafodelista"/>
              <w:numPr>
                <w:ilvl w:val="0"/>
                <w:numId w:val="34"/>
              </w:numPr>
              <w:rPr>
                <w:rFonts w:asciiTheme="minorHAnsi" w:hAnsiTheme="minorHAnsi" w:cstheme="minorHAnsi"/>
                <w:iCs/>
              </w:rPr>
            </w:pPr>
            <w:r w:rsidRPr="008F2A3F">
              <w:rPr>
                <w:rFonts w:asciiTheme="minorHAnsi" w:hAnsiTheme="minorHAnsi" w:cstheme="minorHAnsi"/>
                <w:b/>
                <w:iCs/>
              </w:rPr>
              <w:t>Proyectos productivos individuales o colectivo viabilizados con apoyo económico entregado</w:t>
            </w:r>
            <w:r w:rsidRPr="008F2A3F">
              <w:rPr>
                <w:rFonts w:asciiTheme="minorHAnsi" w:hAnsiTheme="minorHAnsi" w:cstheme="minorHAnsi"/>
                <w:iCs/>
              </w:rPr>
              <w:t>.</w:t>
            </w:r>
          </w:p>
          <w:p w:rsidR="00B4394E" w:rsidRPr="008F2A3F" w:rsidRDefault="0043013D" w:rsidP="006938F2">
            <w:pPr>
              <w:pStyle w:val="Prrafodelista"/>
              <w:spacing w:after="0" w:line="240" w:lineRule="auto"/>
              <w:jc w:val="center"/>
              <w:rPr>
                <w:b/>
                <w:sz w:val="24"/>
                <w:szCs w:val="24"/>
              </w:rPr>
            </w:pPr>
            <w:r w:rsidRPr="008F2A3F">
              <w:rPr>
                <w:i/>
              </w:rPr>
              <w:t xml:space="preserve">             </w:t>
            </w:r>
          </w:p>
          <w:tbl>
            <w:tblPr>
              <w:tblW w:w="5062" w:type="dxa"/>
              <w:jc w:val="center"/>
              <w:tblLayout w:type="fixed"/>
              <w:tblCellMar>
                <w:left w:w="70" w:type="dxa"/>
                <w:right w:w="70" w:type="dxa"/>
              </w:tblCellMar>
              <w:tblLook w:val="04A0" w:firstRow="1" w:lastRow="0" w:firstColumn="1" w:lastColumn="0" w:noHBand="0" w:noVBand="1"/>
            </w:tblPr>
            <w:tblGrid>
              <w:gridCol w:w="1939"/>
              <w:gridCol w:w="1564"/>
              <w:gridCol w:w="1559"/>
            </w:tblGrid>
            <w:tr w:rsidR="001F54B3" w:rsidRPr="008F2A3F" w:rsidTr="003329DD">
              <w:trPr>
                <w:trHeight w:val="300"/>
                <w:jc w:val="center"/>
              </w:trPr>
              <w:tc>
                <w:tcPr>
                  <w:tcW w:w="5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 xml:space="preserve">Proyectos </w:t>
                  </w:r>
                  <w:r w:rsidR="006B07C0" w:rsidRPr="008F2A3F">
                    <w:rPr>
                      <w:rFonts w:ascii="Arial" w:eastAsia="Times New Roman" w:hAnsi="Arial" w:cs="Arial"/>
                      <w:b/>
                      <w:bCs/>
                      <w:sz w:val="16"/>
                      <w:szCs w:val="16"/>
                      <w:lang w:eastAsia="es-CO"/>
                    </w:rPr>
                    <w:t>Productivos</w:t>
                  </w:r>
                  <w:r w:rsidRPr="008F2A3F">
                    <w:rPr>
                      <w:rFonts w:ascii="Arial" w:eastAsia="Times New Roman" w:hAnsi="Arial" w:cs="Arial"/>
                      <w:b/>
                      <w:bCs/>
                      <w:sz w:val="16"/>
                      <w:szCs w:val="16"/>
                      <w:lang w:eastAsia="es-CO"/>
                    </w:rPr>
                    <w:t xml:space="preserve"> Colectivos desembolsados a diciembre 2019</w:t>
                  </w:r>
                </w:p>
              </w:tc>
            </w:tr>
            <w:tr w:rsidR="001F54B3" w:rsidRPr="008F2A3F" w:rsidTr="003329DD">
              <w:trPr>
                <w:trHeight w:val="300"/>
                <w:jc w:val="center"/>
              </w:trPr>
              <w:tc>
                <w:tcPr>
                  <w:tcW w:w="19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Departamento</w:t>
                  </w:r>
                </w:p>
              </w:tc>
              <w:tc>
                <w:tcPr>
                  <w:tcW w:w="1564"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Cantidad de Proyectos</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Total Beneficiarios</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ANTIOQUIA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244</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ARAUCA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20</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BOGOTÁ D.C.</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3</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75</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BOLÍVAR</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25</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CAQUETÁ</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184</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CAUCA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6</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56</w:t>
                  </w:r>
                  <w:r w:rsidR="006B07C0" w:rsidRPr="008F2A3F">
                    <w:rPr>
                      <w:rFonts w:ascii="Arial" w:eastAsia="Times New Roman" w:hAnsi="Arial" w:cs="Arial"/>
                      <w:sz w:val="16"/>
                      <w:szCs w:val="16"/>
                      <w:lang w:eastAsia="es-CO"/>
                    </w:rPr>
                    <w:t>6</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CHOCÓ</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78</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CUNDINAMARCA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22</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GUAVIARE</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33</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HUILA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80</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META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8</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w:t>
                  </w:r>
                  <w:r w:rsidR="006B07C0" w:rsidRPr="008F2A3F">
                    <w:rPr>
                      <w:rFonts w:ascii="Arial" w:eastAsia="Times New Roman" w:hAnsi="Arial" w:cs="Arial"/>
                      <w:sz w:val="16"/>
                      <w:szCs w:val="16"/>
                      <w:lang w:eastAsia="es-CO"/>
                    </w:rPr>
                    <w:t>59</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PUTUMAYO</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90</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SUCRE</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4</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73</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TOLIMA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97</w:t>
                  </w:r>
                </w:p>
              </w:tc>
            </w:tr>
            <w:tr w:rsidR="001F54B3" w:rsidRPr="008F2A3F" w:rsidTr="003329DD">
              <w:trPr>
                <w:trHeight w:val="300"/>
                <w:jc w:val="center"/>
              </w:trPr>
              <w:tc>
                <w:tcPr>
                  <w:tcW w:w="19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Total general</w:t>
                  </w:r>
                </w:p>
              </w:tc>
              <w:tc>
                <w:tcPr>
                  <w:tcW w:w="1564"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43</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21</w:t>
                  </w:r>
                  <w:r w:rsidR="006B07C0" w:rsidRPr="008F2A3F">
                    <w:rPr>
                      <w:rFonts w:ascii="Arial" w:eastAsia="Times New Roman" w:hAnsi="Arial" w:cs="Arial"/>
                      <w:b/>
                      <w:bCs/>
                      <w:sz w:val="16"/>
                      <w:szCs w:val="16"/>
                      <w:lang w:eastAsia="es-CO"/>
                    </w:rPr>
                    <w:t>46</w:t>
                  </w:r>
                </w:p>
              </w:tc>
            </w:tr>
          </w:tbl>
          <w:p w:rsidR="0043013D" w:rsidRPr="008F2A3F" w:rsidRDefault="00CB0BF6" w:rsidP="0068713B">
            <w:pPr>
              <w:pStyle w:val="Prrafodelista"/>
              <w:spacing w:after="0" w:line="240" w:lineRule="auto"/>
              <w:ind w:left="2485"/>
              <w:rPr>
                <w:sz w:val="16"/>
                <w:szCs w:val="16"/>
              </w:rPr>
            </w:pPr>
            <w:r w:rsidRPr="008F2A3F">
              <w:rPr>
                <w:sz w:val="16"/>
                <w:szCs w:val="16"/>
              </w:rPr>
              <w:t xml:space="preserve">* El total de personas corresponden </w:t>
            </w:r>
            <w:r w:rsidR="00984982" w:rsidRPr="008F2A3F">
              <w:rPr>
                <w:sz w:val="16"/>
                <w:szCs w:val="16"/>
              </w:rPr>
              <w:t xml:space="preserve">al acumulado de proyectos desembolsados entre 2018 y 2019. </w:t>
            </w:r>
          </w:p>
          <w:p w:rsidR="00B4394E" w:rsidRPr="008F2A3F" w:rsidRDefault="00B4394E" w:rsidP="00E73961">
            <w:pPr>
              <w:spacing w:after="0" w:line="240" w:lineRule="auto"/>
              <w:jc w:val="both"/>
              <w:rPr>
                <w:i/>
                <w:sz w:val="24"/>
                <w:szCs w:val="24"/>
              </w:rPr>
            </w:pPr>
          </w:p>
          <w:p w:rsidR="003329DD" w:rsidRPr="008F2A3F" w:rsidRDefault="003329DD" w:rsidP="00E73961">
            <w:pPr>
              <w:spacing w:after="0" w:line="240" w:lineRule="auto"/>
              <w:jc w:val="both"/>
              <w:rPr>
                <w:i/>
                <w:sz w:val="24"/>
                <w:szCs w:val="24"/>
              </w:rPr>
            </w:pPr>
          </w:p>
          <w:p w:rsidR="003329DD" w:rsidRPr="008F2A3F" w:rsidRDefault="003329DD" w:rsidP="00E73961">
            <w:pPr>
              <w:spacing w:after="0" w:line="240" w:lineRule="auto"/>
              <w:jc w:val="both"/>
              <w:rPr>
                <w:i/>
                <w:sz w:val="24"/>
                <w:szCs w:val="24"/>
              </w:rPr>
            </w:pPr>
          </w:p>
          <w:tbl>
            <w:tblPr>
              <w:tblW w:w="4687" w:type="dxa"/>
              <w:jc w:val="center"/>
              <w:tblLayout w:type="fixed"/>
              <w:tblCellMar>
                <w:left w:w="0" w:type="dxa"/>
                <w:right w:w="0" w:type="dxa"/>
              </w:tblCellMar>
              <w:tblLook w:val="04A0" w:firstRow="1" w:lastRow="0" w:firstColumn="1" w:lastColumn="0" w:noHBand="0" w:noVBand="1"/>
            </w:tblPr>
            <w:tblGrid>
              <w:gridCol w:w="1897"/>
              <w:gridCol w:w="1332"/>
              <w:gridCol w:w="1458"/>
            </w:tblGrid>
            <w:tr w:rsidR="001F54B3" w:rsidRPr="008F2A3F" w:rsidTr="003329DD">
              <w:trPr>
                <w:trHeight w:val="300"/>
                <w:tblHeader/>
                <w:jc w:val="center"/>
              </w:trPr>
              <w:tc>
                <w:tcPr>
                  <w:tcW w:w="4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spacing w:after="0" w:line="240" w:lineRule="auto"/>
                    <w:jc w:val="center"/>
                    <w:rPr>
                      <w:rFonts w:ascii="Arial" w:hAnsi="Arial" w:cs="Arial"/>
                      <w:b/>
                      <w:bCs/>
                      <w:sz w:val="16"/>
                      <w:szCs w:val="16"/>
                      <w:lang w:eastAsia="es-CO"/>
                    </w:rPr>
                  </w:pPr>
                  <w:r w:rsidRPr="008F2A3F">
                    <w:rPr>
                      <w:rFonts w:ascii="Arial" w:hAnsi="Arial" w:cs="Arial"/>
                      <w:b/>
                      <w:bCs/>
                      <w:sz w:val="16"/>
                      <w:szCs w:val="16"/>
                    </w:rPr>
                    <w:lastRenderedPageBreak/>
                    <w:t>PROYECTOS</w:t>
                  </w:r>
                  <w:r w:rsidR="006B07C0" w:rsidRPr="008F2A3F">
                    <w:rPr>
                      <w:rFonts w:ascii="Arial" w:hAnsi="Arial" w:cs="Arial"/>
                      <w:b/>
                      <w:bCs/>
                      <w:sz w:val="16"/>
                      <w:szCs w:val="16"/>
                    </w:rPr>
                    <w:t xml:space="preserve"> PRODUCTIVOS</w:t>
                  </w:r>
                  <w:r w:rsidRPr="008F2A3F">
                    <w:rPr>
                      <w:rFonts w:ascii="Arial" w:hAnsi="Arial" w:cs="Arial"/>
                      <w:b/>
                      <w:bCs/>
                      <w:sz w:val="16"/>
                      <w:szCs w:val="16"/>
                    </w:rPr>
                    <w:t xml:space="preserve"> INDIVIDUALES DESEMBOLSADOS A DICIEMBRE 2019</w:t>
                  </w:r>
                </w:p>
              </w:tc>
            </w:tr>
            <w:tr w:rsidR="001F54B3" w:rsidRPr="008F2A3F" w:rsidTr="003329DD">
              <w:trPr>
                <w:trHeight w:val="300"/>
                <w:tblHeader/>
                <w:jc w:val="center"/>
              </w:trPr>
              <w:tc>
                <w:tcPr>
                  <w:tcW w:w="1897" w:type="dxa"/>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Departamento</w:t>
                  </w:r>
                </w:p>
              </w:tc>
              <w:tc>
                <w:tcPr>
                  <w:tcW w:w="1332"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Cantidad de Proyectos</w:t>
                  </w:r>
                </w:p>
              </w:tc>
              <w:tc>
                <w:tcPr>
                  <w:tcW w:w="1445"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Total Beneficiarios</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ANTIOQUIA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ARAUCA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67</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75</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ATLÁNTICO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12</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BOGOTÁ D.C.</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58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65</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BOLÍVAR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BOYACÁ</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CALDAS</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CAQUETÁ</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71</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CASANARE</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CAUCA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14</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CESAR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CHOCÓ</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CÓRDOBA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CUNDINAMARCA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GUAINÍA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GUAVIARE</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15</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HUILA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90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97</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LA GUAJIRA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MAGDALENA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META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50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NARIÑO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15</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17</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NORTE DE SANTANDER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157</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186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PUTUMAYO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QUINDÍO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RISARALDA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SANTANDER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44</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SUCRE</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TOLIMA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VALLE DEL CAUCA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22</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VAUPÉS</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r>
            <w:tr w:rsidR="001F54B3" w:rsidRPr="008F2A3F" w:rsidTr="003329DD">
              <w:trPr>
                <w:trHeight w:val="300"/>
                <w:jc w:val="center"/>
              </w:trPr>
              <w:tc>
                <w:tcPr>
                  <w:tcW w:w="1897" w:type="dxa"/>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Total general</w:t>
                  </w:r>
                </w:p>
              </w:tc>
              <w:tc>
                <w:tcPr>
                  <w:tcW w:w="1332"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883</w:t>
                  </w:r>
                </w:p>
              </w:tc>
              <w:tc>
                <w:tcPr>
                  <w:tcW w:w="1445"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1030</w:t>
                  </w:r>
                </w:p>
              </w:tc>
            </w:tr>
          </w:tbl>
          <w:p w:rsidR="00984982" w:rsidRPr="008F2A3F" w:rsidRDefault="00984982" w:rsidP="0068713B">
            <w:pPr>
              <w:pStyle w:val="Prrafodelista"/>
              <w:spacing w:after="0" w:line="240" w:lineRule="auto"/>
              <w:ind w:left="2627"/>
              <w:rPr>
                <w:sz w:val="16"/>
                <w:szCs w:val="16"/>
              </w:rPr>
            </w:pPr>
            <w:r w:rsidRPr="008F2A3F">
              <w:rPr>
                <w:sz w:val="16"/>
                <w:szCs w:val="16"/>
              </w:rPr>
              <w:t xml:space="preserve">* El total de personas corresponden al acumulado de proyectos desembolsados entre 2018 y 2019. </w:t>
            </w:r>
          </w:p>
          <w:p w:rsidR="0043013D" w:rsidRPr="008F2A3F" w:rsidRDefault="00622864" w:rsidP="00B92577">
            <w:pPr>
              <w:pStyle w:val="Prrafodelista"/>
              <w:spacing w:after="0" w:line="240" w:lineRule="auto"/>
              <w:ind w:left="1068"/>
              <w:jc w:val="center"/>
            </w:pPr>
            <w:r w:rsidRPr="008F2A3F" w:rsidDel="0095327A">
              <w:rPr>
                <w:noProof/>
                <w:lang w:eastAsia="es-CO"/>
              </w:rPr>
              <w:t xml:space="preserve"> </w:t>
            </w:r>
          </w:p>
        </w:tc>
      </w:tr>
    </w:tbl>
    <w:p w:rsidR="00F67B04" w:rsidRDefault="00F67B04" w:rsidP="0043013D">
      <w:pPr>
        <w:spacing w:line="240" w:lineRule="auto"/>
        <w:ind w:left="108"/>
        <w:rPr>
          <w:i/>
          <w:sz w:val="28"/>
          <w:szCs w:val="28"/>
        </w:rPr>
      </w:pPr>
    </w:p>
    <w:p w:rsidR="00F67B04" w:rsidRDefault="00F67B04" w:rsidP="0043013D">
      <w:pPr>
        <w:spacing w:line="240" w:lineRule="auto"/>
        <w:ind w:left="108"/>
        <w:rPr>
          <w:i/>
          <w:sz w:val="28"/>
          <w:szCs w:val="28"/>
        </w:rPr>
      </w:pPr>
    </w:p>
    <w:p w:rsidR="00F67B04" w:rsidRDefault="00F67B04" w:rsidP="0043013D">
      <w:pPr>
        <w:spacing w:line="240" w:lineRule="auto"/>
        <w:ind w:left="108"/>
        <w:rPr>
          <w:i/>
          <w:sz w:val="28"/>
          <w:szCs w:val="28"/>
        </w:rPr>
      </w:pPr>
    </w:p>
    <w:p w:rsidR="0043013D" w:rsidRPr="008F2A3F" w:rsidRDefault="0043013D" w:rsidP="0043013D">
      <w:pPr>
        <w:spacing w:line="240" w:lineRule="auto"/>
        <w:ind w:left="108"/>
        <w:rPr>
          <w:sz w:val="32"/>
          <w:szCs w:val="32"/>
          <w:u w:val="single"/>
        </w:rPr>
      </w:pPr>
      <w:r w:rsidRPr="008F2A3F">
        <w:rPr>
          <w:i/>
          <w:sz w:val="28"/>
          <w:szCs w:val="28"/>
        </w:rPr>
        <w:t>Acción 3.</w:t>
      </w:r>
      <w:r w:rsidRPr="008F2A3F">
        <w:rPr>
          <w:b/>
          <w:sz w:val="36"/>
          <w:szCs w:val="36"/>
        </w:rPr>
        <w:t xml:space="preserve"> </w:t>
      </w:r>
      <w:r w:rsidRPr="008F2A3F">
        <w:rPr>
          <w:b/>
          <w:sz w:val="36"/>
          <w:szCs w:val="36"/>
        </w:rPr>
        <w:br/>
      </w:r>
      <w:r w:rsidRPr="008F2A3F">
        <w:rPr>
          <w:rFonts w:cs="Arial"/>
          <w:b/>
          <w:sz w:val="40"/>
          <w:szCs w:val="36"/>
        </w:rPr>
        <w:t>Trámites para el acceso a la oferta institucional.</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r w:rsidRPr="008F2A3F">
              <w:rPr>
                <w:b/>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sz w:val="24"/>
                <w:szCs w:val="24"/>
              </w:rPr>
            </w:pPr>
            <w:r w:rsidRPr="008F2A3F">
              <w:rPr>
                <w:rFonts w:cs="Arial"/>
                <w:sz w:val="24"/>
                <w:szCs w:val="24"/>
                <w:lang w:val="es-ES"/>
              </w:rPr>
              <w:t>En el Marco del Fin del Conflicto: a) Trámite de afiliación al Sistema General de Seguridad Social en Salud –SGSSS de integrantes FARC y su grupo familiar. b) Trámite de libreta militar. c) Trámite de cédula de ciudadanía a integrantes FARC. d) Ajustar procedimientos para beneficios del programa de reincorporación.</w:t>
            </w:r>
          </w:p>
        </w:tc>
      </w:tr>
    </w:tbl>
    <w:p w:rsidR="0043013D" w:rsidRPr="008F2A3F" w:rsidRDefault="0043013D" w:rsidP="0043013D">
      <w:pPr>
        <w:spacing w:line="240" w:lineRule="auto"/>
        <w:jc w:val="both"/>
        <w:rPr>
          <w:sz w:val="32"/>
          <w:szCs w:val="32"/>
          <w:u w:val="single"/>
        </w:rPr>
      </w:pPr>
    </w:p>
    <w:p w:rsidR="0043013D" w:rsidRPr="008F2A3F" w:rsidRDefault="0043013D" w:rsidP="0043013D">
      <w:pPr>
        <w:spacing w:line="240" w:lineRule="auto"/>
        <w:jc w:val="both"/>
        <w:rPr>
          <w:sz w:val="24"/>
          <w:szCs w:val="24"/>
        </w:rPr>
      </w:pPr>
      <w:r w:rsidRPr="008F2A3F">
        <w:rPr>
          <w:sz w:val="24"/>
          <w:szCs w:val="24"/>
        </w:rPr>
        <w:t>Para dar cumplimiento a los compromisos acá relacionados, esta entidad tiene a cargo los siguientes productos del Plan Marco de Implementación.</w:t>
      </w:r>
    </w:p>
    <w:p w:rsidR="0043013D" w:rsidRPr="00F67B04" w:rsidRDefault="00115989" w:rsidP="0043013D">
      <w:pPr>
        <w:spacing w:line="240" w:lineRule="auto"/>
        <w:jc w:val="both"/>
        <w:rPr>
          <w:color w:val="3366CC"/>
          <w:sz w:val="32"/>
          <w:szCs w:val="32"/>
          <w:u w:val="single"/>
        </w:rPr>
      </w:pPr>
      <w:r w:rsidRPr="00F67B04">
        <w:rPr>
          <w:color w:val="3366CC"/>
          <w:sz w:val="32"/>
          <w:szCs w:val="32"/>
          <w:u w:val="single"/>
        </w:rPr>
        <w:t>P</w:t>
      </w:r>
      <w:r w:rsidR="0043013D" w:rsidRPr="00F67B04">
        <w:rPr>
          <w:color w:val="3366CC"/>
          <w:sz w:val="32"/>
          <w:szCs w:val="32"/>
          <w:u w:val="single"/>
        </w:rPr>
        <w:t xml:space="preserve">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8"/>
        <w:gridCol w:w="2528"/>
        <w:gridCol w:w="1580"/>
        <w:gridCol w:w="1073"/>
        <w:gridCol w:w="1070"/>
      </w:tblGrid>
      <w:tr w:rsidR="0043013D" w:rsidRPr="008F2A3F" w:rsidTr="00E45C95">
        <w:trPr>
          <w:trHeight w:val="400"/>
          <w:tblHeader/>
        </w:trPr>
        <w:tc>
          <w:tcPr>
            <w:tcW w:w="1511"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411"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882"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99"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98"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43013D" w:rsidRPr="008F2A3F" w:rsidTr="00E73961">
        <w:trPr>
          <w:trHeight w:val="400"/>
        </w:trPr>
        <w:tc>
          <w:tcPr>
            <w:tcW w:w="1511" w:type="pct"/>
            <w:shd w:val="clear" w:color="auto" w:fill="E8E8E8"/>
          </w:tcPr>
          <w:p w:rsidR="0043013D" w:rsidRPr="008F2A3F" w:rsidRDefault="0043013D" w:rsidP="00E73961">
            <w:pPr>
              <w:spacing w:after="0" w:line="240" w:lineRule="auto"/>
            </w:pPr>
            <w:r w:rsidRPr="008F2A3F">
              <w:rPr>
                <w:rFonts w:cs="Arial"/>
                <w:lang w:val="es-ES_tradnl"/>
              </w:rPr>
              <w:t>Garantías para una reincorporación económica y social sostenible.</w:t>
            </w:r>
          </w:p>
          <w:p w:rsidR="0043013D" w:rsidRPr="008F2A3F" w:rsidRDefault="0043013D" w:rsidP="00E73961">
            <w:pPr>
              <w:spacing w:after="0" w:line="240" w:lineRule="auto"/>
              <w:rPr>
                <w:highlight w:val="yellow"/>
              </w:rPr>
            </w:pPr>
          </w:p>
        </w:tc>
        <w:tc>
          <w:tcPr>
            <w:tcW w:w="1411" w:type="pct"/>
            <w:shd w:val="clear" w:color="auto" w:fill="E8E8E8"/>
          </w:tcPr>
          <w:p w:rsidR="0043013D" w:rsidRPr="008F2A3F" w:rsidRDefault="0043013D" w:rsidP="00E73961">
            <w:pPr>
              <w:spacing w:after="0" w:line="240" w:lineRule="auto"/>
              <w:rPr>
                <w:highlight w:val="yellow"/>
              </w:rPr>
            </w:pPr>
            <w:r w:rsidRPr="008F2A3F">
              <w:rPr>
                <w:rFonts w:cs="Arial"/>
                <w:lang w:val="es-ES_tradnl"/>
              </w:rPr>
              <w:t>Porcentaje de miembros de FARC-EP acreditados y que voluntariamente acceden a la ruta reincorporación con todas las medidas de la reincorporación económica y social sostenible</w:t>
            </w:r>
          </w:p>
        </w:tc>
        <w:tc>
          <w:tcPr>
            <w:tcW w:w="882"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Consejo Nacional de Reincorporación</w:t>
            </w:r>
          </w:p>
        </w:tc>
        <w:tc>
          <w:tcPr>
            <w:tcW w:w="14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Consejos territoriales de Reincorporación creados y en funcionamiento</w:t>
            </w:r>
          </w:p>
        </w:tc>
        <w:tc>
          <w:tcPr>
            <w:tcW w:w="882" w:type="pct"/>
            <w:shd w:val="clear" w:color="auto" w:fill="E8E8E8"/>
          </w:tcPr>
          <w:p w:rsidR="0043013D" w:rsidRPr="008F2A3F" w:rsidRDefault="0043013D" w:rsidP="00E73961">
            <w:pPr>
              <w:spacing w:after="0" w:line="240" w:lineRule="auto"/>
            </w:pPr>
            <w:r w:rsidRPr="008F2A3F">
              <w:t xml:space="preserve">Presidencia </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Programa de atención especial para discapacitados del conflicto con incapacidad permanente y adultos mayores, que gestione recursos de cooperación no reembolsable internacional y de instituciones no gubernamentales para su realización</w:t>
            </w:r>
          </w:p>
        </w:tc>
        <w:tc>
          <w:tcPr>
            <w:tcW w:w="14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 xml:space="preserve">Programa de atención especial para discapacitados del conflicto con incapacidad permanente y adultos mayores, que gestione recursos de cooperación no reembolsable internacional y de instituciones no </w:t>
            </w:r>
            <w:r w:rsidRPr="008F2A3F">
              <w:rPr>
                <w:rFonts w:cs="Arial"/>
                <w:lang w:val="es-ES_tradnl"/>
              </w:rPr>
              <w:lastRenderedPageBreak/>
              <w:t>gubernamentales para su realización, creado</w:t>
            </w:r>
          </w:p>
        </w:tc>
        <w:tc>
          <w:tcPr>
            <w:tcW w:w="882" w:type="pct"/>
            <w:shd w:val="clear" w:color="auto" w:fill="E8E8E8"/>
          </w:tcPr>
          <w:p w:rsidR="0043013D" w:rsidRPr="008F2A3F" w:rsidRDefault="0043013D" w:rsidP="00E73961">
            <w:pPr>
              <w:spacing w:after="0" w:line="240" w:lineRule="auto"/>
            </w:pPr>
            <w:r w:rsidRPr="008F2A3F">
              <w:lastRenderedPageBreak/>
              <w:t xml:space="preserve">Presidencia </w:t>
            </w:r>
          </w:p>
        </w:tc>
        <w:tc>
          <w:tcPr>
            <w:tcW w:w="599" w:type="pct"/>
            <w:shd w:val="clear" w:color="auto" w:fill="E8E8E8"/>
          </w:tcPr>
          <w:p w:rsidR="0043013D" w:rsidRPr="008F2A3F" w:rsidRDefault="0043013D" w:rsidP="00E73961">
            <w:pPr>
              <w:spacing w:after="0" w:line="240" w:lineRule="auto"/>
            </w:pPr>
            <w:r w:rsidRPr="008F2A3F">
              <w:t>2018</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1" w:type="pct"/>
            <w:tcBorders>
              <w:left w:val="nil"/>
              <w:right w:val="nil"/>
            </w:tcBorders>
            <w:shd w:val="clear" w:color="auto" w:fill="auto"/>
          </w:tcPr>
          <w:p w:rsidR="00115989" w:rsidRPr="008F2A3F" w:rsidRDefault="00115989" w:rsidP="00E73961">
            <w:pPr>
              <w:spacing w:after="0" w:line="240" w:lineRule="auto"/>
            </w:pPr>
          </w:p>
        </w:tc>
        <w:tc>
          <w:tcPr>
            <w:tcW w:w="1411" w:type="pct"/>
            <w:tcBorders>
              <w:left w:val="nil"/>
              <w:right w:val="nil"/>
            </w:tcBorders>
          </w:tcPr>
          <w:p w:rsidR="0043013D" w:rsidRPr="008F2A3F" w:rsidRDefault="0043013D" w:rsidP="00E73961">
            <w:pPr>
              <w:spacing w:after="0" w:line="240" w:lineRule="auto"/>
            </w:pPr>
          </w:p>
        </w:tc>
        <w:tc>
          <w:tcPr>
            <w:tcW w:w="882" w:type="pct"/>
            <w:tcBorders>
              <w:left w:val="nil"/>
              <w:right w:val="nil"/>
            </w:tcBorders>
          </w:tcPr>
          <w:p w:rsidR="0043013D" w:rsidRPr="008F2A3F" w:rsidRDefault="0043013D" w:rsidP="00E73961">
            <w:pPr>
              <w:spacing w:after="0" w:line="240" w:lineRule="auto"/>
            </w:pPr>
          </w:p>
        </w:tc>
        <w:tc>
          <w:tcPr>
            <w:tcW w:w="599" w:type="pct"/>
            <w:tcBorders>
              <w:left w:val="nil"/>
              <w:right w:val="nil"/>
            </w:tcBorders>
          </w:tcPr>
          <w:p w:rsidR="0043013D" w:rsidRPr="008F2A3F" w:rsidRDefault="0043013D" w:rsidP="00E73961">
            <w:pPr>
              <w:spacing w:after="0" w:line="240" w:lineRule="auto"/>
            </w:pPr>
          </w:p>
        </w:tc>
        <w:tc>
          <w:tcPr>
            <w:tcW w:w="598" w:type="pct"/>
            <w:tcBorders>
              <w:left w:val="nil"/>
              <w:right w:val="nil"/>
            </w:tcBorders>
          </w:tcPr>
          <w:p w:rsidR="0043013D" w:rsidRPr="008F2A3F" w:rsidRDefault="0043013D" w:rsidP="00E73961">
            <w:pPr>
              <w:spacing w:after="0" w:line="240" w:lineRule="auto"/>
            </w:pPr>
          </w:p>
        </w:tc>
      </w:tr>
    </w:tbl>
    <w:p w:rsidR="0043013D" w:rsidRPr="00F67B04" w:rsidRDefault="0043013D" w:rsidP="0043013D">
      <w:pPr>
        <w:spacing w:line="240" w:lineRule="auto"/>
        <w:jc w:val="both"/>
        <w:rPr>
          <w:color w:val="3366CC"/>
          <w:sz w:val="32"/>
          <w:szCs w:val="32"/>
          <w:u w:val="single"/>
        </w:rPr>
      </w:pPr>
      <w:r w:rsidRPr="00F67B04">
        <w:rPr>
          <w:color w:val="3366CC"/>
          <w:sz w:val="32"/>
          <w:szCs w:val="32"/>
          <w:u w:val="single"/>
        </w:rPr>
        <w:t>Actividades que se desarrollaron:</w:t>
      </w:r>
    </w:p>
    <w:tbl>
      <w:tblPr>
        <w:tblW w:w="8528"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1867"/>
        <w:gridCol w:w="6661"/>
      </w:tblGrid>
      <w:tr w:rsidR="0043013D" w:rsidRPr="008F2A3F" w:rsidTr="00E73961">
        <w:trPr>
          <w:trHeight w:val="380"/>
          <w:tblHeader/>
        </w:trPr>
        <w:tc>
          <w:tcPr>
            <w:tcW w:w="1867"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43013D" w:rsidRPr="008F2A3F" w:rsidTr="00E73961">
        <w:trPr>
          <w:trHeight w:val="380"/>
        </w:trPr>
        <w:tc>
          <w:tcPr>
            <w:tcW w:w="1867" w:type="dxa"/>
            <w:tcBorders>
              <w:right w:val="nil"/>
            </w:tcBorders>
            <w:shd w:val="clear" w:color="auto" w:fill="auto"/>
          </w:tcPr>
          <w:p w:rsidR="0043013D" w:rsidRPr="008F2A3F" w:rsidRDefault="0043013D" w:rsidP="00E73961">
            <w:pPr>
              <w:spacing w:after="0" w:line="240" w:lineRule="auto"/>
              <w:rPr>
                <w:b/>
              </w:rPr>
            </w:pPr>
            <w:r w:rsidRPr="008F2A3F">
              <w:rPr>
                <w:b/>
              </w:rPr>
              <w:t>2019</w:t>
            </w:r>
          </w:p>
        </w:tc>
        <w:tc>
          <w:tcPr>
            <w:tcW w:w="6661" w:type="dxa"/>
            <w:tcBorders>
              <w:left w:val="nil"/>
              <w:right w:val="nil"/>
            </w:tcBorders>
            <w:shd w:val="clear" w:color="auto" w:fill="auto"/>
          </w:tcPr>
          <w:p w:rsidR="00E5688D" w:rsidRPr="008F2A3F" w:rsidRDefault="0043013D" w:rsidP="005B6819">
            <w:pPr>
              <w:pStyle w:val="Prrafodelista"/>
              <w:numPr>
                <w:ilvl w:val="0"/>
                <w:numId w:val="6"/>
              </w:numPr>
              <w:ind w:left="307"/>
              <w:jc w:val="both"/>
              <w:rPr>
                <w:rFonts w:cstheme="minorHAnsi"/>
                <w:lang w:val="es-ES"/>
              </w:rPr>
            </w:pPr>
            <w:r w:rsidRPr="008F2A3F">
              <w:rPr>
                <w:rFonts w:cstheme="minorHAnsi"/>
              </w:rPr>
              <w:t>Acompañamiento a la población</w:t>
            </w:r>
            <w:r w:rsidR="00E5688D" w:rsidRPr="008F2A3F">
              <w:rPr>
                <w:rFonts w:cstheme="minorHAnsi"/>
              </w:rPr>
              <w:t xml:space="preserve"> en proceso de reincorporación.</w:t>
            </w:r>
          </w:p>
          <w:p w:rsidR="00FA3E42" w:rsidRPr="008F2A3F" w:rsidRDefault="0043013D" w:rsidP="005B6819">
            <w:pPr>
              <w:pStyle w:val="Prrafodelista"/>
              <w:numPr>
                <w:ilvl w:val="0"/>
                <w:numId w:val="6"/>
              </w:numPr>
              <w:ind w:left="307"/>
              <w:jc w:val="both"/>
              <w:rPr>
                <w:rFonts w:cstheme="minorHAnsi"/>
                <w:lang w:val="es-ES"/>
              </w:rPr>
            </w:pPr>
            <w:r w:rsidRPr="008F2A3F">
              <w:rPr>
                <w:rFonts w:cstheme="minorHAnsi"/>
              </w:rPr>
              <w:t>Diseño, socialización y validación del</w:t>
            </w:r>
            <w:r w:rsidRPr="008F2A3F">
              <w:rPr>
                <w:rFonts w:cstheme="minorHAnsi"/>
                <w:lang w:val="es-ES"/>
              </w:rPr>
              <w:t xml:space="preserve"> documento que contiene el Programa “CAPAZCIDADES” de atención a necesidades específicas para personas adultas mayores, con discapacidad y enfermedad de alto costo, exintegrantes de las FARC- EP con el que se da respuesta a lo establecido en el Plan Marco de implementación. </w:t>
            </w:r>
          </w:p>
          <w:p w:rsidR="0043013D" w:rsidRPr="008F2A3F" w:rsidRDefault="00FA3E42" w:rsidP="005B6819">
            <w:pPr>
              <w:pStyle w:val="Prrafodelista"/>
              <w:numPr>
                <w:ilvl w:val="0"/>
                <w:numId w:val="6"/>
              </w:numPr>
              <w:ind w:left="307"/>
              <w:jc w:val="both"/>
              <w:rPr>
                <w:rFonts w:cstheme="minorHAnsi"/>
                <w:lang w:val="es-ES"/>
              </w:rPr>
            </w:pPr>
            <w:r w:rsidRPr="008F2A3F">
              <w:rPr>
                <w:rFonts w:cstheme="minorHAnsi"/>
                <w:lang w:val="es-ES"/>
              </w:rPr>
              <w:t xml:space="preserve">Se establece la ruta de reincorporación mediante la resolución 4309 del 24 de diciembre de 2019. </w:t>
            </w:r>
          </w:p>
          <w:p w:rsidR="0043013D" w:rsidRPr="008F2A3F" w:rsidRDefault="0043013D" w:rsidP="00E73961">
            <w:pPr>
              <w:spacing w:after="0" w:line="240" w:lineRule="auto"/>
              <w:ind w:left="307"/>
            </w:pPr>
          </w:p>
        </w:tc>
      </w:tr>
    </w:tbl>
    <w:p w:rsidR="0043013D" w:rsidRPr="008F2A3F" w:rsidRDefault="0043013D" w:rsidP="0043013D">
      <w:pPr>
        <w:spacing w:line="240" w:lineRule="auto"/>
        <w:jc w:val="both"/>
        <w:rPr>
          <w:sz w:val="32"/>
          <w:szCs w:val="32"/>
          <w:u w:val="single"/>
        </w:rPr>
      </w:pP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43013D" w:rsidRPr="008F2A3F" w:rsidTr="00755994">
        <w:tc>
          <w:tcPr>
            <w:tcW w:w="9356" w:type="dxa"/>
            <w:shd w:val="clear" w:color="auto" w:fill="F2F2F2"/>
          </w:tcPr>
          <w:p w:rsidR="0043013D" w:rsidRPr="00F67B04" w:rsidRDefault="0043013D" w:rsidP="00F67B04">
            <w:pPr>
              <w:spacing w:line="240" w:lineRule="auto"/>
              <w:jc w:val="both"/>
              <w:rPr>
                <w:color w:val="3366CC"/>
                <w:sz w:val="32"/>
                <w:szCs w:val="32"/>
                <w:u w:val="single"/>
              </w:rPr>
            </w:pPr>
            <w:r w:rsidRPr="00F67B04">
              <w:rPr>
                <w:color w:val="3366CC"/>
                <w:sz w:val="32"/>
                <w:szCs w:val="32"/>
                <w:u w:val="single"/>
              </w:rPr>
              <w:t>¿Cómo se hizo?</w:t>
            </w:r>
            <w:r w:rsidRPr="00F67B04">
              <w:rPr>
                <w:noProof/>
                <w:color w:val="3366CC"/>
                <w:sz w:val="32"/>
                <w:szCs w:val="32"/>
                <w:u w:val="single"/>
                <w:lang w:val="es-419" w:eastAsia="es-419"/>
              </w:rPr>
              <w:drawing>
                <wp:anchor distT="0" distB="0" distL="114300" distR="114300" simplePos="0" relativeHeight="251704832" behindDoc="0" locked="0" layoutInCell="1" hidden="0" allowOverlap="1" wp14:anchorId="03124FC4" wp14:editId="708AB8A4">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43013D" w:rsidRPr="008F2A3F" w:rsidRDefault="0043013D" w:rsidP="00E73961">
            <w:pPr>
              <w:spacing w:after="0" w:line="240" w:lineRule="auto"/>
              <w:jc w:val="both"/>
              <w:rPr>
                <w:i/>
              </w:rPr>
            </w:pPr>
            <w:r w:rsidRPr="008F2A3F">
              <w:rPr>
                <w:i/>
              </w:rPr>
              <w:t>2019</w:t>
            </w:r>
          </w:p>
          <w:p w:rsidR="0043013D" w:rsidRPr="008F2A3F" w:rsidRDefault="0043013D" w:rsidP="00E73961">
            <w:pPr>
              <w:spacing w:after="0" w:line="240" w:lineRule="auto"/>
              <w:jc w:val="both"/>
              <w:rPr>
                <w:i/>
              </w:rPr>
            </w:pPr>
          </w:p>
          <w:p w:rsidR="0043013D" w:rsidRPr="008F2A3F" w:rsidRDefault="0043013D" w:rsidP="005B6819">
            <w:pPr>
              <w:pStyle w:val="Prrafodelista"/>
              <w:numPr>
                <w:ilvl w:val="0"/>
                <w:numId w:val="29"/>
              </w:numPr>
              <w:spacing w:after="0" w:line="240" w:lineRule="auto"/>
              <w:ind w:left="29" w:firstLine="0"/>
              <w:jc w:val="both"/>
              <w:rPr>
                <w:rFonts w:cstheme="minorHAnsi"/>
              </w:rPr>
            </w:pPr>
            <w:r w:rsidRPr="008F2A3F">
              <w:rPr>
                <w:rFonts w:cstheme="minorHAnsi"/>
              </w:rPr>
              <w:t xml:space="preserve">Frente al indicador </w:t>
            </w:r>
            <w:r w:rsidRPr="008F2A3F">
              <w:rPr>
                <w:rFonts w:cstheme="minorHAnsi"/>
                <w:b/>
                <w:u w:val="single"/>
              </w:rPr>
              <w:t>Porcentaje de miembros de FARC-EP acreditados y que voluntariamente acceden a la ruta reincorporación con todas las medidas de la reincorporación económica y social sostenible</w:t>
            </w:r>
            <w:r w:rsidRPr="008F2A3F">
              <w:rPr>
                <w:rFonts w:cstheme="minorHAnsi"/>
              </w:rPr>
              <w:t>,</w:t>
            </w:r>
            <w:r w:rsidRPr="008F2A3F">
              <w:rPr>
                <w:rFonts w:cstheme="minorHAnsi"/>
                <w:b/>
              </w:rPr>
              <w:t xml:space="preserve"> </w:t>
            </w:r>
            <w:r w:rsidRPr="008F2A3F">
              <w:rPr>
                <w:rFonts w:cstheme="minorHAnsi"/>
              </w:rPr>
              <w:t>la a</w:t>
            </w:r>
            <w:r w:rsidR="007A3AAB" w:rsidRPr="008F2A3F">
              <w:rPr>
                <w:rFonts w:cstheme="minorHAnsi"/>
              </w:rPr>
              <w:t xml:space="preserve"> </w:t>
            </w:r>
            <w:r w:rsidRPr="008F2A3F">
              <w:rPr>
                <w:rFonts w:cstheme="minorHAnsi"/>
              </w:rPr>
              <w:t>tención a miembros de FARC-EP acreditados está fundamentada en la prestación de alguno de los siguientes servicios: Actividad con actor externo, Actividad Individual, Actividad Familiar o Actividad Grupal. Esta brindada por uno de los facilitadores de la Agencia quienes realizan el acompañamiento de las personas acreditadas que acceden al a ruta de reincorporación.</w:t>
            </w:r>
          </w:p>
          <w:p w:rsidR="0043013D" w:rsidRPr="008F2A3F" w:rsidRDefault="0043013D" w:rsidP="00E73961">
            <w:pPr>
              <w:spacing w:after="0" w:line="240" w:lineRule="auto"/>
              <w:jc w:val="both"/>
              <w:rPr>
                <w:i/>
              </w:rPr>
            </w:pPr>
          </w:p>
          <w:p w:rsidR="0043013D" w:rsidRPr="008F2A3F" w:rsidRDefault="00617C11" w:rsidP="00E73961">
            <w:pPr>
              <w:spacing w:after="0" w:line="240" w:lineRule="auto"/>
              <w:jc w:val="both"/>
              <w:rPr>
                <w:rFonts w:cs="Arial"/>
              </w:rPr>
            </w:pPr>
            <w:r w:rsidRPr="008F2A3F">
              <w:t>P</w:t>
            </w:r>
            <w:r w:rsidR="0043013D" w:rsidRPr="008F2A3F">
              <w:t>ara la vigencia 2019</w:t>
            </w:r>
            <w:r w:rsidR="0043013D" w:rsidRPr="008F2A3F">
              <w:rPr>
                <w:i/>
              </w:rPr>
              <w:t xml:space="preserve">, </w:t>
            </w:r>
            <w:r w:rsidR="0043013D" w:rsidRPr="008F2A3F">
              <w:rPr>
                <w:rFonts w:cs="Arial"/>
              </w:rPr>
              <w:t>el porcentaje de personas</w:t>
            </w:r>
            <w:r w:rsidR="0043013D" w:rsidRPr="008F2A3F">
              <w:rPr>
                <w:i/>
              </w:rPr>
              <w:t xml:space="preserve"> </w:t>
            </w:r>
            <w:r w:rsidR="0043013D" w:rsidRPr="008F2A3F">
              <w:rPr>
                <w:rFonts w:cs="Arial"/>
              </w:rPr>
              <w:t>acreditadas por la OACP</w:t>
            </w:r>
            <w:r w:rsidRPr="008F2A3F">
              <w:rPr>
                <w:rStyle w:val="Refdenotaalpie"/>
                <w:rFonts w:cs="Arial"/>
              </w:rPr>
              <w:footnoteReference w:id="5"/>
            </w:r>
            <w:r w:rsidR="0043013D" w:rsidRPr="008F2A3F">
              <w:rPr>
                <w:rFonts w:cs="Arial"/>
              </w:rPr>
              <w:t xml:space="preserve"> como ex integrantes de FARC EP </w:t>
            </w:r>
            <w:r w:rsidR="0043013D" w:rsidRPr="008F2A3F">
              <w:rPr>
                <w:rFonts w:cs="Arial"/>
                <w:i/>
              </w:rPr>
              <w:t>atendidos</w:t>
            </w:r>
            <w:r w:rsidR="0043013D" w:rsidRPr="008F2A3F">
              <w:rPr>
                <w:rFonts w:cs="Arial"/>
              </w:rPr>
              <w:t xml:space="preserve"> aumentó en 30 puntos porcentuales al pasar de 53% en el mes de enero a 83% en diciembre, de los cuales </w:t>
            </w:r>
            <w:r w:rsidR="0043013D" w:rsidRPr="008F2A3F">
              <w:rPr>
                <w:rFonts w:cstheme="minorHAnsi"/>
              </w:rPr>
              <w:t>2.764 son mujeres, 7.921 son</w:t>
            </w:r>
            <w:r w:rsidR="0043013D" w:rsidRPr="008F2A3F">
              <w:rPr>
                <w:rFonts w:cstheme="minorHAnsi"/>
                <w:sz w:val="24"/>
                <w:szCs w:val="24"/>
              </w:rPr>
              <w:t xml:space="preserve"> </w:t>
            </w:r>
            <w:r w:rsidR="0043013D" w:rsidRPr="008F2A3F">
              <w:rPr>
                <w:rFonts w:cstheme="minorHAnsi"/>
              </w:rPr>
              <w:t>hombres y para 56 no se cuenta con la información de género</w:t>
            </w:r>
            <w:r w:rsidR="0043013D" w:rsidRPr="008F2A3F">
              <w:rPr>
                <w:rFonts w:cs="Arial"/>
              </w:rPr>
              <w:t>. La evolución de este indicador a lo largo de 2019 puede observarse en el siguiente gráfico:</w:t>
            </w:r>
          </w:p>
          <w:p w:rsidR="0043013D" w:rsidRPr="008F2A3F" w:rsidRDefault="0043013D" w:rsidP="00E73961">
            <w:pPr>
              <w:spacing w:after="0" w:line="240" w:lineRule="auto"/>
              <w:jc w:val="both"/>
              <w:rPr>
                <w:i/>
              </w:rPr>
            </w:pPr>
          </w:p>
          <w:p w:rsidR="0043013D" w:rsidRPr="008F2A3F" w:rsidRDefault="0043013D" w:rsidP="00E73961">
            <w:pPr>
              <w:spacing w:after="0" w:line="240" w:lineRule="auto"/>
              <w:jc w:val="center"/>
              <w:rPr>
                <w:i/>
              </w:rPr>
            </w:pPr>
            <w:r w:rsidRPr="008F2A3F">
              <w:rPr>
                <w:noProof/>
                <w:lang w:val="es-419" w:eastAsia="es-419"/>
              </w:rPr>
              <w:lastRenderedPageBreak/>
              <w:drawing>
                <wp:inline distT="0" distB="0" distL="0" distR="0" wp14:anchorId="14DA4C64" wp14:editId="15B15699">
                  <wp:extent cx="5448300" cy="2771775"/>
                  <wp:effectExtent l="0" t="0" r="0" b="0"/>
                  <wp:docPr id="57" name="Gráfico 57">
                    <a:extLst xmlns:a="http://schemas.openxmlformats.org/drawingml/2006/main">
                      <a:ext uri="{FF2B5EF4-FFF2-40B4-BE49-F238E27FC236}">
                        <a16:creationId xmlns:a16="http://schemas.microsoft.com/office/drawing/2014/main" id="{899309AC-C9D8-4B1C-90FF-6A9BCC811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3013D" w:rsidRPr="008F2A3F" w:rsidRDefault="0043013D" w:rsidP="00E73961">
            <w:pPr>
              <w:spacing w:after="0" w:line="240" w:lineRule="auto"/>
              <w:jc w:val="both"/>
              <w:rPr>
                <w:rFonts w:cstheme="minorHAnsi"/>
                <w:sz w:val="24"/>
                <w:szCs w:val="24"/>
              </w:rPr>
            </w:pPr>
          </w:p>
          <w:p w:rsidR="0043013D" w:rsidRPr="008F2A3F" w:rsidRDefault="0043013D" w:rsidP="00E73961">
            <w:pPr>
              <w:spacing w:after="0" w:line="240" w:lineRule="auto"/>
              <w:jc w:val="both"/>
              <w:rPr>
                <w:rFonts w:cstheme="minorHAnsi"/>
              </w:rPr>
            </w:pPr>
            <w:r w:rsidRPr="008F2A3F">
              <w:rPr>
                <w:rFonts w:cstheme="minorHAnsi"/>
              </w:rPr>
              <w:t xml:space="preserve">En diciembre, los 5 departamentos con más personas atendidas fueron Antioquia con 1.234 personas, Meta con 1.217 personas, Cauca con 914 personas, Caquetá con 787 personas y Bogotá con 728 personas. En estos departamentos se brindó atención al 45.4% del total de personas atendidas a nivel nacional. </w:t>
            </w:r>
          </w:p>
          <w:p w:rsidR="00B35DFB" w:rsidRPr="008F2A3F" w:rsidRDefault="00B35DFB" w:rsidP="00E73961">
            <w:pPr>
              <w:spacing w:after="0" w:line="240" w:lineRule="auto"/>
              <w:jc w:val="both"/>
              <w:rPr>
                <w:rFonts w:cstheme="minorHAnsi"/>
              </w:rPr>
            </w:pPr>
          </w:p>
          <w:p w:rsidR="00F01707" w:rsidRPr="008F2A3F" w:rsidRDefault="009124C7" w:rsidP="00F65221">
            <w:pPr>
              <w:autoSpaceDE w:val="0"/>
              <w:autoSpaceDN w:val="0"/>
              <w:spacing w:after="0" w:line="240" w:lineRule="auto"/>
              <w:jc w:val="both"/>
              <w:rPr>
                <w:rFonts w:asciiTheme="minorHAnsi" w:hAnsiTheme="minorHAnsi"/>
                <w:lang w:eastAsia="es-ES"/>
              </w:rPr>
            </w:pPr>
            <w:r w:rsidRPr="008F2A3F">
              <w:rPr>
                <w:rFonts w:asciiTheme="minorHAnsi" w:hAnsiTheme="minorHAnsi"/>
              </w:rPr>
              <w:t xml:space="preserve">En el marco de las atenciones y el acompañamiento a las personas en reincorporación, se continua con la aplicación del Registro Nacional de Reincorporación-RNR, instrumento que tiene como </w:t>
            </w:r>
            <w:r w:rsidR="00B27957" w:rsidRPr="008F2A3F">
              <w:rPr>
                <w:rFonts w:asciiTheme="minorHAnsi" w:hAnsiTheme="minorHAnsi"/>
              </w:rPr>
              <w:t>objetivo entender</w:t>
            </w:r>
            <w:r w:rsidR="00B35DFB" w:rsidRPr="008F2A3F">
              <w:rPr>
                <w:rFonts w:asciiTheme="minorHAnsi" w:hAnsiTheme="minorHAnsi"/>
                <w:lang w:eastAsia="es-ES"/>
              </w:rPr>
              <w:t xml:space="preserve"> la situación y las expectativas de nuestra población objeto de atención,</w:t>
            </w:r>
            <w:r w:rsidR="00B35DFB" w:rsidRPr="008F2A3F">
              <w:rPr>
                <w:rFonts w:asciiTheme="minorHAnsi" w:hAnsiTheme="minorHAnsi"/>
              </w:rPr>
              <w:t xml:space="preserve"> </w:t>
            </w:r>
            <w:r w:rsidRPr="008F2A3F">
              <w:rPr>
                <w:rFonts w:asciiTheme="minorHAnsi" w:hAnsiTheme="minorHAnsi"/>
              </w:rPr>
              <w:t xml:space="preserve">durante el 2019 se aplicó a </w:t>
            </w:r>
            <w:r w:rsidR="00145A4D" w:rsidRPr="008F2A3F">
              <w:rPr>
                <w:rFonts w:asciiTheme="minorHAnsi" w:hAnsiTheme="minorHAnsi"/>
              </w:rPr>
              <w:t>7.702</w:t>
            </w:r>
            <w:r w:rsidRPr="008F2A3F">
              <w:rPr>
                <w:rFonts w:asciiTheme="minorHAnsi" w:hAnsiTheme="minorHAnsi"/>
              </w:rPr>
              <w:t xml:space="preserve">, teniendo </w:t>
            </w:r>
            <w:r w:rsidR="00B27957" w:rsidRPr="008F2A3F">
              <w:rPr>
                <w:rFonts w:asciiTheme="minorHAnsi" w:hAnsiTheme="minorHAnsi"/>
              </w:rPr>
              <w:t>un acumulado de</w:t>
            </w:r>
            <w:r w:rsidR="00B35DFB" w:rsidRPr="008F2A3F">
              <w:rPr>
                <w:rFonts w:asciiTheme="minorHAnsi" w:hAnsiTheme="minorHAnsi"/>
              </w:rPr>
              <w:t xml:space="preserve"> 11.</w:t>
            </w:r>
            <w:r w:rsidR="00F01707" w:rsidRPr="008F2A3F">
              <w:rPr>
                <w:rFonts w:asciiTheme="minorHAnsi" w:hAnsiTheme="minorHAnsi"/>
              </w:rPr>
              <w:t>698</w:t>
            </w:r>
            <w:r w:rsidR="00B35DFB" w:rsidRPr="008F2A3F">
              <w:rPr>
                <w:rFonts w:asciiTheme="minorHAnsi" w:hAnsiTheme="minorHAnsi"/>
              </w:rPr>
              <w:t xml:space="preserve"> personas, de las cuales </w:t>
            </w:r>
            <w:r w:rsidR="00F01707" w:rsidRPr="008F2A3F">
              <w:rPr>
                <w:rFonts w:asciiTheme="minorHAnsi" w:hAnsiTheme="minorHAnsi"/>
              </w:rPr>
              <w:t>2.755</w:t>
            </w:r>
            <w:r w:rsidR="00B35DFB" w:rsidRPr="008F2A3F">
              <w:rPr>
                <w:rFonts w:asciiTheme="minorHAnsi" w:hAnsiTheme="minorHAnsi"/>
                <w:lang w:eastAsia="es-ES"/>
              </w:rPr>
              <w:t xml:space="preserve"> tienen hoy registro de ubicación en alguno de los antiguos ETCR y </w:t>
            </w:r>
            <w:r w:rsidR="00F01707" w:rsidRPr="008F2A3F">
              <w:rPr>
                <w:rFonts w:asciiTheme="minorHAnsi" w:hAnsiTheme="minorHAnsi"/>
              </w:rPr>
              <w:t>8.943</w:t>
            </w:r>
            <w:r w:rsidR="00B35DFB" w:rsidRPr="008F2A3F">
              <w:rPr>
                <w:rFonts w:asciiTheme="minorHAnsi" w:hAnsiTheme="minorHAnsi"/>
              </w:rPr>
              <w:t xml:space="preserve"> </w:t>
            </w:r>
            <w:r w:rsidR="00B35DFB" w:rsidRPr="008F2A3F">
              <w:rPr>
                <w:rFonts w:asciiTheme="minorHAnsi" w:hAnsiTheme="minorHAnsi"/>
                <w:lang w:eastAsia="es-ES"/>
              </w:rPr>
              <w:t>fuera de estos espacios</w:t>
            </w:r>
            <w:r w:rsidR="00F01707" w:rsidRPr="008F2A3F">
              <w:rPr>
                <w:rFonts w:asciiTheme="minorHAnsi" w:hAnsiTheme="minorHAnsi"/>
                <w:lang w:eastAsia="es-ES"/>
              </w:rPr>
              <w:t xml:space="preserve">. </w:t>
            </w:r>
          </w:p>
          <w:p w:rsidR="00F01707" w:rsidRPr="008F2A3F" w:rsidRDefault="00F01707" w:rsidP="00F65221">
            <w:pPr>
              <w:autoSpaceDE w:val="0"/>
              <w:autoSpaceDN w:val="0"/>
              <w:spacing w:after="0" w:line="240" w:lineRule="auto"/>
              <w:jc w:val="both"/>
              <w:rPr>
                <w:rFonts w:asciiTheme="minorHAnsi" w:hAnsiTheme="minorHAnsi"/>
                <w:lang w:eastAsia="es-ES"/>
              </w:rPr>
            </w:pPr>
          </w:p>
          <w:p w:rsidR="00B35DFB" w:rsidRPr="008F2A3F" w:rsidRDefault="00B35DFB" w:rsidP="00F65221">
            <w:pPr>
              <w:pStyle w:val="Prrafodelista"/>
              <w:numPr>
                <w:ilvl w:val="0"/>
                <w:numId w:val="39"/>
              </w:numPr>
              <w:autoSpaceDE w:val="0"/>
              <w:autoSpaceDN w:val="0"/>
              <w:spacing w:after="0" w:line="240" w:lineRule="auto"/>
              <w:jc w:val="both"/>
              <w:rPr>
                <w:rFonts w:asciiTheme="minorHAnsi" w:hAnsiTheme="minorHAnsi"/>
              </w:rPr>
            </w:pPr>
            <w:r w:rsidRPr="008F2A3F">
              <w:rPr>
                <w:rFonts w:asciiTheme="minorHAnsi" w:hAnsiTheme="minorHAnsi"/>
                <w:lang w:eastAsia="es-ES"/>
              </w:rPr>
              <w:t>Del análisis de la información del Registro Nacional de Reincorporación se destaca que el 55,7% de las personas manifestó querer recibir algún tipo de acompañamiento psicosocial.</w:t>
            </w:r>
          </w:p>
          <w:p w:rsidR="00B35DFB" w:rsidRPr="008F2A3F" w:rsidRDefault="00B35DFB" w:rsidP="00F65221">
            <w:pPr>
              <w:pStyle w:val="Prrafodelista"/>
              <w:numPr>
                <w:ilvl w:val="0"/>
                <w:numId w:val="39"/>
              </w:numPr>
              <w:autoSpaceDE w:val="0"/>
              <w:autoSpaceDN w:val="0"/>
              <w:spacing w:after="0" w:line="240" w:lineRule="auto"/>
              <w:jc w:val="both"/>
              <w:rPr>
                <w:rFonts w:asciiTheme="minorHAnsi" w:hAnsiTheme="minorHAnsi"/>
              </w:rPr>
            </w:pPr>
            <w:r w:rsidRPr="008F2A3F">
              <w:rPr>
                <w:rFonts w:asciiTheme="minorHAnsi" w:hAnsiTheme="minorHAnsi"/>
                <w:lang w:eastAsia="es-ES"/>
              </w:rPr>
              <w:t xml:space="preserve">El 86.1% manifiesta su interés en iniciar estudios o seguir estudiando. </w:t>
            </w:r>
          </w:p>
          <w:p w:rsidR="00B35DFB" w:rsidRPr="008F2A3F" w:rsidRDefault="00B35DFB" w:rsidP="00F65221">
            <w:pPr>
              <w:pStyle w:val="Prrafodelista"/>
              <w:numPr>
                <w:ilvl w:val="0"/>
                <w:numId w:val="39"/>
              </w:numPr>
              <w:autoSpaceDE w:val="0"/>
              <w:autoSpaceDN w:val="0"/>
              <w:spacing w:after="0" w:line="240" w:lineRule="auto"/>
              <w:jc w:val="both"/>
              <w:rPr>
                <w:rFonts w:asciiTheme="minorHAnsi" w:hAnsiTheme="minorHAnsi"/>
              </w:rPr>
            </w:pPr>
            <w:r w:rsidRPr="008F2A3F">
              <w:rPr>
                <w:rFonts w:asciiTheme="minorHAnsi" w:hAnsiTheme="minorHAnsi"/>
                <w:lang w:eastAsia="es-ES"/>
              </w:rPr>
              <w:t>El 60,9% de las personas en reincorporación tiene interés en que su fuente de generación se relacione con actividades del sector agropecuario.</w:t>
            </w:r>
          </w:p>
          <w:p w:rsidR="00B35DFB" w:rsidRPr="008F2A3F" w:rsidRDefault="00B35DFB" w:rsidP="00F65221">
            <w:pPr>
              <w:pStyle w:val="Prrafodelista"/>
              <w:numPr>
                <w:ilvl w:val="0"/>
                <w:numId w:val="39"/>
              </w:numPr>
              <w:spacing w:after="0" w:line="240" w:lineRule="auto"/>
              <w:jc w:val="both"/>
              <w:rPr>
                <w:rFonts w:asciiTheme="minorHAnsi" w:hAnsiTheme="minorHAnsi" w:cstheme="minorHAnsi"/>
              </w:rPr>
            </w:pPr>
            <w:r w:rsidRPr="008F2A3F">
              <w:rPr>
                <w:rFonts w:asciiTheme="minorHAnsi" w:hAnsiTheme="minorHAnsi"/>
                <w:lang w:eastAsia="es-ES"/>
              </w:rPr>
              <w:t>El 77% manifiesta sentirse optimista y motivo frente al futuro</w:t>
            </w:r>
          </w:p>
          <w:p w:rsidR="00B35DFB" w:rsidRPr="008F2A3F" w:rsidRDefault="00B35DFB" w:rsidP="00E73961">
            <w:pPr>
              <w:spacing w:after="0" w:line="240" w:lineRule="auto"/>
              <w:jc w:val="both"/>
              <w:rPr>
                <w:rFonts w:asciiTheme="minorHAnsi" w:hAnsiTheme="minorHAnsi" w:cstheme="minorHAnsi"/>
              </w:rPr>
            </w:pPr>
          </w:p>
          <w:p w:rsidR="00B35DFB" w:rsidRPr="008F2A3F" w:rsidRDefault="00F65221" w:rsidP="00F65221">
            <w:pPr>
              <w:pStyle w:val="Default"/>
              <w:rPr>
                <w:rFonts w:asciiTheme="minorHAnsi" w:hAnsiTheme="minorHAnsi" w:cs="Arial"/>
                <w:color w:val="auto"/>
                <w:sz w:val="22"/>
                <w:szCs w:val="22"/>
                <w:lang w:eastAsia="es-CO"/>
              </w:rPr>
            </w:pPr>
            <w:r w:rsidRPr="008F2A3F">
              <w:rPr>
                <w:rFonts w:asciiTheme="minorHAnsi" w:hAnsiTheme="minorHAnsi" w:cs="Arial"/>
                <w:color w:val="auto"/>
                <w:sz w:val="22"/>
                <w:szCs w:val="22"/>
                <w:lang w:val="es-ES_tradnl"/>
              </w:rPr>
              <w:t xml:space="preserve">Finalmente, </w:t>
            </w:r>
            <w:r w:rsidRPr="008F2A3F">
              <w:rPr>
                <w:rFonts w:asciiTheme="minorHAnsi" w:hAnsiTheme="minorHAnsi" w:cs="Arial"/>
                <w:color w:val="auto"/>
                <w:sz w:val="22"/>
                <w:szCs w:val="22"/>
                <w:lang w:eastAsia="es-CO"/>
              </w:rPr>
              <w:t xml:space="preserve">mediante la Resolución 4309 del 24 de diciembre de 2019, se estableció la Ruta de Reincorporación Social y Económica definida como un “proceso integral, sostenible y transitorio, a partir de una oferta institucional que facilita el acceso a derechos, donde los ex integrantes Farc-Ep en reincorporación y sus familias participan para fortalecer las capacidades necesarias para reincorporarse social y económicamente en el marco de la legalidad. </w:t>
            </w:r>
            <w:r w:rsidR="00B35DFB" w:rsidRPr="008F2A3F">
              <w:rPr>
                <w:rFonts w:asciiTheme="minorHAnsi" w:hAnsiTheme="minorHAnsi"/>
                <w:bCs/>
                <w:color w:val="auto"/>
                <w:sz w:val="22"/>
                <w:szCs w:val="22"/>
                <w:lang w:val="es-ES"/>
              </w:rPr>
              <w:t>Ésta, constituye una herramienta fundamental para dar cumplimiento a lo establecido en el Acuerdo en materia de Reincorporación, dado que, desde una perspectiva integral, recoge las necesidades y expectativas de la población en reincorporación y define las acciones y criterios de cumplimiento que se espera lograr con cada uno de los exintegrantes FARC-EP para logar su plena reincorporación social y económica.</w:t>
            </w:r>
          </w:p>
          <w:p w:rsidR="00B35DFB" w:rsidRDefault="00B35DFB" w:rsidP="00E73961">
            <w:pPr>
              <w:spacing w:after="0" w:line="240" w:lineRule="auto"/>
              <w:jc w:val="both"/>
              <w:rPr>
                <w:bCs/>
                <w:lang w:val="es-ES"/>
              </w:rPr>
            </w:pPr>
          </w:p>
          <w:p w:rsidR="008F2A3F" w:rsidRPr="008F2A3F" w:rsidRDefault="008F2A3F" w:rsidP="00E73961">
            <w:pPr>
              <w:spacing w:after="0" w:line="240" w:lineRule="auto"/>
              <w:jc w:val="both"/>
              <w:rPr>
                <w:bCs/>
                <w:lang w:val="es-ES"/>
              </w:rPr>
            </w:pPr>
          </w:p>
          <w:p w:rsidR="00AC1960" w:rsidRPr="008F2A3F" w:rsidRDefault="00AC1960" w:rsidP="005B6819">
            <w:pPr>
              <w:pStyle w:val="Prrafodelista"/>
              <w:numPr>
                <w:ilvl w:val="0"/>
                <w:numId w:val="29"/>
              </w:numPr>
              <w:jc w:val="both"/>
              <w:rPr>
                <w:rFonts w:cstheme="minorHAnsi"/>
              </w:rPr>
            </w:pPr>
            <w:r w:rsidRPr="008F2A3F">
              <w:rPr>
                <w:rFonts w:asciiTheme="minorHAnsi" w:hAnsiTheme="minorHAnsi" w:cs="Arial"/>
                <w:lang w:val="es-ES_tradnl"/>
              </w:rPr>
              <w:t xml:space="preserve">Con relación a las acciones adelantadas en el marco de los </w:t>
            </w:r>
            <w:r w:rsidRPr="008F2A3F">
              <w:rPr>
                <w:rFonts w:asciiTheme="minorHAnsi" w:hAnsiTheme="minorHAnsi" w:cs="Arial"/>
                <w:b/>
                <w:lang w:val="es-ES_tradnl"/>
              </w:rPr>
              <w:t>Consejos Territoriales de Reincorporación -CTR,</w:t>
            </w:r>
            <w:r w:rsidRPr="008F2A3F">
              <w:rPr>
                <w:rFonts w:asciiTheme="minorHAnsi" w:hAnsiTheme="minorHAnsi" w:cs="Arial"/>
                <w:lang w:val="es-ES_tradnl"/>
              </w:rPr>
              <w:t xml:space="preserve"> se destacan:</w:t>
            </w:r>
          </w:p>
          <w:p w:rsidR="00AC1960" w:rsidRPr="008F2A3F" w:rsidRDefault="00AC1960" w:rsidP="005B6819">
            <w:pPr>
              <w:pStyle w:val="Sinespaciado"/>
              <w:numPr>
                <w:ilvl w:val="0"/>
                <w:numId w:val="17"/>
              </w:numPr>
              <w:adjustRightInd w:val="0"/>
              <w:ind w:right="4"/>
              <w:contextualSpacing/>
              <w:jc w:val="both"/>
            </w:pPr>
            <w:r w:rsidRPr="008F2A3F">
              <w:lastRenderedPageBreak/>
              <w:t>24 Consejos Territoriales de Reincorporación (CTR) ubicados en 23 municipios y 13 departamentos</w:t>
            </w:r>
            <w:r w:rsidR="007F5999" w:rsidRPr="008F2A3F">
              <w:t>,</w:t>
            </w:r>
            <w:r w:rsidRPr="008F2A3F">
              <w:t xml:space="preserve"> han realizado un total 496 reuniones de las cuales 329 se realizaron durante el 2019. </w:t>
            </w:r>
          </w:p>
          <w:p w:rsidR="00AC1960" w:rsidRPr="008F2A3F" w:rsidRDefault="00AC1960" w:rsidP="005B6819">
            <w:pPr>
              <w:pStyle w:val="Sinespaciado"/>
              <w:numPr>
                <w:ilvl w:val="0"/>
                <w:numId w:val="17"/>
              </w:numPr>
              <w:adjustRightInd w:val="0"/>
              <w:ind w:right="4"/>
              <w:contextualSpacing/>
              <w:jc w:val="both"/>
            </w:pPr>
            <w:r w:rsidRPr="008F2A3F">
              <w:t xml:space="preserve">Los CTR han sido instancias clave para el posicionamiento de la política de reincorporación a nivel local, convirtiéndose en espacios de diálogo y concertación con las comunidades que habitan los territorios donde se desarrolla la reincorporación. Su gestión ha permitido apoyar la implementación y sostenimiento de diferentes proyectos de tipo productivo, el desarrollo de iniciativas para mejorar la atención educativa y de salud de las personas en reincorporación y demás integrantes de la comunidad. </w:t>
            </w:r>
          </w:p>
          <w:p w:rsidR="00AC1960" w:rsidRPr="008F2A3F" w:rsidRDefault="00AC1960" w:rsidP="005B6819">
            <w:pPr>
              <w:pStyle w:val="Sinespaciado"/>
              <w:numPr>
                <w:ilvl w:val="0"/>
                <w:numId w:val="17"/>
              </w:numPr>
              <w:adjustRightInd w:val="0"/>
              <w:ind w:right="4"/>
              <w:contextualSpacing/>
              <w:jc w:val="both"/>
            </w:pPr>
            <w:r w:rsidRPr="008F2A3F">
              <w:t>Un logro a destacar es la existencia de 6 Consejos Departamentales de Reincorporación (CDR) formalizados por los gobiernos locales vía decreto, tres de estos decretos fueron emitidos en 2019 (Decreto 5207 de 2019, Consejo Departamental de Reincorporación de Antioquia, y Decreto 204 de 2019; Consejo Territorial de Reincorporación del Departamento de Nariño, y Decreto 717 de 2019, Consejo Departamental de Reincorporación del Departamento de Caquetá).</w:t>
            </w:r>
          </w:p>
          <w:p w:rsidR="00AC1960" w:rsidRPr="008F2A3F" w:rsidRDefault="00AC1960" w:rsidP="005B6819">
            <w:pPr>
              <w:pStyle w:val="Sinespaciado"/>
              <w:numPr>
                <w:ilvl w:val="0"/>
                <w:numId w:val="17"/>
              </w:numPr>
              <w:adjustRightInd w:val="0"/>
              <w:ind w:right="4"/>
              <w:contextualSpacing/>
              <w:jc w:val="both"/>
            </w:pPr>
            <w:r w:rsidRPr="008F2A3F">
              <w:t>Otro logro de la gestión territorial de la ARN es la creación formal de cuatro instancias departamentales para coordinar la política de reincorporación en departamentos donde no existen CTR. Al respecto: Mesa Territorial de Reincorporación para la Reconciliación y la Paz del Departamento de Santander, Decreto 050 de 2019; Mesa Técnica de Reincorporación del Departamento de Bolívar, Decreto 82 de 2019, Mesa Departamental de Reincorporación del Huila, Decreto 0121 de 2019, y Mesa Regional de Construcción de Paz del Magdalena Medio.</w:t>
            </w:r>
          </w:p>
          <w:p w:rsidR="00AC1960" w:rsidRPr="008F2A3F" w:rsidRDefault="00AC1960" w:rsidP="005B6819">
            <w:pPr>
              <w:pStyle w:val="Sinespaciado"/>
              <w:numPr>
                <w:ilvl w:val="0"/>
                <w:numId w:val="17"/>
              </w:numPr>
              <w:adjustRightInd w:val="0"/>
              <w:ind w:right="4"/>
              <w:contextualSpacing/>
              <w:jc w:val="both"/>
            </w:pPr>
            <w:r w:rsidRPr="008F2A3F">
              <w:t xml:space="preserve">De los 23 antiguos ETCR que tienen PDET en sus territorios, en la totalidad de CTR se abordó el tema para desarrollar acciones de articulación. </w:t>
            </w:r>
          </w:p>
          <w:p w:rsidR="00AC1960" w:rsidRPr="008F2A3F" w:rsidRDefault="00AC1960" w:rsidP="005B6819">
            <w:pPr>
              <w:pStyle w:val="Sinespaciado"/>
              <w:numPr>
                <w:ilvl w:val="0"/>
                <w:numId w:val="17"/>
              </w:numPr>
              <w:adjustRightInd w:val="0"/>
              <w:ind w:right="4"/>
              <w:contextualSpacing/>
              <w:jc w:val="both"/>
            </w:pPr>
            <w:r w:rsidRPr="008F2A3F">
              <w:t xml:space="preserve">Una muestra adicional del compromiso de la ARN con el fortalecimiento de estas instancias, es la creación de la Mesa Técnica de CTR (conformada por personas del equipo técnico del CNR/FARC y la ARN), encargada de coordinar acciones de seguimiento y acompañamiento al trabajo de dichas instancias, en cumplimiento a lo acordado en la </w:t>
            </w:r>
            <w:r w:rsidRPr="008F2A3F">
              <w:rPr>
                <w:u w:val="single"/>
              </w:rPr>
              <w:t>sesión 90 del CNR</w:t>
            </w:r>
            <w:r w:rsidRPr="008F2A3F">
              <w:t xml:space="preserve"> donde se definió el Plan de Acción Estratégic</w:t>
            </w:r>
            <w:r w:rsidR="00803968" w:rsidRPr="008F2A3F">
              <w:t>o</w:t>
            </w:r>
            <w:r w:rsidRPr="008F2A3F">
              <w:t xml:space="preserve"> del CNR 2019-2022.</w:t>
            </w:r>
          </w:p>
          <w:p w:rsidR="00AC1960" w:rsidRPr="008F2A3F" w:rsidRDefault="00AC1960" w:rsidP="005B6819">
            <w:pPr>
              <w:pStyle w:val="Sinespaciado"/>
              <w:numPr>
                <w:ilvl w:val="0"/>
                <w:numId w:val="17"/>
              </w:numPr>
              <w:adjustRightInd w:val="0"/>
              <w:ind w:right="4"/>
              <w:contextualSpacing/>
              <w:jc w:val="both"/>
            </w:pPr>
            <w:r w:rsidRPr="008F2A3F">
              <w:t xml:space="preserve">Como parte de las actividades de la Mesa se organizó el II Encuentro Nacional de CTR (2,3 y 4 de diciembre 2019), el cual tuvo como objetivo capacitar a los integrantes de esas instancias en aspectos clave de la organización, planeación y gestión territorial, de cara a las acciones de incidencia en Planes de Desarrollo Territorial de los gobiernos entrantes. </w:t>
            </w:r>
          </w:p>
          <w:p w:rsidR="00AC1960" w:rsidRPr="008F2A3F" w:rsidRDefault="00AC1960" w:rsidP="00AC1960">
            <w:pPr>
              <w:pStyle w:val="Sinespaciado"/>
              <w:adjustRightInd w:val="0"/>
              <w:ind w:left="720" w:right="4"/>
              <w:contextualSpacing/>
              <w:jc w:val="both"/>
            </w:pPr>
          </w:p>
          <w:p w:rsidR="00AC1960" w:rsidRPr="008F2A3F" w:rsidRDefault="00AC1960" w:rsidP="00AC1960">
            <w:pPr>
              <w:rPr>
                <w:rFonts w:asciiTheme="minorHAnsi" w:hAnsiTheme="minorHAnsi"/>
                <w:lang w:val="es-ES"/>
              </w:rPr>
            </w:pPr>
            <w:r w:rsidRPr="008F2A3F">
              <w:rPr>
                <w:rFonts w:asciiTheme="minorHAnsi" w:hAnsiTheme="minorHAnsi"/>
                <w:lang w:val="es-ES"/>
              </w:rPr>
              <w:t>Además, de la participación permanente de delegados de ARN y del componente FARC se destaca la participación de los siguientes actores en los CTR:</w:t>
            </w:r>
          </w:p>
          <w:tbl>
            <w:tblPr>
              <w:tblW w:w="5000" w:type="pct"/>
              <w:tblLayout w:type="fixed"/>
              <w:tblCellMar>
                <w:left w:w="0" w:type="dxa"/>
                <w:right w:w="0" w:type="dxa"/>
              </w:tblCellMar>
              <w:tblLook w:val="04A0" w:firstRow="1" w:lastRow="0" w:firstColumn="1" w:lastColumn="0" w:noHBand="0" w:noVBand="1"/>
            </w:tblPr>
            <w:tblGrid>
              <w:gridCol w:w="5124"/>
              <w:gridCol w:w="3996"/>
            </w:tblGrid>
            <w:tr w:rsidR="00AC1960" w:rsidRPr="008F2A3F" w:rsidTr="003329DD">
              <w:trPr>
                <w:trHeight w:val="300"/>
                <w:tblHeader/>
              </w:trPr>
              <w:tc>
                <w:tcPr>
                  <w:tcW w:w="28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AC1960" w:rsidRPr="008F2A3F" w:rsidRDefault="00AC1960" w:rsidP="00AC1960">
                  <w:pPr>
                    <w:jc w:val="center"/>
                    <w:rPr>
                      <w:rFonts w:asciiTheme="minorHAnsi" w:hAnsiTheme="minorHAnsi"/>
                      <w:b/>
                      <w:bCs/>
                      <w:lang w:eastAsia="es-CO"/>
                    </w:rPr>
                  </w:pPr>
                  <w:r w:rsidRPr="008F2A3F">
                    <w:rPr>
                      <w:rFonts w:asciiTheme="minorHAnsi" w:hAnsiTheme="minorHAnsi"/>
                      <w:b/>
                      <w:bCs/>
                      <w:lang w:eastAsia="es-CO"/>
                    </w:rPr>
                    <w:t>NOMBRE DE ACOMPAÑANTE</w:t>
                  </w:r>
                </w:p>
              </w:tc>
              <w:tc>
                <w:tcPr>
                  <w:tcW w:w="2191"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AC1960" w:rsidRPr="008F2A3F" w:rsidRDefault="00AC1960" w:rsidP="00AC1960">
                  <w:pPr>
                    <w:jc w:val="center"/>
                    <w:rPr>
                      <w:rFonts w:asciiTheme="minorHAnsi" w:hAnsiTheme="minorHAnsi"/>
                      <w:b/>
                      <w:bCs/>
                      <w:lang w:eastAsia="es-CO"/>
                    </w:rPr>
                  </w:pPr>
                  <w:r w:rsidRPr="008F2A3F">
                    <w:rPr>
                      <w:rFonts w:asciiTheme="minorHAnsi" w:hAnsiTheme="minorHAnsi"/>
                      <w:b/>
                      <w:bCs/>
                      <w:lang w:eastAsia="es-CO"/>
                    </w:rPr>
                    <w:t>TOTAL INSTANCIAS DONDE HA PARTICIPADO</w:t>
                  </w:r>
                </w:p>
              </w:tc>
            </w:tr>
            <w:tr w:rsidR="00AC1960" w:rsidRPr="008F2A3F" w:rsidTr="00DD46A0">
              <w:trPr>
                <w:trHeight w:val="581"/>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Misión de Verificación de la ONU en Colombia (UNVMC)</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7F5999">
                  <w:pPr>
                    <w:jc w:val="center"/>
                    <w:rPr>
                      <w:rFonts w:asciiTheme="minorHAnsi" w:hAnsiTheme="minorHAnsi"/>
                      <w:lang w:eastAsia="es-CO"/>
                    </w:rPr>
                  </w:pPr>
                  <w:r w:rsidRPr="008F2A3F">
                    <w:rPr>
                      <w:rFonts w:asciiTheme="minorHAnsi" w:hAnsiTheme="minorHAnsi"/>
                      <w:lang w:eastAsia="es-CO"/>
                    </w:rPr>
                    <w:t>27</w:t>
                  </w:r>
                </w:p>
              </w:tc>
            </w:tr>
            <w:tr w:rsidR="00AC1960" w:rsidRPr="008F2A3F" w:rsidTr="00DD46A0">
              <w:trPr>
                <w:trHeight w:val="193"/>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Alcaldías municipales</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22</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Servicio Nacional de Aprendizaje (SENA)</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22</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 xml:space="preserve">Oficina del Alto Comisionado para la Paz (OACP) </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20</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Gobernaciones</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19</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lastRenderedPageBreak/>
                    <w:t>Instituto Colombiano de Bienestar Familiar (ICBF)</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14</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Programa de las Naciones Unidas para el Desarrollo (PNUD)</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14</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Policía Nacional</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15</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Agencia de Renovación del Territorio (ART)</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13</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Ejército Nacional</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16</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Defensoría del Pueblo</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5</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Organización Internacional para las Migraciones (OIM)</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5</w:t>
                  </w:r>
                </w:p>
              </w:tc>
            </w:tr>
          </w:tbl>
          <w:p w:rsidR="00E616E2" w:rsidRPr="008F2A3F" w:rsidRDefault="00E616E2" w:rsidP="00E616E2">
            <w:pPr>
              <w:pStyle w:val="Prrafodelista"/>
              <w:jc w:val="both"/>
              <w:rPr>
                <w:rFonts w:cstheme="minorHAnsi"/>
              </w:rPr>
            </w:pPr>
          </w:p>
          <w:p w:rsidR="0043013D" w:rsidRPr="008F2A3F" w:rsidRDefault="0043013D" w:rsidP="005B6819">
            <w:pPr>
              <w:pStyle w:val="Prrafodelista"/>
              <w:numPr>
                <w:ilvl w:val="0"/>
                <w:numId w:val="29"/>
              </w:numPr>
              <w:jc w:val="both"/>
              <w:rPr>
                <w:rFonts w:cstheme="minorHAnsi"/>
              </w:rPr>
            </w:pPr>
            <w:r w:rsidRPr="008F2A3F">
              <w:rPr>
                <w:rFonts w:cstheme="minorHAnsi"/>
              </w:rPr>
              <w:t xml:space="preserve">Para el desarrollo del indicador </w:t>
            </w:r>
            <w:r w:rsidRPr="008F2A3F">
              <w:rPr>
                <w:rFonts w:cstheme="minorHAnsi"/>
                <w:b/>
                <w:u w:val="single"/>
              </w:rPr>
              <w:t>Programa de atención especial para discapacitados del conflicto con incapacidad permanente y adultos mayores, que gestione recursos de cooperación no reembolsable internacional y de instituciones no gubernamentales para su realización</w:t>
            </w:r>
            <w:r w:rsidR="000E5AB1" w:rsidRPr="008F2A3F">
              <w:rPr>
                <w:rFonts w:cstheme="minorHAnsi"/>
                <w:b/>
                <w:u w:val="single"/>
              </w:rPr>
              <w:t>, creado</w:t>
            </w:r>
            <w:r w:rsidRPr="008F2A3F">
              <w:rPr>
                <w:rFonts w:cstheme="minorHAnsi"/>
              </w:rPr>
              <w:t>, se desarrollaron las acciones contenidas en las cuatro fases de diseño planeadas para la formulación del programa “CAPAZCIDADES”:</w:t>
            </w:r>
          </w:p>
          <w:p w:rsidR="00885CEB" w:rsidRPr="008F2A3F" w:rsidRDefault="00885CEB" w:rsidP="00885CEB">
            <w:pPr>
              <w:pStyle w:val="Prrafodelista"/>
              <w:jc w:val="both"/>
              <w:rPr>
                <w:rFonts w:cstheme="minorHAnsi"/>
              </w:rPr>
            </w:pPr>
          </w:p>
          <w:p w:rsidR="0043013D" w:rsidRPr="008F2A3F" w:rsidRDefault="0043013D" w:rsidP="005B6819">
            <w:pPr>
              <w:pStyle w:val="Prrafodelista"/>
              <w:numPr>
                <w:ilvl w:val="0"/>
                <w:numId w:val="9"/>
              </w:numPr>
              <w:jc w:val="both"/>
              <w:rPr>
                <w:rFonts w:cstheme="minorHAnsi"/>
              </w:rPr>
            </w:pPr>
            <w:r w:rsidRPr="008F2A3F">
              <w:rPr>
                <w:rFonts w:cstheme="minorHAnsi"/>
              </w:rPr>
              <w:t xml:space="preserve">En la Fase de Estructuración y Alistamiento: </w:t>
            </w:r>
            <w:r w:rsidR="004B70FB" w:rsidRPr="008F2A3F">
              <w:rPr>
                <w:rFonts w:cstheme="minorHAnsi"/>
              </w:rPr>
              <w:t>S</w:t>
            </w:r>
            <w:r w:rsidRPr="008F2A3F">
              <w:rPr>
                <w:rFonts w:cstheme="minorHAnsi"/>
              </w:rPr>
              <w:t>e definió tabla de contenido, se diseñó e implementó la metodología de cadena de proceso y se elaboró primer avance de documento con antecedentes, justificación, marco normativo y líneas de impacto.</w:t>
            </w:r>
          </w:p>
          <w:p w:rsidR="0043013D" w:rsidRPr="008F2A3F" w:rsidRDefault="0043013D" w:rsidP="005B6819">
            <w:pPr>
              <w:pStyle w:val="Prrafodelista"/>
              <w:numPr>
                <w:ilvl w:val="0"/>
                <w:numId w:val="9"/>
              </w:numPr>
              <w:jc w:val="both"/>
              <w:rPr>
                <w:rFonts w:cstheme="minorHAnsi"/>
              </w:rPr>
            </w:pPr>
            <w:r w:rsidRPr="008F2A3F">
              <w:rPr>
                <w:rFonts w:cstheme="minorHAnsi"/>
              </w:rPr>
              <w:t xml:space="preserve">En la Fase de Contextualización: </w:t>
            </w:r>
            <w:r w:rsidR="004B70FB" w:rsidRPr="008F2A3F">
              <w:rPr>
                <w:rFonts w:cstheme="minorHAnsi"/>
              </w:rPr>
              <w:t>S</w:t>
            </w:r>
            <w:r w:rsidRPr="008F2A3F">
              <w:rPr>
                <w:rFonts w:cstheme="minorHAnsi"/>
              </w:rPr>
              <w:t xml:space="preserve">e realizó caracterización de la población con información obtenida del Registro Nacional de Reincorporación, se realizó la articulación con el Ministerio de Salud para la consolidación de las líneas de acción y se elaboró segundo avance de documento con desarrollo conceptual. </w:t>
            </w:r>
          </w:p>
          <w:p w:rsidR="0043013D" w:rsidRPr="008F2A3F" w:rsidRDefault="0043013D" w:rsidP="005B6819">
            <w:pPr>
              <w:pStyle w:val="Prrafodelista"/>
              <w:numPr>
                <w:ilvl w:val="0"/>
                <w:numId w:val="9"/>
              </w:numPr>
              <w:jc w:val="both"/>
              <w:rPr>
                <w:rFonts w:cstheme="minorHAnsi"/>
              </w:rPr>
            </w:pPr>
            <w:r w:rsidRPr="008F2A3F">
              <w:rPr>
                <w:rFonts w:cstheme="minorHAnsi"/>
              </w:rPr>
              <w:t xml:space="preserve">En la Fase de Recolección de Información y Diseño: </w:t>
            </w:r>
            <w:r w:rsidR="004B70FB" w:rsidRPr="008F2A3F">
              <w:rPr>
                <w:rFonts w:cstheme="minorHAnsi"/>
              </w:rPr>
              <w:t>S</w:t>
            </w:r>
            <w:r w:rsidRPr="008F2A3F">
              <w:rPr>
                <w:rFonts w:cstheme="minorHAnsi"/>
              </w:rPr>
              <w:t>e desarrollaron 8 grupos focales con un total de participación de 60 personas entre las tres poblaciones objetivo del programa. Se realiz</w:t>
            </w:r>
            <w:r w:rsidR="00803968" w:rsidRPr="008F2A3F">
              <w:rPr>
                <w:rFonts w:cstheme="minorHAnsi"/>
              </w:rPr>
              <w:t>aron</w:t>
            </w:r>
            <w:r w:rsidRPr="008F2A3F">
              <w:rPr>
                <w:rFonts w:cstheme="minorHAnsi"/>
              </w:rPr>
              <w:t xml:space="preserve"> 5 jornadas de trabajo que permitieron establecer la plataforma estratégica y la culminación del documento borrador para la socialización con actores relevantes. </w:t>
            </w:r>
          </w:p>
          <w:p w:rsidR="0043013D" w:rsidRPr="008F2A3F" w:rsidRDefault="0043013D" w:rsidP="005B6819">
            <w:pPr>
              <w:pStyle w:val="Prrafodelista"/>
              <w:numPr>
                <w:ilvl w:val="0"/>
                <w:numId w:val="9"/>
              </w:numPr>
              <w:jc w:val="both"/>
              <w:rPr>
                <w:rFonts w:cs="Arial"/>
                <w:lang w:val="es-ES"/>
              </w:rPr>
            </w:pPr>
            <w:r w:rsidRPr="008F2A3F">
              <w:rPr>
                <w:rFonts w:cstheme="minorHAnsi"/>
              </w:rPr>
              <w:t>En la Fase de validación: Se ejecutaron cinco jornadas de presentación del programa, en las que participaron áreas técnicas de la ARN (Corresponsabilidad, Planeación, Étnicos, Género y Dirección general), Ministerio de Salud y Protección Social, Consejería Presidencial para la Estabilización y Consolidación y la Consejería Presidencial para la Discapacidad. Se realizaron los ajustes solicitados y se termina el documento. Se establecieron metas, presupuestos e indicadores de cada una de las líneas de</w:t>
            </w:r>
            <w:r w:rsidRPr="008F2A3F">
              <w:rPr>
                <w:rFonts w:cstheme="minorHAnsi"/>
                <w:sz w:val="24"/>
                <w:szCs w:val="24"/>
              </w:rPr>
              <w:t xml:space="preserve"> acción del </w:t>
            </w:r>
            <w:r w:rsidRPr="008F2A3F">
              <w:rPr>
                <w:rFonts w:cstheme="minorHAnsi"/>
              </w:rPr>
              <w:t>programa. Se realizó articulación intra e interinstitucional para orientar la futura implementación del Programa, con los equipos de Educación y de Sostenibilidad Económica. Así mismo se articuló con COLPENSIONES acciones que buscan viabilidad de la línea de sostenibilidad económica.</w:t>
            </w:r>
          </w:p>
          <w:p w:rsidR="00B71814" w:rsidRPr="008F2A3F" w:rsidRDefault="00B71814" w:rsidP="006663F4">
            <w:pPr>
              <w:jc w:val="both"/>
              <w:rPr>
                <w:rFonts w:cs="Arial"/>
                <w:lang w:val="es-ES"/>
              </w:rPr>
            </w:pPr>
            <w:r w:rsidRPr="008F2A3F">
              <w:rPr>
                <w:rFonts w:cstheme="minorHAnsi"/>
              </w:rPr>
              <w:t xml:space="preserve">La propuesta del programa “Capazcidades” fue formulado en el marco de la Mesa de Salud del Consejo Nacional de Reincorporación, de la cual hacen parte, Ministerio de Salud y Componente FARC. Adicionalmente, tiene la revisión de las áreas técnicas de la entidad, relacionadas con la implementación y el visto bueno del Director General de ARN. Teniendo en cuenta que la mesa de salud </w:t>
            </w:r>
            <w:r w:rsidRPr="008F2A3F">
              <w:rPr>
                <w:rFonts w:cstheme="minorHAnsi"/>
              </w:rPr>
              <w:lastRenderedPageBreak/>
              <w:t>es parte CNR</w:t>
            </w:r>
            <w:r w:rsidRPr="008F2A3F">
              <w:rPr>
                <w:rStyle w:val="Refdenotaalpie"/>
                <w:rFonts w:cstheme="minorHAnsi"/>
              </w:rPr>
              <w:footnoteReference w:id="6"/>
            </w:r>
            <w:r w:rsidRPr="008F2A3F">
              <w:rPr>
                <w:rFonts w:cstheme="minorHAnsi"/>
              </w:rPr>
              <w:t xml:space="preserve">, donde están los actores competentes para la formulación de dicho programa, el documento cuenta con toda la concertación necesaria para ser avalado por el CNR. </w:t>
            </w:r>
          </w:p>
        </w:tc>
      </w:tr>
      <w:tr w:rsidR="0043013D" w:rsidRPr="008F2A3F" w:rsidTr="00755994">
        <w:tc>
          <w:tcPr>
            <w:tcW w:w="9356" w:type="dxa"/>
            <w:shd w:val="clear" w:color="auto" w:fill="F2F2F2"/>
          </w:tcPr>
          <w:p w:rsidR="0043013D" w:rsidRPr="00F67B04" w:rsidRDefault="0043013D" w:rsidP="00F67B04">
            <w:pPr>
              <w:spacing w:line="240" w:lineRule="auto"/>
              <w:jc w:val="both"/>
              <w:rPr>
                <w:color w:val="3366CC"/>
                <w:sz w:val="32"/>
                <w:szCs w:val="32"/>
                <w:u w:val="single"/>
              </w:rPr>
            </w:pPr>
            <w:r w:rsidRPr="00F67B04">
              <w:rPr>
                <w:color w:val="3366CC"/>
                <w:sz w:val="32"/>
                <w:szCs w:val="32"/>
                <w:u w:val="single"/>
              </w:rPr>
              <w:lastRenderedPageBreak/>
              <w:t xml:space="preserve">¿Quiénes se beneficiaron? </w:t>
            </w:r>
            <w:r w:rsidRPr="00F67B04">
              <w:rPr>
                <w:noProof/>
                <w:color w:val="3366CC"/>
                <w:sz w:val="32"/>
                <w:szCs w:val="32"/>
                <w:u w:val="single"/>
                <w:lang w:val="es-419" w:eastAsia="es-419"/>
              </w:rPr>
              <w:drawing>
                <wp:anchor distT="0" distB="0" distL="114300" distR="114300" simplePos="0" relativeHeight="251705856" behindDoc="0" locked="0" layoutInCell="1" hidden="0" allowOverlap="1" wp14:anchorId="4F53DCE2" wp14:editId="5F4DB7DF">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line="276" w:lineRule="auto"/>
              <w:jc w:val="both"/>
              <w:rPr>
                <w:i/>
                <w:sz w:val="24"/>
                <w:szCs w:val="24"/>
              </w:rPr>
            </w:pPr>
            <w:r w:rsidRPr="008F2A3F">
              <w:rPr>
                <w:i/>
                <w:sz w:val="24"/>
                <w:szCs w:val="24"/>
              </w:rPr>
              <w:t xml:space="preserve">2019 </w:t>
            </w:r>
          </w:p>
          <w:p w:rsidR="0043013D" w:rsidRPr="008F2A3F" w:rsidRDefault="0043013D" w:rsidP="00E73961">
            <w:pPr>
              <w:spacing w:line="276" w:lineRule="auto"/>
              <w:jc w:val="both"/>
              <w:rPr>
                <w:rFonts w:cstheme="minorHAnsi"/>
              </w:rPr>
            </w:pPr>
            <w:r w:rsidRPr="008F2A3F">
              <w:rPr>
                <w:rFonts w:cstheme="minorHAnsi"/>
              </w:rPr>
              <w:t xml:space="preserve">Frente al indicador Porcentaje de miembros de FARC-EP acreditados y que voluntariamente acceden a la ruta reincorporación con todas las medidas de la reincorporación económica y social sostenible, </w:t>
            </w:r>
            <w:r w:rsidR="00465476" w:rsidRPr="008F2A3F">
              <w:rPr>
                <w:rFonts w:cstheme="minorHAnsi"/>
              </w:rPr>
              <w:t xml:space="preserve">fueron atendidos </w:t>
            </w:r>
            <w:r w:rsidR="00354F35" w:rsidRPr="008F2A3F">
              <w:rPr>
                <w:rFonts w:cstheme="minorHAnsi"/>
              </w:rPr>
              <w:t xml:space="preserve">10.741 personas </w:t>
            </w:r>
            <w:r w:rsidR="00465476" w:rsidRPr="008F2A3F">
              <w:rPr>
                <w:rFonts w:cstheme="minorHAnsi"/>
              </w:rPr>
              <w:t>a diciembre de 2019,</w:t>
            </w:r>
            <w:r w:rsidR="00465476" w:rsidRPr="008F2A3F">
              <w:rPr>
                <w:rFonts w:cs="Arial"/>
              </w:rPr>
              <w:t xml:space="preserve"> </w:t>
            </w:r>
            <w:r w:rsidR="008F2A3F">
              <w:rPr>
                <w:rFonts w:cs="Arial"/>
              </w:rPr>
              <w:t xml:space="preserve">discriminados así: </w:t>
            </w:r>
            <w:r w:rsidR="0038447A" w:rsidRPr="008F2A3F">
              <w:rPr>
                <w:rFonts w:cstheme="minorHAnsi"/>
              </w:rPr>
              <w:t>2.764 mujeres</w:t>
            </w:r>
            <w:r w:rsidR="00465476" w:rsidRPr="008F2A3F">
              <w:rPr>
                <w:rFonts w:cstheme="minorHAnsi"/>
              </w:rPr>
              <w:t>, 7.921 son</w:t>
            </w:r>
            <w:r w:rsidR="00465476" w:rsidRPr="008F2A3F">
              <w:rPr>
                <w:rFonts w:cstheme="minorHAnsi"/>
                <w:sz w:val="24"/>
                <w:szCs w:val="24"/>
              </w:rPr>
              <w:t xml:space="preserve"> </w:t>
            </w:r>
            <w:r w:rsidR="00465476" w:rsidRPr="008F2A3F">
              <w:rPr>
                <w:rFonts w:cstheme="minorHAnsi"/>
              </w:rPr>
              <w:t>hombres y para 56 no se cuenta con la información de género</w:t>
            </w:r>
            <w:r w:rsidRPr="008F2A3F">
              <w:rPr>
                <w:rFonts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977"/>
              <w:gridCol w:w="1126"/>
              <w:gridCol w:w="1160"/>
              <w:gridCol w:w="1655"/>
              <w:gridCol w:w="1794"/>
            </w:tblGrid>
            <w:tr w:rsidR="007D2176" w:rsidRPr="008F2A3F" w:rsidTr="0068713B">
              <w:trPr>
                <w:trHeight w:val="400"/>
                <w:tblHeader/>
                <w:jc w:val="center"/>
              </w:trPr>
              <w:tc>
                <w:tcPr>
                  <w:tcW w:w="1977" w:type="dxa"/>
                  <w:shd w:val="clear" w:color="auto" w:fill="D9D9D9" w:themeFill="background1" w:themeFillShade="D9"/>
                  <w:vAlign w:val="center"/>
                </w:tcPr>
                <w:p w:rsidR="007D2176" w:rsidRPr="008F2A3F" w:rsidRDefault="007D2176" w:rsidP="007D2176">
                  <w:pPr>
                    <w:spacing w:after="0" w:line="240" w:lineRule="auto"/>
                    <w:jc w:val="center"/>
                    <w:rPr>
                      <w:b/>
                    </w:rPr>
                  </w:pPr>
                  <w:r w:rsidRPr="008F2A3F">
                    <w:rPr>
                      <w:rFonts w:eastAsia="Times New Roman" w:cs="Calibri"/>
                      <w:b/>
                      <w:lang w:val="es-419" w:eastAsia="es-419"/>
                    </w:rPr>
                    <w:t>DEPARTAMENTO</w:t>
                  </w:r>
                </w:p>
              </w:tc>
              <w:tc>
                <w:tcPr>
                  <w:tcW w:w="1126" w:type="dxa"/>
                  <w:shd w:val="clear" w:color="auto" w:fill="D9D9D9" w:themeFill="background1" w:themeFillShade="D9"/>
                  <w:vAlign w:val="center"/>
                </w:tcPr>
                <w:p w:rsidR="007D2176" w:rsidRPr="008F2A3F" w:rsidRDefault="007D2176" w:rsidP="007D2176">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7D2176" w:rsidRPr="008F2A3F" w:rsidRDefault="007D2176" w:rsidP="007D2176">
                  <w:pPr>
                    <w:spacing w:after="0" w:line="240" w:lineRule="auto"/>
                    <w:jc w:val="center"/>
                    <w:rPr>
                      <w:b/>
                    </w:rPr>
                  </w:pPr>
                  <w:r w:rsidRPr="008F2A3F">
                    <w:rPr>
                      <w:rFonts w:eastAsia="Times New Roman" w:cs="Calibri"/>
                      <w:b/>
                      <w:lang w:val="es-419" w:eastAsia="es-419"/>
                    </w:rPr>
                    <w:t>Femenino</w:t>
                  </w:r>
                </w:p>
              </w:tc>
              <w:tc>
                <w:tcPr>
                  <w:tcW w:w="1160" w:type="dxa"/>
                  <w:shd w:val="clear" w:color="auto" w:fill="D9D9D9" w:themeFill="background1" w:themeFillShade="D9"/>
                  <w:vAlign w:val="center"/>
                </w:tcPr>
                <w:p w:rsidR="007D2176" w:rsidRPr="008F2A3F" w:rsidRDefault="007D2176" w:rsidP="007D2176">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7D2176" w:rsidRPr="008F2A3F" w:rsidRDefault="007D2176" w:rsidP="007D2176">
                  <w:pPr>
                    <w:spacing w:after="0" w:line="240" w:lineRule="auto"/>
                    <w:jc w:val="center"/>
                    <w:rPr>
                      <w:b/>
                    </w:rPr>
                  </w:pPr>
                  <w:r w:rsidRPr="008F2A3F">
                    <w:rPr>
                      <w:rFonts w:eastAsia="Times New Roman" w:cs="Calibri"/>
                      <w:b/>
                      <w:lang w:val="es-419" w:eastAsia="es-419"/>
                    </w:rPr>
                    <w:t>Masculino</w:t>
                  </w:r>
                </w:p>
              </w:tc>
              <w:tc>
                <w:tcPr>
                  <w:tcW w:w="1655" w:type="dxa"/>
                  <w:shd w:val="clear" w:color="auto" w:fill="D9D9D9" w:themeFill="background1" w:themeFillShade="D9"/>
                  <w:vAlign w:val="bottom"/>
                </w:tcPr>
                <w:p w:rsidR="007D2176" w:rsidRPr="008F2A3F" w:rsidRDefault="007D2176" w:rsidP="007D2176">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7D2176" w:rsidRPr="008F2A3F" w:rsidRDefault="007D2176" w:rsidP="007D2176">
                  <w:pPr>
                    <w:spacing w:after="0" w:line="240" w:lineRule="auto"/>
                    <w:jc w:val="center"/>
                    <w:rPr>
                      <w:b/>
                    </w:rPr>
                  </w:pPr>
                  <w:r w:rsidRPr="008F2A3F">
                    <w:rPr>
                      <w:rFonts w:eastAsia="Times New Roman" w:cs="Calibri"/>
                      <w:b/>
                      <w:lang w:val="es-419" w:eastAsia="es-419"/>
                    </w:rPr>
                    <w:t>Sin Información</w:t>
                  </w:r>
                </w:p>
              </w:tc>
              <w:tc>
                <w:tcPr>
                  <w:tcW w:w="1794" w:type="dxa"/>
                  <w:shd w:val="clear" w:color="auto" w:fill="D9D9D9" w:themeFill="background1" w:themeFillShade="D9"/>
                  <w:vAlign w:val="center"/>
                </w:tcPr>
                <w:p w:rsidR="007D2176" w:rsidRPr="008F2A3F" w:rsidRDefault="007D2176" w:rsidP="007D2176">
                  <w:pPr>
                    <w:spacing w:after="0" w:line="240" w:lineRule="auto"/>
                    <w:jc w:val="center"/>
                    <w:rPr>
                      <w:b/>
                    </w:rPr>
                  </w:pPr>
                  <w:r w:rsidRPr="008F2A3F">
                    <w:rPr>
                      <w:rFonts w:eastAsia="Times New Roman" w:cs="Calibri"/>
                      <w:b/>
                      <w:lang w:val="es-419" w:eastAsia="es-419"/>
                    </w:rPr>
                    <w:t>TOTAL Atendidos</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Antioquia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311</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923</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 </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1234</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Meta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430</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786</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1217</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Cauca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182</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731</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914</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Caquetá</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184</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602</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787</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Bogotá D.C.</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243</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484</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728</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Tolima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157</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481</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639</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Norte de Santander</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81</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427</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511</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Huila</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91</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379</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470</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Valle del Cauca</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86</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332</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418</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Arauca</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97</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308</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12</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417</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Guaviare</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153</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255</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2</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410</w:t>
                  </w:r>
                </w:p>
              </w:tc>
            </w:tr>
            <w:tr w:rsidR="003329DD" w:rsidRPr="008F2A3F" w:rsidTr="003329DD">
              <w:trPr>
                <w:trHeight w:val="400"/>
                <w:jc w:val="center"/>
              </w:trPr>
              <w:tc>
                <w:tcPr>
                  <w:tcW w:w="1977" w:type="dxa"/>
                  <w:shd w:val="clear" w:color="auto" w:fill="D9D9D9" w:themeFill="background1" w:themeFillShade="D9"/>
                  <w:vAlign w:val="center"/>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DEPARTAMENTO</w:t>
                  </w:r>
                </w:p>
              </w:tc>
              <w:tc>
                <w:tcPr>
                  <w:tcW w:w="1126" w:type="dxa"/>
                  <w:shd w:val="clear" w:color="auto" w:fill="D9D9D9" w:themeFill="background1" w:themeFillShade="D9"/>
                  <w:vAlign w:val="center"/>
                </w:tcPr>
                <w:p w:rsidR="003329DD" w:rsidRPr="008F2A3F" w:rsidRDefault="003329DD" w:rsidP="003329DD">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Femenino</w:t>
                  </w:r>
                </w:p>
              </w:tc>
              <w:tc>
                <w:tcPr>
                  <w:tcW w:w="1160" w:type="dxa"/>
                  <w:shd w:val="clear" w:color="auto" w:fill="D9D9D9" w:themeFill="background1" w:themeFillShade="D9"/>
                  <w:vAlign w:val="center"/>
                </w:tcPr>
                <w:p w:rsidR="003329DD" w:rsidRPr="008F2A3F" w:rsidRDefault="003329DD" w:rsidP="003329DD">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Masculino</w:t>
                  </w:r>
                </w:p>
              </w:tc>
              <w:tc>
                <w:tcPr>
                  <w:tcW w:w="1655" w:type="dxa"/>
                  <w:shd w:val="clear" w:color="auto" w:fill="D9D9D9" w:themeFill="background1" w:themeFillShade="D9"/>
                  <w:vAlign w:val="bottom"/>
                </w:tcPr>
                <w:p w:rsidR="003329DD" w:rsidRPr="008F2A3F" w:rsidRDefault="003329DD" w:rsidP="003329DD">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Sin Información</w:t>
                  </w:r>
                </w:p>
              </w:tc>
              <w:tc>
                <w:tcPr>
                  <w:tcW w:w="1794" w:type="dxa"/>
                  <w:shd w:val="clear" w:color="auto" w:fill="D9D9D9" w:themeFill="background1" w:themeFillShade="D9"/>
                  <w:vAlign w:val="center"/>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TOTAL Atendidos</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Nariño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113</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270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386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Putumayo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289</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372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La Guajira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101</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197</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15</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313</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Cundinamarca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85</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223</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308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Bolívar</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60</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199</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260</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Chocó</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196</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242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Sucre</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39</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237</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Cesar</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59</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125</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188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Santander</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130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176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lastRenderedPageBreak/>
                    <w:t>Risaralda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18</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62</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81</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Casanare</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17</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53</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70</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Córdoba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56</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Quindío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15</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63</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Atlántico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42</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Caldas</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47</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Boyacá</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Magdalena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17</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24</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Guainía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&lt;No Registra&gt;</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15</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Vichada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Amazonas</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Vaupés</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 xml:space="preserve"> Total </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2764</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7921</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56</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10,741</w:t>
                  </w:r>
                </w:p>
              </w:tc>
            </w:tr>
          </w:tbl>
          <w:p w:rsidR="00C76024" w:rsidRPr="008F2A3F" w:rsidRDefault="00C76024" w:rsidP="00E616E2">
            <w:pPr>
              <w:spacing w:line="276" w:lineRule="auto"/>
              <w:jc w:val="both"/>
              <w:rPr>
                <w:rFonts w:cstheme="minorHAnsi"/>
              </w:rPr>
            </w:pPr>
          </w:p>
        </w:tc>
      </w:tr>
      <w:tr w:rsidR="001579FA" w:rsidRPr="008F2A3F" w:rsidTr="00755994">
        <w:tc>
          <w:tcPr>
            <w:tcW w:w="9356" w:type="dxa"/>
            <w:shd w:val="clear" w:color="auto" w:fill="F2F2F2"/>
          </w:tcPr>
          <w:p w:rsidR="001579FA" w:rsidRPr="008F2A3F" w:rsidRDefault="00354F35" w:rsidP="00B35DFB">
            <w:pPr>
              <w:spacing w:after="0" w:line="240" w:lineRule="auto"/>
              <w:jc w:val="both"/>
              <w:rPr>
                <w:sz w:val="32"/>
                <w:szCs w:val="32"/>
                <w:u w:val="single"/>
              </w:rPr>
            </w:pPr>
            <w:r w:rsidRPr="008F2A3F">
              <w:rPr>
                <w:rFonts w:cstheme="minorHAnsi"/>
              </w:rPr>
              <w:lastRenderedPageBreak/>
              <w:t xml:space="preserve">El </w:t>
            </w:r>
            <w:r w:rsidR="001579FA" w:rsidRPr="008F2A3F">
              <w:rPr>
                <w:rFonts w:cstheme="minorHAnsi"/>
              </w:rPr>
              <w:t xml:space="preserve"> programa “CAPAZCIDADES” está dirigido a 1.202 personas con discapacidad, 511 personas adultas mayores y cerca de 541 personas con enfermedad de alto costo, por lo anterior se espera que en la fase de implementación se atienda a </w:t>
            </w:r>
            <w:r w:rsidRPr="008F2A3F">
              <w:rPr>
                <w:rFonts w:cstheme="minorHAnsi"/>
              </w:rPr>
              <w:t xml:space="preserve">la </w:t>
            </w:r>
            <w:r w:rsidR="001579FA" w:rsidRPr="008F2A3F">
              <w:rPr>
                <w:rFonts w:cstheme="minorHAnsi"/>
              </w:rPr>
              <w:t>totalidad de esta población</w:t>
            </w:r>
            <w:r w:rsidRPr="008F2A3F">
              <w:rPr>
                <w:rFonts w:cstheme="minorHAnsi"/>
              </w:rPr>
              <w:t>, 2.254 personas.</w:t>
            </w:r>
          </w:p>
        </w:tc>
      </w:tr>
      <w:tr w:rsidR="0043013D" w:rsidRPr="008F2A3F" w:rsidTr="00755994">
        <w:tc>
          <w:tcPr>
            <w:tcW w:w="9356" w:type="dxa"/>
            <w:shd w:val="clear" w:color="auto" w:fill="F2F2F2"/>
          </w:tcPr>
          <w:p w:rsidR="0043013D" w:rsidRPr="00F67B04" w:rsidRDefault="0043013D" w:rsidP="00F67B04">
            <w:pPr>
              <w:spacing w:line="240" w:lineRule="auto"/>
              <w:jc w:val="both"/>
              <w:rPr>
                <w:color w:val="3366CC"/>
                <w:sz w:val="32"/>
                <w:szCs w:val="32"/>
                <w:u w:val="single"/>
              </w:rPr>
            </w:pPr>
            <w:r w:rsidRPr="00F67B04">
              <w:rPr>
                <w:color w:val="3366CC"/>
                <w:sz w:val="32"/>
                <w:szCs w:val="32"/>
                <w:u w:val="single"/>
              </w:rPr>
              <w:t xml:space="preserve">¿Quiénes participaron en esta acción y cómo se promovió el control social? </w:t>
            </w:r>
            <w:r w:rsidRPr="00F67B04">
              <w:rPr>
                <w:noProof/>
                <w:color w:val="3366CC"/>
                <w:sz w:val="32"/>
                <w:szCs w:val="32"/>
                <w:u w:val="single"/>
                <w:lang w:val="es-419" w:eastAsia="es-419"/>
              </w:rPr>
              <w:drawing>
                <wp:anchor distT="0" distB="0" distL="114300" distR="114300" simplePos="0" relativeHeight="251706880" behindDoc="0" locked="0" layoutInCell="1" hidden="0" allowOverlap="1" wp14:anchorId="4393C3D2" wp14:editId="16CC3904">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5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E73961">
            <w:pPr>
              <w:spacing w:after="0" w:line="240" w:lineRule="auto"/>
              <w:jc w:val="both"/>
              <w:rPr>
                <w:i/>
                <w:sz w:val="24"/>
                <w:szCs w:val="24"/>
              </w:rPr>
            </w:pPr>
          </w:p>
          <w:p w:rsidR="00AC1960" w:rsidRPr="008F2A3F" w:rsidRDefault="0043013D" w:rsidP="00E73961">
            <w:pPr>
              <w:spacing w:line="276" w:lineRule="auto"/>
              <w:jc w:val="both"/>
              <w:rPr>
                <w:rFonts w:cstheme="minorHAnsi"/>
              </w:rPr>
            </w:pPr>
            <w:r w:rsidRPr="008F2A3F">
              <w:rPr>
                <w:rFonts w:cstheme="minorHAnsi"/>
              </w:rPr>
              <w:t xml:space="preserve">A fin de garantizar la participación de la población y la identificación de las necesidades específicas de las </w:t>
            </w:r>
            <w:r w:rsidRPr="008F2A3F">
              <w:rPr>
                <w:rFonts w:cstheme="minorHAnsi"/>
                <w:lang w:val="es-ES"/>
              </w:rPr>
              <w:t xml:space="preserve">personas adultas mayores, con discapacidad y enfermedad de alto costo, exintegrantes de las FARC- EP como eje principal de la construcción del Programa, </w:t>
            </w:r>
            <w:r w:rsidRPr="008F2A3F">
              <w:rPr>
                <w:rFonts w:cstheme="minorHAnsi"/>
              </w:rPr>
              <w:t>se realizaron grupos focales desarrollados en cuatro Departamentos priorizados: Bogotá, Tolima, Arauca y Guaviare, específicamente</w:t>
            </w:r>
            <w:r w:rsidR="00DC6273" w:rsidRPr="008F2A3F">
              <w:rPr>
                <w:rFonts w:cstheme="minorHAnsi"/>
              </w:rPr>
              <w:t xml:space="preserve"> </w:t>
            </w:r>
            <w:r w:rsidRPr="008F2A3F">
              <w:rPr>
                <w:rFonts w:cstheme="minorHAnsi"/>
              </w:rPr>
              <w:t>con población ubicada en los</w:t>
            </w:r>
            <w:r w:rsidR="00FF3FF5" w:rsidRPr="008F2A3F">
              <w:rPr>
                <w:rFonts w:cstheme="minorHAnsi"/>
              </w:rPr>
              <w:t xml:space="preserve"> antiguos</w:t>
            </w:r>
            <w:r w:rsidRPr="008F2A3F">
              <w:rPr>
                <w:rFonts w:cstheme="minorHAnsi"/>
              </w:rPr>
              <w:t xml:space="preserve"> Espacios Territoriales de Capacitación y Reincorporación (ETCR); La Fila en el Municipio de Icononzo, Colinas ubicado en el Municipio San José del Guaviare, Filipinas ubicado en el Municipio de Arauquita, así como con la poblaci</w:t>
            </w:r>
            <w:r w:rsidR="00B71814" w:rsidRPr="008F2A3F">
              <w:rPr>
                <w:rFonts w:cstheme="minorHAnsi"/>
              </w:rPr>
              <w:t>ón de ubicación dispersa en la c</w:t>
            </w:r>
            <w:r w:rsidRPr="008F2A3F">
              <w:rPr>
                <w:rFonts w:cstheme="minorHAnsi"/>
              </w:rPr>
              <w:t>iudad de Bogotá. El desarrollo de los grupos focales permitió entender las dinámicas territoriales e identificar las necesidades de la población, sus fortalezas y las dificultades que limitan el desarrollo personal y social de los tres grupos poblacionales objetivo del programa CAPAZCIDADES.</w:t>
            </w:r>
          </w:p>
          <w:p w:rsidR="00AC1960" w:rsidRPr="008F2A3F" w:rsidRDefault="00AC1960" w:rsidP="00AC1960">
            <w:pPr>
              <w:spacing w:after="0" w:line="240" w:lineRule="auto"/>
              <w:rPr>
                <w:rFonts w:cs="Arial"/>
                <w:szCs w:val="24"/>
              </w:rPr>
            </w:pPr>
            <w:r w:rsidRPr="008F2A3F">
              <w:rPr>
                <w:rFonts w:cs="Arial"/>
                <w:szCs w:val="24"/>
              </w:rPr>
              <w:t xml:space="preserve">A través de los Consejos Territoriales de Reincorporación, instalados en los 24 antiguos ETCR, se han venido realizando reuniones mensuales entre los representantes de FARC-EP, el Gobierno Nacional, las instituciones y entidades públicas y privadas que convergen en los territorios donde se encuentran estos espacios, y miembros de las comunidades, con el fin de hacer seguimiento a los planes y </w:t>
            </w:r>
            <w:r w:rsidRPr="008F2A3F">
              <w:rPr>
                <w:rFonts w:cs="Arial"/>
                <w:szCs w:val="24"/>
              </w:rPr>
              <w:lastRenderedPageBreak/>
              <w:t>programas que se están llevando en torno a la reincorporación. Al 31 de diciembre se han realizado 496 reuniones en dichos espacios.</w:t>
            </w:r>
          </w:p>
          <w:p w:rsidR="00AC1960" w:rsidRPr="008F2A3F" w:rsidRDefault="00AC1960" w:rsidP="00E73961">
            <w:pPr>
              <w:spacing w:after="0" w:line="240" w:lineRule="auto"/>
              <w:jc w:val="both"/>
            </w:pPr>
          </w:p>
          <w:p w:rsidR="00E1433A" w:rsidRPr="00EF2A96" w:rsidRDefault="00E1433A" w:rsidP="00E1433A">
            <w:pPr>
              <w:spacing w:after="0" w:line="240" w:lineRule="auto"/>
              <w:jc w:val="both"/>
              <w:rPr>
                <w:color w:val="000000"/>
              </w:rPr>
            </w:pPr>
            <w:r w:rsidRPr="00EF2A96">
              <w:rPr>
                <w:color w:val="000000"/>
              </w:rPr>
              <w:t xml:space="preserve">Lo invitamos  a hacer control social a los contratos que se celebran por parte de las entidades públicas en el portal de Colombia Compra Eficiente </w:t>
            </w:r>
            <w:hyperlink r:id="rId46">
              <w:r w:rsidRPr="00EF2A96">
                <w:rPr>
                  <w:color w:val="0563C1"/>
                  <w:u w:val="single"/>
                </w:rPr>
                <w:t>www.colombiacompra.gov.co</w:t>
              </w:r>
            </w:hyperlink>
            <w:r w:rsidRPr="00EF2A96">
              <w:rPr>
                <w:color w:val="000000"/>
              </w:rPr>
              <w:t xml:space="preserve"> </w:t>
            </w:r>
          </w:p>
          <w:p w:rsidR="00E1433A" w:rsidRPr="00EF2A96" w:rsidRDefault="00E1433A" w:rsidP="00E1433A">
            <w:pPr>
              <w:spacing w:after="0" w:line="240" w:lineRule="auto"/>
              <w:rPr>
                <w:color w:val="000000"/>
              </w:rPr>
            </w:pPr>
          </w:p>
          <w:p w:rsidR="00E1433A" w:rsidRPr="00EF2A96" w:rsidRDefault="00E1433A" w:rsidP="00E1433A">
            <w:pPr>
              <w:spacing w:after="0" w:line="240" w:lineRule="auto"/>
              <w:jc w:val="both"/>
              <w:rPr>
                <w:color w:val="000000"/>
              </w:rPr>
            </w:pPr>
            <w:r w:rsidRPr="00EF2A96">
              <w:rPr>
                <w:color w:val="000000"/>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E1433A" w:rsidRPr="00EF2A96" w:rsidRDefault="00E1433A" w:rsidP="00E1433A">
            <w:pPr>
              <w:spacing w:after="0" w:line="240" w:lineRule="auto"/>
              <w:jc w:val="both"/>
              <w:rPr>
                <w:color w:val="000000"/>
              </w:rPr>
            </w:pPr>
          </w:p>
          <w:p w:rsidR="00E1433A" w:rsidRPr="00EF2A96" w:rsidRDefault="009B7621" w:rsidP="00E1433A">
            <w:pPr>
              <w:spacing w:after="0" w:line="240" w:lineRule="auto"/>
              <w:rPr>
                <w:color w:val="000000"/>
              </w:rPr>
            </w:pPr>
            <w:hyperlink r:id="rId47">
              <w:r w:rsidR="00E1433A" w:rsidRPr="00EF2A96">
                <w:rPr>
                  <w:color w:val="0563C1"/>
                  <w:u w:val="single"/>
                </w:rPr>
                <w:t>https://www.colombiacompra.gov.co/secop/busqueda-de-procesos-de-contratacion</w:t>
              </w:r>
            </w:hyperlink>
            <w:r w:rsidR="00E1433A" w:rsidRPr="00EF2A96">
              <w:rPr>
                <w:color w:val="000000"/>
              </w:rPr>
              <w:t xml:space="preserve"> </w:t>
            </w:r>
          </w:p>
          <w:p w:rsidR="00E1433A" w:rsidRPr="00EF2A96" w:rsidRDefault="009B7621" w:rsidP="00E1433A">
            <w:pPr>
              <w:spacing w:after="0" w:line="240" w:lineRule="auto"/>
              <w:rPr>
                <w:color w:val="000000"/>
              </w:rPr>
            </w:pPr>
            <w:hyperlink r:id="rId48">
              <w:r w:rsidR="00E1433A" w:rsidRPr="00EF2A96">
                <w:rPr>
                  <w:color w:val="0563C1"/>
                  <w:u w:val="single"/>
                </w:rPr>
                <w:t>https://www.contratos.gov.co/consultas/inicioConsulta.do</w:t>
              </w:r>
            </w:hyperlink>
            <w:r w:rsidR="00E1433A" w:rsidRPr="00EF2A96">
              <w:rPr>
                <w:color w:val="000000"/>
              </w:rPr>
              <w:t xml:space="preserve">  </w:t>
            </w:r>
          </w:p>
          <w:p w:rsidR="00E1433A" w:rsidRPr="00EF2A96" w:rsidRDefault="00E1433A" w:rsidP="00E1433A">
            <w:pPr>
              <w:spacing w:after="0" w:line="240" w:lineRule="auto"/>
              <w:rPr>
                <w:color w:val="000000"/>
              </w:rPr>
            </w:pPr>
          </w:p>
          <w:p w:rsidR="00046919" w:rsidRDefault="00E1433A" w:rsidP="00E1433A">
            <w:pPr>
              <w:spacing w:after="0" w:line="240" w:lineRule="auto"/>
              <w:rPr>
                <w:color w:val="000000"/>
              </w:rPr>
            </w:pPr>
            <w:r w:rsidRPr="00EF2A96">
              <w:rPr>
                <w:color w:val="000000"/>
              </w:rPr>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rsidR="00E1433A" w:rsidRPr="008F2A3F" w:rsidRDefault="00E1433A" w:rsidP="00E1433A">
            <w:pPr>
              <w:spacing w:after="0" w:line="240" w:lineRule="auto"/>
            </w:pPr>
          </w:p>
          <w:tbl>
            <w:tblPr>
              <w:tblW w:w="0" w:type="auto"/>
              <w:tblLayout w:type="fixed"/>
              <w:tblCellMar>
                <w:left w:w="70" w:type="dxa"/>
                <w:right w:w="70" w:type="dxa"/>
              </w:tblCellMar>
              <w:tblLook w:val="0400" w:firstRow="0" w:lastRow="0" w:firstColumn="0" w:lastColumn="0" w:noHBand="0" w:noVBand="1"/>
            </w:tblPr>
            <w:tblGrid>
              <w:gridCol w:w="5108"/>
              <w:gridCol w:w="3841"/>
            </w:tblGrid>
            <w:tr w:rsidR="002D3B42" w:rsidRPr="008F2A3F" w:rsidTr="00E45C95">
              <w:trPr>
                <w:trHeight w:val="315"/>
              </w:trPr>
              <w:tc>
                <w:tcPr>
                  <w:tcW w:w="5108" w:type="dxa"/>
                  <w:shd w:val="clear" w:color="000000" w:fill="A6A6A6"/>
                  <w:vAlign w:val="center"/>
                  <w:hideMark/>
                </w:tcPr>
                <w:p w:rsidR="002D3B42" w:rsidRPr="008F2A3F" w:rsidRDefault="002D3B42" w:rsidP="002D3B42">
                  <w:pPr>
                    <w:spacing w:after="0" w:line="240" w:lineRule="auto"/>
                    <w:jc w:val="both"/>
                    <w:rPr>
                      <w:rFonts w:eastAsia="Times New Roman" w:cs="Calibri"/>
                      <w:i/>
                      <w:iCs/>
                      <w:sz w:val="18"/>
                      <w:szCs w:val="18"/>
                      <w:lang w:eastAsia="es-CO"/>
                    </w:rPr>
                  </w:pPr>
                  <w:r w:rsidRPr="008F2A3F">
                    <w:rPr>
                      <w:rFonts w:eastAsia="Times New Roman" w:cs="Calibri"/>
                      <w:i/>
                      <w:iCs/>
                      <w:szCs w:val="18"/>
                      <w:lang w:eastAsia="es-CO"/>
                    </w:rPr>
                    <w:t xml:space="preserve">Número de Contrato/Año </w:t>
                  </w:r>
                </w:p>
              </w:tc>
              <w:tc>
                <w:tcPr>
                  <w:tcW w:w="3841" w:type="dxa"/>
                  <w:shd w:val="clear" w:color="000000" w:fill="A6A6A6"/>
                  <w:vAlign w:val="center"/>
                  <w:hideMark/>
                </w:tcPr>
                <w:p w:rsidR="00E45C95" w:rsidRPr="008F2A3F" w:rsidRDefault="00E45C95" w:rsidP="00E45C95">
                  <w:pPr>
                    <w:spacing w:after="0" w:line="240" w:lineRule="auto"/>
                    <w:jc w:val="both"/>
                    <w:rPr>
                      <w:rFonts w:cs="Arial"/>
                      <w:i/>
                      <w:sz w:val="24"/>
                      <w:szCs w:val="24"/>
                      <w:lang w:val="es-ES_tradnl"/>
                    </w:rPr>
                  </w:pPr>
                  <w:r w:rsidRPr="008F2A3F">
                    <w:rPr>
                      <w:rFonts w:cs="Arial"/>
                      <w:i/>
                      <w:sz w:val="24"/>
                      <w:szCs w:val="24"/>
                      <w:lang w:val="es-ES_tradnl"/>
                    </w:rPr>
                    <w:t>Informe de supervisión o interventoría</w:t>
                  </w:r>
                </w:p>
                <w:p w:rsidR="002D3B42" w:rsidRPr="008F2A3F" w:rsidRDefault="00E45C95" w:rsidP="00E45C95">
                  <w:pPr>
                    <w:spacing w:after="0" w:line="240" w:lineRule="auto"/>
                    <w:jc w:val="both"/>
                    <w:rPr>
                      <w:rFonts w:eastAsia="Times New Roman" w:cs="Calibri"/>
                      <w:i/>
                      <w:iCs/>
                      <w:sz w:val="18"/>
                      <w:szCs w:val="18"/>
                      <w:lang w:eastAsia="es-CO"/>
                    </w:rPr>
                  </w:pPr>
                  <w:r w:rsidRPr="008F2A3F">
                    <w:rPr>
                      <w:rFonts w:cs="Arial"/>
                      <w:i/>
                      <w:sz w:val="20"/>
                      <w:szCs w:val="20"/>
                      <w:lang w:val="es-ES_tradnl"/>
                    </w:rPr>
                    <w:t>Conozca el informe del interventor o el supervisor aquí</w:t>
                  </w:r>
                </w:p>
              </w:tc>
            </w:tr>
            <w:tr w:rsidR="002D3B42" w:rsidRPr="008F2A3F" w:rsidTr="00115989">
              <w:trPr>
                <w:trHeight w:val="2142"/>
              </w:trPr>
              <w:tc>
                <w:tcPr>
                  <w:tcW w:w="5108" w:type="dxa"/>
                  <w:shd w:val="clear" w:color="auto" w:fill="auto"/>
                  <w:vAlign w:val="center"/>
                  <w:hideMark/>
                </w:tcPr>
                <w:p w:rsidR="002D3B42" w:rsidRPr="008F2A3F" w:rsidRDefault="002D3B42" w:rsidP="002D3B42">
                  <w:pPr>
                    <w:spacing w:after="0" w:line="240" w:lineRule="auto"/>
                    <w:rPr>
                      <w:rFonts w:eastAsia="Times New Roman" w:cs="Calibri"/>
                      <w:lang w:eastAsia="es-CO"/>
                    </w:rPr>
                  </w:pPr>
                  <w:r w:rsidRPr="008F2A3F">
                    <w:rPr>
                      <w:rFonts w:eastAsia="Times New Roman" w:cs="Calibri"/>
                      <w:lang w:eastAsia="es-CO"/>
                    </w:rPr>
                    <w:t>Durante el 2019 se aprobaron 300 contratos para 231 facilitadores, quienes tenían por objeto prestar los servicios profesionales para el acompañamiento, atención y gestión de beneficios a la población objeto de la ARN que se encuentren de manera dispersa en el territorio nacional, en cabeceras municipales, zonas urbanas, Espacios Territoriales de Capacitación y Reincorporación, Áreas de Reincorporación Grupal Distantes, Contexto Especial o de difícil acceso. Al igual que 23 contratos para 13 orientadores productivos encargados de apoyar a la coordinación respecto a la asistencia técnica integral que aborde los procesos de formulación, implementación, seguimiento y comercialización de proyectos productivos de carácter colectivo e individual, de acuerdo a los lineamientos impartidos por la ARN.</w:t>
                  </w:r>
                </w:p>
                <w:p w:rsidR="00AC1960" w:rsidRPr="008F2A3F" w:rsidRDefault="00AC1960" w:rsidP="002D3B42">
                  <w:pPr>
                    <w:spacing w:after="0" w:line="240" w:lineRule="auto"/>
                    <w:rPr>
                      <w:rFonts w:eastAsia="Times New Roman" w:cs="Calibri"/>
                      <w:lang w:eastAsia="es-CO"/>
                    </w:rPr>
                  </w:pPr>
                </w:p>
                <w:p w:rsidR="00AC1960" w:rsidRPr="008F2A3F" w:rsidRDefault="00AC1960" w:rsidP="003329DD">
                  <w:pPr>
                    <w:spacing w:after="0" w:line="240" w:lineRule="auto"/>
                    <w:rPr>
                      <w:rFonts w:eastAsia="Times New Roman" w:cs="Calibri"/>
                      <w:lang w:eastAsia="es-CO"/>
                    </w:rPr>
                  </w:pPr>
                  <w:r w:rsidRPr="008F2A3F">
                    <w:rPr>
                      <w:rFonts w:eastAsia="Times New Roman" w:cs="Calibri"/>
                      <w:lang w:eastAsia="es-CO"/>
                    </w:rPr>
                    <w:t>Durante el 2019 se aprobaron 7 contratos para 6 profesionales y 3 contratos para apoyo administrativo, con el fin de acompañar la implementación y apoyar el seguimiento del proceso de reincorporación social y económica de las FARC-EP atendiendo lo lineamientos del Consejo Nacional de Reincorporación (CNR) y en coordinación con la A</w:t>
                  </w:r>
                  <w:r w:rsidR="003329DD" w:rsidRPr="008F2A3F">
                    <w:rPr>
                      <w:rFonts w:eastAsia="Times New Roman" w:cs="Calibri"/>
                      <w:lang w:eastAsia="es-CO"/>
                    </w:rPr>
                    <w:t>RN</w:t>
                  </w:r>
                  <w:r w:rsidRPr="008F2A3F">
                    <w:rPr>
                      <w:rFonts w:eastAsia="Times New Roman" w:cs="Calibri"/>
                      <w:lang w:eastAsia="es-CO"/>
                    </w:rPr>
                    <w:t>.</w:t>
                  </w:r>
                </w:p>
              </w:tc>
              <w:tc>
                <w:tcPr>
                  <w:tcW w:w="3841" w:type="dxa"/>
                  <w:shd w:val="clear" w:color="auto" w:fill="auto"/>
                  <w:vAlign w:val="center"/>
                  <w:hideMark/>
                </w:tcPr>
                <w:p w:rsidR="002D3B42" w:rsidRPr="008F2A3F" w:rsidRDefault="009B7621" w:rsidP="00B94748">
                  <w:pPr>
                    <w:spacing w:after="0" w:line="240" w:lineRule="auto"/>
                    <w:rPr>
                      <w:rFonts w:eastAsia="Times New Roman" w:cs="Calibri"/>
                      <w:sz w:val="20"/>
                      <w:szCs w:val="20"/>
                      <w:lang w:eastAsia="es-CO"/>
                    </w:rPr>
                  </w:pPr>
                  <w:hyperlink r:id="rId49" w:history="1">
                    <w:r w:rsidR="00B94748" w:rsidRPr="00693E84">
                      <w:rPr>
                        <w:rStyle w:val="Hipervnculo"/>
                        <w:rFonts w:eastAsia="Times New Roman" w:cs="Calibri"/>
                        <w:sz w:val="20"/>
                        <w:szCs w:val="20"/>
                        <w:lang w:eastAsia="es-CO"/>
                      </w:rPr>
                      <w:t>https://www.colombiacompra.gov.co/secop/busqueda-de-procesos-de-contratacion</w:t>
                    </w:r>
                  </w:hyperlink>
                  <w:r w:rsidR="00B94748">
                    <w:rPr>
                      <w:rStyle w:val="Hipervnculo"/>
                      <w:rFonts w:eastAsia="Times New Roman" w:cs="Calibri"/>
                      <w:color w:val="auto"/>
                      <w:sz w:val="20"/>
                      <w:szCs w:val="20"/>
                      <w:lang w:eastAsia="es-CO"/>
                    </w:rPr>
                    <w:t xml:space="preserve"> </w:t>
                  </w:r>
                  <w:r w:rsidR="00AC1960" w:rsidRPr="008F2A3F">
                    <w:rPr>
                      <w:rFonts w:eastAsia="Times New Roman" w:cs="Calibri"/>
                      <w:sz w:val="20"/>
                      <w:szCs w:val="20"/>
                      <w:lang w:eastAsia="es-CO"/>
                    </w:rPr>
                    <w:t xml:space="preserve"> </w:t>
                  </w:r>
                  <w:r w:rsidR="002D3B42" w:rsidRPr="008F2A3F">
                    <w:rPr>
                      <w:rFonts w:eastAsia="Times New Roman" w:cs="Calibri"/>
                      <w:sz w:val="20"/>
                      <w:szCs w:val="20"/>
                      <w:lang w:eastAsia="es-CO"/>
                    </w:rPr>
                    <w:t xml:space="preserve"> </w:t>
                  </w:r>
                  <w:r w:rsidR="00AC1960" w:rsidRPr="008F2A3F">
                    <w:rPr>
                      <w:rFonts w:eastAsia="Times New Roman" w:cs="Calibri"/>
                      <w:sz w:val="20"/>
                      <w:szCs w:val="20"/>
                      <w:lang w:eastAsia="es-CO"/>
                    </w:rPr>
                    <w:t xml:space="preserve"> </w:t>
                  </w:r>
                  <w:hyperlink r:id="rId50" w:history="1">
                    <w:r w:rsidR="00B94748" w:rsidRPr="00693E84">
                      <w:rPr>
                        <w:rStyle w:val="Hipervnculo"/>
                        <w:rFonts w:eastAsia="Times New Roman" w:cs="Calibri"/>
                        <w:sz w:val="20"/>
                        <w:szCs w:val="20"/>
                        <w:lang w:eastAsia="es-CO"/>
                      </w:rPr>
                      <w:t>https://www.contratos.gov.co/consultas/inicioConsulta.do</w:t>
                    </w:r>
                  </w:hyperlink>
                  <w:r w:rsidR="00B94748">
                    <w:rPr>
                      <w:rStyle w:val="Hipervnculo"/>
                      <w:rFonts w:eastAsia="Times New Roman" w:cs="Calibri"/>
                      <w:color w:val="auto"/>
                      <w:sz w:val="20"/>
                      <w:szCs w:val="20"/>
                      <w:lang w:eastAsia="es-CO"/>
                    </w:rPr>
                    <w:t xml:space="preserve"> </w:t>
                  </w:r>
                  <w:r w:rsidR="00AC1960" w:rsidRPr="008F2A3F">
                    <w:rPr>
                      <w:rFonts w:eastAsia="Times New Roman" w:cs="Calibri"/>
                      <w:sz w:val="20"/>
                      <w:szCs w:val="20"/>
                      <w:lang w:eastAsia="es-CO"/>
                    </w:rPr>
                    <w:t xml:space="preserve"> </w:t>
                  </w:r>
                  <w:r w:rsidR="002D3B42" w:rsidRPr="008F2A3F">
                    <w:rPr>
                      <w:rFonts w:eastAsia="Times New Roman" w:cs="Calibri"/>
                      <w:sz w:val="20"/>
                      <w:szCs w:val="20"/>
                      <w:lang w:eastAsia="es-CO"/>
                    </w:rPr>
                    <w:t xml:space="preserve">  </w:t>
                  </w:r>
                </w:p>
              </w:tc>
            </w:tr>
          </w:tbl>
          <w:p w:rsidR="0043013D" w:rsidRPr="008F2A3F" w:rsidRDefault="0043013D" w:rsidP="00E73961">
            <w:pPr>
              <w:spacing w:after="0" w:line="240" w:lineRule="auto"/>
              <w:jc w:val="both"/>
              <w:rPr>
                <w:highlight w:val="yellow"/>
              </w:rPr>
            </w:pPr>
          </w:p>
        </w:tc>
      </w:tr>
      <w:tr w:rsidR="0043013D" w:rsidRPr="008F2A3F" w:rsidTr="00755994">
        <w:trPr>
          <w:trHeight w:val="20"/>
        </w:trPr>
        <w:tc>
          <w:tcPr>
            <w:tcW w:w="9356" w:type="dxa"/>
            <w:shd w:val="clear" w:color="auto" w:fill="F2F2F2"/>
          </w:tcPr>
          <w:p w:rsidR="0043013D" w:rsidRPr="00F67B04" w:rsidRDefault="0043013D" w:rsidP="00E73961">
            <w:pPr>
              <w:spacing w:after="0" w:line="240" w:lineRule="auto"/>
              <w:rPr>
                <w:color w:val="3366CC"/>
                <w:sz w:val="32"/>
                <w:szCs w:val="32"/>
                <w:u w:val="single"/>
              </w:rPr>
            </w:pPr>
            <w:r w:rsidRPr="00F67B04">
              <w:rPr>
                <w:color w:val="3366CC"/>
                <w:sz w:val="32"/>
                <w:szCs w:val="32"/>
                <w:u w:val="single"/>
              </w:rPr>
              <w:lastRenderedPageBreak/>
              <w:t>¿En qué territorios se desarrolló la acción?</w:t>
            </w:r>
            <w:r w:rsidRPr="00F67B04">
              <w:rPr>
                <w:noProof/>
                <w:color w:val="3366CC"/>
                <w:sz w:val="32"/>
                <w:szCs w:val="32"/>
                <w:u w:val="single"/>
                <w:lang w:val="es-419" w:eastAsia="es-419"/>
              </w:rPr>
              <w:drawing>
                <wp:anchor distT="0" distB="0" distL="114300" distR="114300" simplePos="0" relativeHeight="251707904" behindDoc="0" locked="0" layoutInCell="1" hidden="0" allowOverlap="1" wp14:anchorId="33B40D3E" wp14:editId="1D6CE59B">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E616E2" w:rsidRPr="008F2A3F" w:rsidRDefault="0043013D" w:rsidP="00E616E2">
            <w:pPr>
              <w:spacing w:after="0" w:line="240" w:lineRule="auto"/>
              <w:jc w:val="both"/>
            </w:pPr>
            <w:r w:rsidRPr="008F2A3F">
              <w:t>Las acciones relacionadas a la atención de las personas se han desarrollado en los 24 antiguos Espacios Territoriales de Capacitación y Reincorporación</w:t>
            </w:r>
            <w:r w:rsidR="00993C49" w:rsidRPr="008F2A3F">
              <w:t xml:space="preserve"> –ETCR,</w:t>
            </w:r>
            <w:r w:rsidRPr="008F2A3F">
              <w:t xml:space="preserve"> donde se </w:t>
            </w:r>
            <w:r w:rsidRPr="008F2A3F">
              <w:lastRenderedPageBreak/>
              <w:t>encuentran ubicados los EX INTEGRANTES - FARC, así como en cualquier parte del país donde se encuentre ubicada la población beneficiaria</w:t>
            </w:r>
            <w:r w:rsidR="00E616E2" w:rsidRPr="008F2A3F">
              <w:t>.</w:t>
            </w:r>
          </w:p>
          <w:p w:rsidR="00E616E2" w:rsidRPr="008F2A3F" w:rsidRDefault="00E616E2" w:rsidP="00E616E2">
            <w:pPr>
              <w:spacing w:after="0" w:line="240" w:lineRule="auto"/>
              <w:jc w:val="both"/>
              <w:rPr>
                <w:rFonts w:cstheme="minorHAnsi"/>
              </w:rPr>
            </w:pPr>
          </w:p>
          <w:p w:rsidR="00FA3E42" w:rsidRPr="008F2A3F" w:rsidRDefault="00FA3E42" w:rsidP="00E616E2">
            <w:pPr>
              <w:spacing w:line="276" w:lineRule="auto"/>
              <w:jc w:val="both"/>
              <w:rPr>
                <w:rFonts w:cstheme="minorHAnsi"/>
              </w:rPr>
            </w:pPr>
            <w:r w:rsidRPr="008F2A3F">
              <w:rPr>
                <w:rFonts w:cstheme="minorHAnsi"/>
              </w:rPr>
              <w:t>Para el caso del programa CAPAZCIDADES, se realizaron los grupos focales en los antiguos ETCR La Fila en el Municipio de Icononzo, ETCR Colinas ubicado en el Municipio San José del Guaviare, ETCR Filipinas ubicado en el Municipio de Arauquita, así como con la población de ubicación dispersa en la ciudad de Bogotá.</w:t>
            </w:r>
          </w:p>
          <w:p w:rsidR="0043013D" w:rsidRPr="008F2A3F" w:rsidRDefault="0043013D" w:rsidP="00E616E2">
            <w:pPr>
              <w:spacing w:line="276" w:lineRule="auto"/>
              <w:jc w:val="both"/>
              <w:rPr>
                <w:rFonts w:cs="Arial"/>
                <w:i/>
                <w:sz w:val="24"/>
                <w:szCs w:val="24"/>
                <w:lang w:val="es-ES"/>
              </w:rPr>
            </w:pPr>
            <w:r w:rsidRPr="008F2A3F">
              <w:rPr>
                <w:rFonts w:cstheme="minorHAnsi"/>
              </w:rPr>
              <w:t>Teniendo en cuenta que el programa CAPAZCIDADES está en proceso de formulación, el diseño del documento se realizó</w:t>
            </w:r>
            <w:r w:rsidR="00E616E2" w:rsidRPr="008F2A3F">
              <w:rPr>
                <w:rFonts w:cstheme="minorHAnsi"/>
              </w:rPr>
              <w:t xml:space="preserve"> en Bogotá – Nivel central</w:t>
            </w:r>
            <w:r w:rsidR="00803968" w:rsidRPr="008F2A3F">
              <w:rPr>
                <w:rFonts w:cstheme="minorHAnsi"/>
              </w:rPr>
              <w:t xml:space="preserve">. </w:t>
            </w:r>
            <w:r w:rsidR="00354F35" w:rsidRPr="008F2A3F">
              <w:rPr>
                <w:rFonts w:cstheme="minorHAnsi"/>
              </w:rPr>
              <w:t>No</w:t>
            </w:r>
            <w:r w:rsidR="00E616E2" w:rsidRPr="008F2A3F">
              <w:rPr>
                <w:rFonts w:cstheme="minorHAnsi"/>
              </w:rPr>
              <w:t xml:space="preserve"> obstante</w:t>
            </w:r>
            <w:r w:rsidRPr="008F2A3F">
              <w:rPr>
                <w:rFonts w:cstheme="minorHAnsi"/>
              </w:rPr>
              <w:t>, el proceso de implementación de las acciones contenidas en el programa se realizará en todo el territorio nacional donde residan las personas objetivo del programa.</w:t>
            </w:r>
          </w:p>
        </w:tc>
      </w:tr>
    </w:tbl>
    <w:p w:rsidR="0043013D" w:rsidRPr="008F2A3F" w:rsidRDefault="0043013D" w:rsidP="0043013D">
      <w:pPr>
        <w:spacing w:line="240" w:lineRule="auto"/>
        <w:ind w:left="108"/>
        <w:rPr>
          <w:sz w:val="32"/>
          <w:szCs w:val="32"/>
          <w:u w:val="single"/>
        </w:rPr>
      </w:pPr>
      <w:r w:rsidRPr="008F2A3F">
        <w:rPr>
          <w:i/>
          <w:sz w:val="28"/>
          <w:szCs w:val="28"/>
        </w:rPr>
        <w:lastRenderedPageBreak/>
        <w:t xml:space="preserve">Acción </w:t>
      </w:r>
      <w:r w:rsidR="001917F8" w:rsidRPr="008F2A3F">
        <w:rPr>
          <w:i/>
          <w:sz w:val="28"/>
          <w:szCs w:val="28"/>
        </w:rPr>
        <w:t>4</w:t>
      </w:r>
      <w:r w:rsidRPr="008F2A3F">
        <w:rPr>
          <w:i/>
          <w:sz w:val="28"/>
          <w:szCs w:val="28"/>
        </w:rPr>
        <w:t>.</w:t>
      </w:r>
      <w:r w:rsidRPr="008F2A3F">
        <w:rPr>
          <w:b/>
          <w:sz w:val="36"/>
          <w:szCs w:val="36"/>
        </w:rPr>
        <w:t xml:space="preserve"> </w:t>
      </w:r>
      <w:r w:rsidRPr="008F2A3F">
        <w:rPr>
          <w:b/>
          <w:sz w:val="36"/>
          <w:szCs w:val="36"/>
        </w:rPr>
        <w:br/>
      </w:r>
      <w:r w:rsidRPr="008F2A3F">
        <w:rPr>
          <w:rFonts w:cs="Arial"/>
          <w:b/>
          <w:sz w:val="40"/>
          <w:szCs w:val="36"/>
        </w:rPr>
        <w:t>Reincorporación económica y social sostenible</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5F3776">
        <w:trPr>
          <w:trHeight w:val="2120"/>
          <w:tblHeader/>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u w:val="single"/>
              </w:rPr>
            </w:pPr>
            <w:r w:rsidRPr="008F2A3F">
              <w:rPr>
                <w:b/>
                <w:u w:val="single"/>
              </w:rPr>
              <w:t xml:space="preserve">Compromiso </w:t>
            </w:r>
            <w:r w:rsidRPr="008F2A3F">
              <w:rPr>
                <w:b/>
                <w:u w:val="single"/>
              </w:rPr>
              <w:br/>
              <w:t>que atiende</w:t>
            </w:r>
            <w:r w:rsidRPr="008F2A3F">
              <w:rPr>
                <w:u w:val="single"/>
              </w:rPr>
              <w:t>:</w:t>
            </w:r>
            <w:r w:rsidRPr="008F2A3F">
              <w:rPr>
                <w:b/>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pPr>
            <w:r w:rsidRPr="008F2A3F">
              <w:rPr>
                <w:rFonts w:cs="Arial"/>
                <w:lang w:val="es-ES"/>
              </w:rPr>
              <w:t>En el Marco del Fin del Conflicto: a) Asignar, a partir de la terminación de las ZVTN y durante veinticuatro (24) meses, a cada uno (a) de los hombres y mujeres hoy pertenecientes a FARC-EP, una renta básica mensual equivalente a 90% del SMMLV, siempre y cuando no tengan un vínculo contractual que les genere ingresos. b) Otorgar con posterioridad al término de 24 meses, una asignación mensual de acuerdo con la normatividad que se expida para ese efecto y no menor a la que haya estado vigente siempre y cuando el beneficiario acredite que ha continuado su ruta educativa en función de los propósitos de reincorporación. c) Otorgar, al momento de la terminación de las ZVTN, una asignación única de normalización equivalente a 2 millones de pesos a cada uno (a) de los hombres y mujeres hoy pertenecientes a FARC-EP. d) Garantizar las sumas correspondientes a los pagos por concepto de seguridad social en salud y pensiones de acuerdo con la normatividad vigente para quienes no se encuentren vinculados a actividades remuneradas, a través de la constitución de un encargo fiduciario para la realización de los pagos durante 24 meses, a cargo del Gobierno Nacional.</w:t>
            </w:r>
          </w:p>
        </w:tc>
      </w:tr>
    </w:tbl>
    <w:p w:rsidR="001D3BB7" w:rsidRPr="008F2A3F" w:rsidRDefault="001D3BB7" w:rsidP="0043013D">
      <w:pPr>
        <w:spacing w:line="240" w:lineRule="auto"/>
        <w:jc w:val="both"/>
        <w:rPr>
          <w:sz w:val="24"/>
          <w:szCs w:val="24"/>
        </w:rPr>
      </w:pPr>
    </w:p>
    <w:p w:rsidR="0043013D" w:rsidRPr="00F67B04" w:rsidRDefault="0043013D" w:rsidP="0043013D">
      <w:pPr>
        <w:spacing w:line="240" w:lineRule="auto"/>
        <w:jc w:val="both"/>
        <w:rPr>
          <w:color w:val="3366CC"/>
          <w:sz w:val="32"/>
          <w:szCs w:val="32"/>
          <w:u w:val="single"/>
        </w:rPr>
      </w:pPr>
      <w:r w:rsidRPr="008F2A3F">
        <w:rPr>
          <w:sz w:val="24"/>
          <w:szCs w:val="24"/>
        </w:rPr>
        <w:t>Para dar cumplimiento a los compromisos acá relacionados, esta entidad tiene a cargo los siguientes productos del Plan Marco de Implementación.</w:t>
      </w:r>
    </w:p>
    <w:p w:rsidR="0043013D" w:rsidRPr="00F67B04" w:rsidRDefault="0043013D" w:rsidP="0043013D">
      <w:pPr>
        <w:spacing w:line="240" w:lineRule="auto"/>
        <w:jc w:val="both"/>
        <w:rPr>
          <w:color w:val="3366CC"/>
          <w:sz w:val="32"/>
          <w:szCs w:val="32"/>
          <w:u w:val="single"/>
        </w:rPr>
      </w:pPr>
      <w:r w:rsidRPr="00F67B04">
        <w:rPr>
          <w:color w:val="3366CC"/>
          <w:sz w:val="32"/>
          <w:szCs w:val="32"/>
          <w:u w:val="single"/>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3013D" w:rsidRPr="008F2A3F" w:rsidTr="00E73961">
        <w:trPr>
          <w:trHeight w:val="400"/>
          <w:tblHeader/>
        </w:trPr>
        <w:tc>
          <w:tcPr>
            <w:tcW w:w="1510"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196"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1097"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99"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98"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highlight w:val="yellow"/>
              </w:rPr>
            </w:pPr>
            <w:r w:rsidRPr="008F2A3F">
              <w:rPr>
                <w:rFonts w:cs="Arial"/>
                <w:lang w:val="es-ES_tradnl"/>
              </w:rPr>
              <w:t xml:space="preserve">Renta básica mensual a miembros de FARC-EP acreditados que no tengan vínculo contractual, laboral, legal y reglamentario, o un contrato de cualquier </w:t>
            </w:r>
            <w:r w:rsidRPr="008F2A3F">
              <w:rPr>
                <w:rFonts w:cs="Arial"/>
                <w:lang w:val="es-ES_tradnl"/>
              </w:rPr>
              <w:lastRenderedPageBreak/>
              <w:t>naturaleza que les genere ingresos</w:t>
            </w:r>
          </w:p>
        </w:tc>
        <w:tc>
          <w:tcPr>
            <w:tcW w:w="1196" w:type="pct"/>
            <w:shd w:val="clear" w:color="auto" w:fill="E8E8E8"/>
          </w:tcPr>
          <w:p w:rsidR="0043013D" w:rsidRPr="008F2A3F" w:rsidRDefault="0043013D" w:rsidP="00E73961">
            <w:pPr>
              <w:spacing w:after="0" w:line="240" w:lineRule="auto"/>
              <w:rPr>
                <w:highlight w:val="yellow"/>
              </w:rPr>
            </w:pPr>
            <w:r w:rsidRPr="008F2A3F">
              <w:lastRenderedPageBreak/>
              <w:t xml:space="preserve">Porcentaje de miembros de FARC-EP acreditados que no tengan vínculo contractual que les </w:t>
            </w:r>
            <w:r w:rsidRPr="008F2A3F">
              <w:lastRenderedPageBreak/>
              <w:t>genere ingresos, con renta básica mensual</w:t>
            </w:r>
          </w:p>
        </w:tc>
        <w:tc>
          <w:tcPr>
            <w:tcW w:w="1097" w:type="pct"/>
            <w:shd w:val="clear" w:color="auto" w:fill="E8E8E8"/>
          </w:tcPr>
          <w:p w:rsidR="0043013D" w:rsidRPr="008F2A3F" w:rsidRDefault="0043013D" w:rsidP="00E73961">
            <w:pPr>
              <w:spacing w:after="0" w:line="240" w:lineRule="auto"/>
            </w:pPr>
            <w:r w:rsidRPr="008F2A3F">
              <w:lastRenderedPageBreak/>
              <w:t>Presidencia</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2020</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Asignación única de normalización (2 millones de pesos por persona)</w:t>
            </w:r>
          </w:p>
        </w:tc>
        <w:tc>
          <w:tcPr>
            <w:tcW w:w="1196" w:type="pct"/>
            <w:shd w:val="clear" w:color="auto" w:fill="E8E8E8"/>
          </w:tcPr>
          <w:p w:rsidR="0043013D" w:rsidRPr="008F2A3F" w:rsidRDefault="0043013D" w:rsidP="00E73961">
            <w:pPr>
              <w:spacing w:after="0" w:line="240" w:lineRule="auto"/>
            </w:pPr>
            <w:r w:rsidRPr="008F2A3F">
              <w:t>Porcentaje de asignaciones únicas de normalización entregadas a los integrantes de FARC-EP acreditados que cumplan requisitos para desembolso</w:t>
            </w:r>
          </w:p>
        </w:tc>
        <w:tc>
          <w:tcPr>
            <w:tcW w:w="1097"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2022</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Pagos por concepto de seguridad social para miembros de FARC-EP que no se encuentren vinculados a actividades remuneradas  (durante 24 meses después de la acreditación)</w:t>
            </w:r>
          </w:p>
        </w:tc>
        <w:tc>
          <w:tcPr>
            <w:tcW w:w="1196" w:type="pct"/>
            <w:shd w:val="clear" w:color="auto" w:fill="E8E8E8"/>
          </w:tcPr>
          <w:p w:rsidR="0043013D" w:rsidRPr="008F2A3F" w:rsidRDefault="0043013D" w:rsidP="00E73961">
            <w:pPr>
              <w:spacing w:after="0" w:line="240" w:lineRule="auto"/>
            </w:pPr>
            <w:r w:rsidRPr="008F2A3F">
              <w:t>Porcentaje de miembros de FARC-EP acreditados que no tengan vínculo contractual, que reciben pago por concepto de seguridad social</w:t>
            </w:r>
          </w:p>
        </w:tc>
        <w:tc>
          <w:tcPr>
            <w:tcW w:w="1097" w:type="pct"/>
            <w:shd w:val="clear" w:color="auto" w:fill="E8E8E8"/>
          </w:tcPr>
          <w:p w:rsidR="0043013D" w:rsidRPr="008F2A3F" w:rsidRDefault="0043013D" w:rsidP="00E73961">
            <w:pPr>
              <w:spacing w:after="0" w:line="240" w:lineRule="auto"/>
            </w:pPr>
            <w:r w:rsidRPr="008F2A3F">
              <w:t xml:space="preserve">Presidencia </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2020</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Asignación básica mensual a miembros de FARC-EP acreditados que no tengan vínculo contractual, laboral, legal y reglamentario, o un contrato de cualquier naturaleza que les genere ingresos y que continúen con su ruta educativa de acuerdo a sus intereses en el proceso de reincorporación</w:t>
            </w:r>
          </w:p>
        </w:tc>
        <w:tc>
          <w:tcPr>
            <w:tcW w:w="1196" w:type="pct"/>
            <w:shd w:val="clear" w:color="auto" w:fill="E8E8E8"/>
          </w:tcPr>
          <w:p w:rsidR="0043013D" w:rsidRPr="008F2A3F" w:rsidRDefault="0043013D" w:rsidP="00E73961">
            <w:pPr>
              <w:spacing w:after="0" w:line="240" w:lineRule="auto"/>
            </w:pPr>
            <w:r w:rsidRPr="008F2A3F">
              <w:t>Porcentaje de miembros de FARC-EP acreditados que no tengan vínculo contractual que les genere ingresos y que continúen con su ruta educativa de acuerdo a sus intereses en el proceso de reincorporación, con asignación básica mensual</w:t>
            </w:r>
          </w:p>
        </w:tc>
        <w:tc>
          <w:tcPr>
            <w:tcW w:w="1097" w:type="pct"/>
            <w:shd w:val="clear" w:color="auto" w:fill="E8E8E8"/>
          </w:tcPr>
          <w:p w:rsidR="0043013D" w:rsidRPr="008F2A3F" w:rsidRDefault="0043013D" w:rsidP="00E73961">
            <w:pPr>
              <w:spacing w:after="0" w:line="240" w:lineRule="auto"/>
            </w:pPr>
            <w:r w:rsidRPr="008F2A3F">
              <w:t xml:space="preserve">Presidencia </w:t>
            </w:r>
          </w:p>
        </w:tc>
        <w:tc>
          <w:tcPr>
            <w:tcW w:w="599" w:type="pct"/>
            <w:shd w:val="clear" w:color="auto" w:fill="E8E8E8"/>
          </w:tcPr>
          <w:p w:rsidR="0043013D" w:rsidRPr="008F2A3F" w:rsidRDefault="0043013D" w:rsidP="00E73961">
            <w:pPr>
              <w:spacing w:after="0" w:line="240" w:lineRule="auto"/>
            </w:pPr>
            <w:r w:rsidRPr="008F2A3F">
              <w:t>2019</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0" w:type="pct"/>
            <w:shd w:val="clear" w:color="auto" w:fill="E8E8E8"/>
          </w:tcPr>
          <w:p w:rsidR="0043013D" w:rsidRPr="008F2A3F" w:rsidRDefault="0043013D" w:rsidP="00E73961">
            <w:pPr>
              <w:autoSpaceDE w:val="0"/>
              <w:autoSpaceDN w:val="0"/>
              <w:adjustRightInd w:val="0"/>
              <w:spacing w:after="0" w:line="240" w:lineRule="auto"/>
              <w:rPr>
                <w:rFonts w:cs="Arial"/>
                <w:lang w:val="es-ES_tradnl"/>
              </w:rPr>
            </w:pPr>
            <w:r w:rsidRPr="008F2A3F">
              <w:rPr>
                <w:rFonts w:cs="Arial"/>
                <w:lang w:val="es-ES_tradnl"/>
              </w:rPr>
              <w:t>Apoyo económico para proyectos</w:t>
            </w:r>
          </w:p>
          <w:p w:rsidR="0043013D" w:rsidRPr="008F2A3F" w:rsidRDefault="0043013D" w:rsidP="00E73961">
            <w:pPr>
              <w:autoSpaceDE w:val="0"/>
              <w:autoSpaceDN w:val="0"/>
              <w:adjustRightInd w:val="0"/>
              <w:spacing w:after="0" w:line="240" w:lineRule="auto"/>
              <w:rPr>
                <w:rFonts w:cs="Arial"/>
                <w:lang w:val="es-ES_tradnl"/>
              </w:rPr>
            </w:pPr>
            <w:r w:rsidRPr="008F2A3F">
              <w:rPr>
                <w:rFonts w:cs="Arial"/>
                <w:lang w:val="es-ES_tradnl"/>
              </w:rPr>
              <w:t>productivos aprobados y viabilizados</w:t>
            </w:r>
          </w:p>
          <w:p w:rsidR="0043013D" w:rsidRPr="008F2A3F" w:rsidRDefault="0043013D" w:rsidP="00E73961">
            <w:pPr>
              <w:autoSpaceDE w:val="0"/>
              <w:autoSpaceDN w:val="0"/>
              <w:adjustRightInd w:val="0"/>
              <w:spacing w:after="0" w:line="240" w:lineRule="auto"/>
              <w:rPr>
                <w:rFonts w:cs="Arial"/>
                <w:lang w:val="es-ES_tradnl"/>
              </w:rPr>
            </w:pPr>
            <w:r w:rsidRPr="008F2A3F">
              <w:rPr>
                <w:rFonts w:cs="Arial"/>
                <w:lang w:val="es-ES_tradnl"/>
              </w:rPr>
              <w:t>por el CNR (8 millones de pesos por</w:t>
            </w:r>
          </w:p>
          <w:p w:rsidR="0043013D" w:rsidRPr="008F2A3F" w:rsidRDefault="0043013D" w:rsidP="00E73961">
            <w:pPr>
              <w:spacing w:after="0" w:line="240" w:lineRule="auto"/>
              <w:rPr>
                <w:rFonts w:cs="Arial"/>
                <w:lang w:val="es-ES_tradnl"/>
              </w:rPr>
            </w:pPr>
            <w:r w:rsidRPr="008F2A3F">
              <w:rPr>
                <w:rFonts w:cs="Arial"/>
                <w:lang w:val="es-ES_tradnl"/>
              </w:rPr>
              <w:t>proyecto / única vez)</w:t>
            </w:r>
          </w:p>
        </w:tc>
        <w:tc>
          <w:tcPr>
            <w:tcW w:w="1196"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Porcentaje de integrantes de FARC- EP acreditados con proyecto productivo individual o colectivo viabilizado con  apoyo económico entregado</w:t>
            </w:r>
          </w:p>
        </w:tc>
        <w:tc>
          <w:tcPr>
            <w:tcW w:w="1097" w:type="pct"/>
            <w:shd w:val="clear" w:color="auto" w:fill="E8E8E8"/>
          </w:tcPr>
          <w:p w:rsidR="0043013D" w:rsidRPr="008F2A3F" w:rsidRDefault="0043013D" w:rsidP="00E73961">
            <w:pPr>
              <w:spacing w:after="0" w:line="240" w:lineRule="auto"/>
            </w:pPr>
          </w:p>
        </w:tc>
        <w:tc>
          <w:tcPr>
            <w:tcW w:w="599" w:type="pct"/>
            <w:shd w:val="clear" w:color="auto" w:fill="E8E8E8"/>
          </w:tcPr>
          <w:p w:rsidR="0043013D" w:rsidRPr="008F2A3F" w:rsidRDefault="0043013D" w:rsidP="00E73961">
            <w:pPr>
              <w:spacing w:after="0" w:line="240" w:lineRule="auto"/>
            </w:pPr>
          </w:p>
        </w:tc>
        <w:tc>
          <w:tcPr>
            <w:tcW w:w="598" w:type="pct"/>
            <w:shd w:val="clear" w:color="auto" w:fill="E8E8E8"/>
          </w:tcPr>
          <w:p w:rsidR="0043013D" w:rsidRPr="008F2A3F" w:rsidRDefault="0043013D" w:rsidP="00E73961">
            <w:pPr>
              <w:spacing w:after="0" w:line="240" w:lineRule="auto"/>
            </w:pPr>
          </w:p>
        </w:tc>
      </w:tr>
      <w:tr w:rsidR="0043013D" w:rsidRPr="008F2A3F" w:rsidTr="00E73961">
        <w:trPr>
          <w:trHeight w:val="400"/>
        </w:trPr>
        <w:tc>
          <w:tcPr>
            <w:tcW w:w="1510" w:type="pct"/>
            <w:tcBorders>
              <w:left w:val="nil"/>
              <w:right w:val="nil"/>
            </w:tcBorders>
            <w:shd w:val="clear" w:color="auto" w:fill="auto"/>
          </w:tcPr>
          <w:p w:rsidR="0043013D" w:rsidRPr="008F2A3F" w:rsidRDefault="0043013D" w:rsidP="00E73961">
            <w:pPr>
              <w:spacing w:after="0" w:line="240" w:lineRule="auto"/>
            </w:pPr>
          </w:p>
        </w:tc>
        <w:tc>
          <w:tcPr>
            <w:tcW w:w="1196" w:type="pct"/>
            <w:tcBorders>
              <w:left w:val="nil"/>
              <w:right w:val="nil"/>
            </w:tcBorders>
          </w:tcPr>
          <w:p w:rsidR="0043013D" w:rsidRPr="008F2A3F" w:rsidRDefault="0043013D" w:rsidP="00E73961">
            <w:pPr>
              <w:spacing w:after="0" w:line="240" w:lineRule="auto"/>
            </w:pPr>
          </w:p>
        </w:tc>
        <w:tc>
          <w:tcPr>
            <w:tcW w:w="1097" w:type="pct"/>
            <w:tcBorders>
              <w:left w:val="nil"/>
              <w:right w:val="nil"/>
            </w:tcBorders>
          </w:tcPr>
          <w:p w:rsidR="0043013D" w:rsidRPr="008F2A3F" w:rsidRDefault="0043013D" w:rsidP="00E73961">
            <w:pPr>
              <w:spacing w:after="0" w:line="240" w:lineRule="auto"/>
            </w:pPr>
          </w:p>
        </w:tc>
        <w:tc>
          <w:tcPr>
            <w:tcW w:w="599" w:type="pct"/>
            <w:tcBorders>
              <w:left w:val="nil"/>
              <w:right w:val="nil"/>
            </w:tcBorders>
          </w:tcPr>
          <w:p w:rsidR="0043013D" w:rsidRPr="008F2A3F" w:rsidRDefault="0043013D" w:rsidP="00E73961">
            <w:pPr>
              <w:spacing w:after="0" w:line="240" w:lineRule="auto"/>
            </w:pPr>
          </w:p>
        </w:tc>
        <w:tc>
          <w:tcPr>
            <w:tcW w:w="598" w:type="pct"/>
            <w:tcBorders>
              <w:left w:val="nil"/>
              <w:right w:val="nil"/>
            </w:tcBorders>
          </w:tcPr>
          <w:p w:rsidR="0043013D" w:rsidRPr="008F2A3F" w:rsidRDefault="0043013D" w:rsidP="00E73961">
            <w:pPr>
              <w:spacing w:after="0" w:line="240" w:lineRule="auto"/>
            </w:pPr>
          </w:p>
        </w:tc>
      </w:tr>
    </w:tbl>
    <w:p w:rsidR="0043013D" w:rsidRPr="00F67B04" w:rsidRDefault="0043013D" w:rsidP="0043013D">
      <w:pPr>
        <w:spacing w:line="240" w:lineRule="auto"/>
        <w:jc w:val="both"/>
        <w:rPr>
          <w:color w:val="3366CC"/>
          <w:sz w:val="32"/>
          <w:szCs w:val="32"/>
          <w:u w:val="single"/>
        </w:rPr>
      </w:pPr>
      <w:r w:rsidRPr="00F67B04">
        <w:rPr>
          <w:color w:val="3366CC"/>
          <w:sz w:val="32"/>
          <w:szCs w:val="32"/>
          <w:u w:val="single"/>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3013D" w:rsidRPr="008F2A3F" w:rsidTr="00E73961">
        <w:trPr>
          <w:trHeight w:val="380"/>
        </w:trPr>
        <w:tc>
          <w:tcPr>
            <w:tcW w:w="2411"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43013D" w:rsidRPr="008F2A3F" w:rsidTr="0043013D">
        <w:trPr>
          <w:trHeight w:val="380"/>
        </w:trPr>
        <w:tc>
          <w:tcPr>
            <w:tcW w:w="2411" w:type="dxa"/>
            <w:tcBorders>
              <w:right w:val="nil"/>
            </w:tcBorders>
            <w:shd w:val="clear" w:color="auto" w:fill="FFFFFF" w:themeFill="background1"/>
          </w:tcPr>
          <w:p w:rsidR="0043013D" w:rsidRPr="008F2A3F" w:rsidRDefault="0043013D" w:rsidP="00E73961">
            <w:pPr>
              <w:spacing w:after="0" w:line="240" w:lineRule="auto"/>
              <w:rPr>
                <w:b/>
              </w:rPr>
            </w:pPr>
            <w:r w:rsidRPr="008F2A3F">
              <w:rPr>
                <w:b/>
              </w:rPr>
              <w:t>2019</w:t>
            </w:r>
          </w:p>
        </w:tc>
        <w:tc>
          <w:tcPr>
            <w:tcW w:w="6661" w:type="dxa"/>
            <w:tcBorders>
              <w:left w:val="nil"/>
              <w:right w:val="nil"/>
            </w:tcBorders>
            <w:shd w:val="clear" w:color="auto" w:fill="FFFFFF" w:themeFill="background1"/>
          </w:tcPr>
          <w:p w:rsidR="005B0E36" w:rsidRPr="008F2A3F" w:rsidRDefault="005B0E36" w:rsidP="005B6819">
            <w:pPr>
              <w:pStyle w:val="Prrafodelista"/>
              <w:numPr>
                <w:ilvl w:val="0"/>
                <w:numId w:val="5"/>
              </w:numPr>
              <w:spacing w:after="0" w:line="240" w:lineRule="auto"/>
            </w:pPr>
            <w:r w:rsidRPr="008F2A3F">
              <w:t xml:space="preserve">Durante el año 2019 se realizaron 12 procesos de liquidación por concepto de Renta Básica, de acuerdo a las </w:t>
            </w:r>
            <w:r w:rsidRPr="008F2A3F">
              <w:lastRenderedPageBreak/>
              <w:t>fechas de certificaciones emitidas por la Oficina del Alto Comisionado para la Paz – OACP, se realizaron 85.980 desembolsos de Renta Básica, para 11.641 beneficiarios de Renta Básica, representando el 100% del total de Ex Integrantes FARC- EP que cumplieron requisitos durante dicho periodo.</w:t>
            </w:r>
          </w:p>
          <w:p w:rsidR="005B0E36" w:rsidRPr="008F2A3F" w:rsidRDefault="005B0E36" w:rsidP="005B6819">
            <w:pPr>
              <w:pStyle w:val="Prrafodelista"/>
              <w:numPr>
                <w:ilvl w:val="0"/>
                <w:numId w:val="5"/>
              </w:numPr>
              <w:spacing w:after="0" w:line="240" w:lineRule="auto"/>
            </w:pPr>
            <w:r w:rsidRPr="008F2A3F">
              <w:t>Del periodo del 16 de agosto 2017, fecha de inicio de desembolsos de beneficios económicos, al 31 de diciembre de 2019, se les han desembolsado a 12,902 Ex Integrantes FARC-EP el beneficio económico de Asignación Única de Normalización, representando un 100% de Integrantes FARC-EP que cumplieron requisitos para dicho desembolso a corte de 31 de diciembre de 2019, dicho indicador es acumulativo, ya que este beneficio se entrega por única vez</w:t>
            </w:r>
          </w:p>
          <w:p w:rsidR="005B0E36" w:rsidRPr="008F2A3F" w:rsidRDefault="005B0E36" w:rsidP="005B6819">
            <w:pPr>
              <w:pStyle w:val="Prrafodelista"/>
              <w:numPr>
                <w:ilvl w:val="0"/>
                <w:numId w:val="5"/>
              </w:numPr>
              <w:spacing w:after="0" w:line="240" w:lineRule="auto"/>
            </w:pPr>
            <w:r w:rsidRPr="008F2A3F">
              <w:t>Durante el año 2019, se identificaron 9.904 acreditados beneficios de pago de Pensión y BEPS, 9.624 en pago de Pensión y 280 en pago de BEPS, representando un 100% de un universo total de Ex Integrantes FARC-EP que cumplieron requisitos para dicho desembolso durante dicho periodo.</w:t>
            </w:r>
          </w:p>
          <w:p w:rsidR="005B0E36" w:rsidRPr="008F2A3F" w:rsidRDefault="005B0E36" w:rsidP="005B6819">
            <w:pPr>
              <w:pStyle w:val="Prrafodelista"/>
              <w:numPr>
                <w:ilvl w:val="0"/>
                <w:numId w:val="5"/>
              </w:numPr>
              <w:spacing w:after="0" w:line="240" w:lineRule="auto"/>
            </w:pPr>
            <w:r w:rsidRPr="008F2A3F">
              <w:t>Durante el periodo de agosto de 2019, mes de inicio de desembolsos de Asignación Mensual a diciembre de 2019 se realizaron 52.272 desembolsos de Asignación mensual, correspondientes a 11.138 beneficiarios, representando el 100% del total de Ex Integrantes FARC- EP que cumplieron requisitos para durante dicho periodo.</w:t>
            </w:r>
          </w:p>
          <w:p w:rsidR="00D26A9E" w:rsidRPr="008F2A3F" w:rsidRDefault="005B0E36" w:rsidP="005B6819">
            <w:pPr>
              <w:pStyle w:val="Prrafodelista"/>
              <w:numPr>
                <w:ilvl w:val="0"/>
                <w:numId w:val="5"/>
              </w:numPr>
              <w:spacing w:after="0" w:line="240" w:lineRule="auto"/>
            </w:pPr>
            <w:r w:rsidRPr="008F2A3F">
              <w:t>Beneficio económico por la aprobación de Proyectos productivos colectivos o individuales.</w:t>
            </w:r>
          </w:p>
        </w:tc>
      </w:tr>
    </w:tbl>
    <w:p w:rsidR="0043013D" w:rsidRPr="008F2A3F" w:rsidRDefault="0043013D" w:rsidP="0043013D">
      <w:pPr>
        <w:spacing w:line="240" w:lineRule="auto"/>
        <w:jc w:val="both"/>
        <w:rPr>
          <w:sz w:val="32"/>
          <w:szCs w:val="32"/>
          <w:u w:val="single"/>
        </w:rPr>
      </w:pP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307ADC" w:rsidRPr="008F2A3F" w:rsidTr="00755994">
        <w:tc>
          <w:tcPr>
            <w:tcW w:w="9356" w:type="dxa"/>
            <w:shd w:val="clear" w:color="auto" w:fill="F2F2F2"/>
          </w:tcPr>
          <w:p w:rsidR="0043013D" w:rsidRPr="00F67B04" w:rsidRDefault="0043013D" w:rsidP="00E73961">
            <w:pPr>
              <w:spacing w:after="0" w:line="240" w:lineRule="auto"/>
              <w:ind w:left="-282" w:right="529" w:firstLine="282"/>
              <w:jc w:val="both"/>
              <w:rPr>
                <w:color w:val="3366CC"/>
                <w:sz w:val="32"/>
                <w:szCs w:val="32"/>
                <w:u w:val="single"/>
              </w:rPr>
            </w:pPr>
            <w:r w:rsidRPr="00F67B04">
              <w:rPr>
                <w:color w:val="3366CC"/>
                <w:sz w:val="32"/>
                <w:szCs w:val="32"/>
                <w:u w:val="single"/>
              </w:rPr>
              <w:t>¿Cómo se hizo?</w:t>
            </w:r>
            <w:r w:rsidRPr="00F67B04">
              <w:rPr>
                <w:noProof/>
                <w:color w:val="3366CC"/>
                <w:sz w:val="32"/>
                <w:szCs w:val="32"/>
                <w:u w:val="single"/>
                <w:lang w:val="es-419" w:eastAsia="es-419"/>
              </w:rPr>
              <w:drawing>
                <wp:anchor distT="0" distB="0" distL="114300" distR="114300" simplePos="0" relativeHeight="251714048" behindDoc="0" locked="0" layoutInCell="1" hidden="0" allowOverlap="1" wp14:anchorId="75B13C3A" wp14:editId="2B6083DE">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5E1BDF" w:rsidRPr="008F2A3F" w:rsidRDefault="005E1BDF" w:rsidP="005E1BDF">
            <w:pPr>
              <w:spacing w:after="0" w:line="240" w:lineRule="auto"/>
              <w:jc w:val="both"/>
              <w:rPr>
                <w:i/>
              </w:rPr>
            </w:pPr>
            <w:r w:rsidRPr="008F2A3F">
              <w:rPr>
                <w:i/>
              </w:rPr>
              <w:t>2019</w:t>
            </w:r>
          </w:p>
          <w:p w:rsidR="005E1BDF" w:rsidRPr="008F2A3F" w:rsidRDefault="005E1BDF" w:rsidP="005E1BDF">
            <w:pPr>
              <w:pStyle w:val="Prrafodelista"/>
              <w:spacing w:after="0" w:line="240" w:lineRule="auto"/>
              <w:ind w:left="1068"/>
              <w:jc w:val="both"/>
              <w:rPr>
                <w:i/>
              </w:rPr>
            </w:pPr>
            <w:r w:rsidRPr="008F2A3F">
              <w:rPr>
                <w:i/>
              </w:rPr>
              <w:t>De acuerdo a lo establecido en los artículos 7, 8, 9, 13 Y 14 del Decreto Ley 899 de 2017, modificado por el art. 284 de la Ley 1955 de 2019 y la Resolución 2536 de 2019, estos beneficios se otorgan a las personas acreditadas que cumplen con los requisitos establecidos para cada beneficio así:</w:t>
            </w:r>
          </w:p>
          <w:p w:rsidR="005E1BDF" w:rsidRPr="008F2A3F" w:rsidRDefault="005E1BDF" w:rsidP="005E1BDF">
            <w:pPr>
              <w:pStyle w:val="Prrafodelista"/>
              <w:spacing w:after="0" w:line="240" w:lineRule="auto"/>
              <w:jc w:val="both"/>
            </w:pPr>
          </w:p>
          <w:p w:rsidR="005E1BDF" w:rsidRPr="008F2A3F" w:rsidRDefault="005E1BDF" w:rsidP="005E1BDF">
            <w:pPr>
              <w:pStyle w:val="CM18"/>
              <w:spacing w:after="275" w:line="278" w:lineRule="atLeast"/>
              <w:jc w:val="both"/>
              <w:rPr>
                <w:rFonts w:ascii="Calibri" w:hAnsi="Calibri" w:cs="Calibri"/>
                <w:sz w:val="22"/>
                <w:szCs w:val="22"/>
                <w:lang w:eastAsia="en-US"/>
              </w:rPr>
            </w:pPr>
            <w:r w:rsidRPr="008F2A3F">
              <w:rPr>
                <w:rFonts w:ascii="Calibri" w:hAnsi="Calibri" w:cs="Calibri"/>
                <w:b/>
                <w:sz w:val="22"/>
                <w:szCs w:val="22"/>
                <w:u w:val="single"/>
                <w:lang w:eastAsia="en-US"/>
              </w:rPr>
              <w:t>Artículo 7: Asignación única de normalización.</w:t>
            </w:r>
            <w:r w:rsidRPr="008F2A3F">
              <w:rPr>
                <w:rFonts w:ascii="Calibri" w:hAnsi="Calibri" w:cs="Calibri"/>
                <w:sz w:val="22"/>
                <w:szCs w:val="22"/>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rsidR="005E1BDF" w:rsidRPr="008F2A3F" w:rsidRDefault="005E1BDF" w:rsidP="005E1BDF">
            <w:pPr>
              <w:spacing w:after="0" w:line="240" w:lineRule="auto"/>
              <w:jc w:val="both"/>
            </w:pPr>
            <w:r w:rsidRPr="008F2A3F">
              <w:t xml:space="preserve">Del periodo del 16 de agosto 2017, fecha de inicio de desembolsos de beneficios económicos, al 31 de diciembre de 2019, se les han desembolsado a 12,902 Ex Integrantes FARC-EP el beneficio económico de Asignación Única de Normalización, representando un 100% de Integrantes FARC-EP que cumplieron </w:t>
            </w:r>
            <w:r w:rsidRPr="008F2A3F">
              <w:lastRenderedPageBreak/>
              <w:t>requisitos para dicho desembolso a corte de 31 de diciembre de 2019, dicho indicador es acumulativo, ya que este beneficio se entrega por única vez.</w:t>
            </w:r>
          </w:p>
          <w:p w:rsidR="005E1BDF" w:rsidRPr="008F2A3F" w:rsidRDefault="005E1BDF" w:rsidP="005E1BDF">
            <w:pPr>
              <w:spacing w:after="0" w:line="240" w:lineRule="auto"/>
            </w:pPr>
          </w:p>
          <w:p w:rsidR="005E1BDF" w:rsidRPr="008F2A3F" w:rsidRDefault="005E1BDF" w:rsidP="005E1BDF">
            <w:pPr>
              <w:pStyle w:val="CM18"/>
              <w:spacing w:after="275" w:line="278" w:lineRule="atLeast"/>
              <w:ind w:right="165"/>
              <w:jc w:val="both"/>
              <w:rPr>
                <w:rFonts w:ascii="Calibri" w:hAnsi="Calibri" w:cs="Calibri"/>
                <w:sz w:val="22"/>
                <w:szCs w:val="22"/>
                <w:lang w:eastAsia="en-US"/>
              </w:rPr>
            </w:pPr>
            <w:r w:rsidRPr="008F2A3F">
              <w:rPr>
                <w:rFonts w:ascii="Calibri" w:hAnsi="Calibri" w:cs="Calibri"/>
                <w:b/>
                <w:sz w:val="22"/>
                <w:szCs w:val="22"/>
                <w:u w:val="single"/>
                <w:lang w:eastAsia="en-US"/>
              </w:rPr>
              <w:t>Artículo 8: Renta básica.</w:t>
            </w:r>
            <w:r w:rsidRPr="008F2A3F">
              <w:rPr>
                <w:rFonts w:ascii="Calibri" w:hAnsi="Calibri" w:cs="Calibri"/>
                <w:sz w:val="22"/>
                <w:szCs w:val="22"/>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 </w:t>
            </w:r>
          </w:p>
          <w:p w:rsidR="005E1BDF" w:rsidRPr="008F2A3F" w:rsidRDefault="005E1BDF" w:rsidP="005E1BDF">
            <w:pPr>
              <w:pStyle w:val="CM18"/>
              <w:spacing w:after="275" w:line="278" w:lineRule="atLeast"/>
              <w:ind w:right="165"/>
              <w:jc w:val="both"/>
              <w:rPr>
                <w:rFonts w:ascii="Calibri" w:hAnsi="Calibri" w:cs="Calibri"/>
                <w:sz w:val="22"/>
                <w:szCs w:val="22"/>
                <w:lang w:eastAsia="en-US"/>
              </w:rPr>
            </w:pPr>
            <w:r w:rsidRPr="008F2A3F">
              <w:rPr>
                <w:rFonts w:ascii="Calibri" w:hAnsi="Calibri" w:cs="Calibr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rsidR="005E1BDF" w:rsidRPr="008F2A3F" w:rsidRDefault="005E1BDF" w:rsidP="005E1BDF">
            <w:pPr>
              <w:spacing w:after="0" w:line="240" w:lineRule="auto"/>
              <w:jc w:val="both"/>
            </w:pPr>
            <w:r w:rsidRPr="008F2A3F">
              <w:t>Durante el año 2019 se realizaron 12 procesos de liquidación por concepto de Renta Básica, de acuerdo a las fechas de certificaciones emitidas por la Oficina del Alto Comisionado para la Paz – OACP, se realizaron 85.980 desembolsos de Renta Básica, para 11.641 beneficiarios de Renta Básica, representando el 100% del total de Ex Integrantes FARC- EP que cumplieron requisitos durante dicho periodo.</w:t>
            </w:r>
          </w:p>
          <w:p w:rsidR="005E1BDF" w:rsidRPr="008F2A3F" w:rsidRDefault="005E1BDF" w:rsidP="005E1BDF">
            <w:pPr>
              <w:spacing w:after="0" w:line="240" w:lineRule="auto"/>
              <w:jc w:val="both"/>
            </w:pPr>
          </w:p>
          <w:p w:rsidR="005E1BDF" w:rsidRPr="008F2A3F" w:rsidRDefault="005E1BDF" w:rsidP="005E1BDF">
            <w:pPr>
              <w:pStyle w:val="CM18"/>
              <w:spacing w:after="275" w:line="278" w:lineRule="atLeast"/>
              <w:jc w:val="both"/>
              <w:rPr>
                <w:rFonts w:ascii="Calibri" w:hAnsi="Calibri" w:cs="Calibri"/>
                <w:sz w:val="22"/>
                <w:szCs w:val="22"/>
                <w:lang w:eastAsia="en-US"/>
              </w:rPr>
            </w:pPr>
            <w:r w:rsidRPr="008F2A3F">
              <w:rPr>
                <w:rFonts w:ascii="Calibri" w:hAnsi="Calibri" w:cs="Calibri"/>
                <w:b/>
                <w:sz w:val="22"/>
                <w:szCs w:val="22"/>
                <w:u w:val="single"/>
                <w:lang w:eastAsia="en-US"/>
              </w:rPr>
              <w:t>Artículo 9. Sistema de protección.</w:t>
            </w:r>
            <w:r w:rsidRPr="008F2A3F">
              <w:rPr>
                <w:rFonts w:ascii="Calibri" w:hAnsi="Calibri" w:cs="Calibri"/>
                <w:sz w:val="22"/>
                <w:szCs w:val="22"/>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rsidR="005E1BDF" w:rsidRPr="008F2A3F" w:rsidRDefault="005E1BDF" w:rsidP="005E1BDF">
            <w:pPr>
              <w:pStyle w:val="CM18"/>
              <w:spacing w:after="275" w:line="278" w:lineRule="atLeast"/>
              <w:jc w:val="both"/>
              <w:rPr>
                <w:rFonts w:ascii="Calibri" w:hAnsi="Calibri" w:cs="Calibri"/>
                <w:sz w:val="22"/>
                <w:szCs w:val="22"/>
                <w:lang w:eastAsia="en-US"/>
              </w:rPr>
            </w:pPr>
            <w:r w:rsidRPr="008F2A3F">
              <w:rPr>
                <w:rFonts w:ascii="Calibri" w:hAnsi="Calibri" w:cs="Calibri"/>
                <w:sz w:val="22"/>
                <w:szCs w:val="22"/>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rsidR="005E1BDF" w:rsidRPr="008F2A3F" w:rsidRDefault="005E1BDF" w:rsidP="005E1BDF">
            <w:pPr>
              <w:pStyle w:val="CM18"/>
              <w:spacing w:after="275" w:line="278" w:lineRule="atLeast"/>
              <w:jc w:val="both"/>
              <w:rPr>
                <w:sz w:val="23"/>
                <w:szCs w:val="23"/>
              </w:rPr>
            </w:pPr>
            <w:r w:rsidRPr="008F2A3F">
              <w:rPr>
                <w:rFonts w:ascii="Calibri" w:hAnsi="Calibri" w:cs="Calibri"/>
                <w:sz w:val="22"/>
                <w:szCs w:val="22"/>
                <w:lang w:eastAsia="en-US"/>
              </w:rPr>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00F21008" w:rsidRPr="008F2A3F">
              <w:rPr>
                <w:rStyle w:val="Refdenotaalpie"/>
                <w:rFonts w:ascii="Calibri" w:hAnsi="Calibri" w:cs="Calibri"/>
                <w:sz w:val="22"/>
                <w:szCs w:val="22"/>
                <w:lang w:eastAsia="en-US"/>
              </w:rPr>
              <w:footnoteReference w:id="7"/>
            </w:r>
            <w:r w:rsidRPr="008F2A3F">
              <w:rPr>
                <w:rFonts w:ascii="Calibri" w:hAnsi="Calibri" w:cs="Calibri"/>
                <w:sz w:val="22"/>
                <w:szCs w:val="22"/>
                <w:lang w:eastAsia="en-US"/>
              </w:rPr>
              <w:t>. En los términos que establece la normatividad vigente y administrados por Colpensiones</w:t>
            </w:r>
            <w:r w:rsidRPr="008F2A3F">
              <w:rPr>
                <w:sz w:val="23"/>
                <w:szCs w:val="23"/>
              </w:rPr>
              <w:t>.</w:t>
            </w:r>
          </w:p>
          <w:p w:rsidR="005E1BDF" w:rsidRPr="008F2A3F" w:rsidRDefault="005E1BDF" w:rsidP="005E1BDF">
            <w:pPr>
              <w:pStyle w:val="CM14"/>
              <w:ind w:right="165"/>
              <w:jc w:val="both"/>
              <w:rPr>
                <w:rFonts w:ascii="Calibri" w:hAnsi="Calibri" w:cs="Calibri"/>
                <w:sz w:val="22"/>
                <w:szCs w:val="22"/>
                <w:lang w:eastAsia="en-US"/>
              </w:rPr>
            </w:pPr>
            <w:r w:rsidRPr="008F2A3F">
              <w:rPr>
                <w:rFonts w:ascii="Calibri" w:hAnsi="Calibri" w:cs="Calibri"/>
                <w:sz w:val="22"/>
                <w:szCs w:val="22"/>
                <w:lang w:eastAsia="en-US"/>
              </w:rPr>
              <w:t>El Gobierno Nacional realizará los giros correspondientes a las cotizaciones en pensiones y ahorros a BEPS, directamente a Col pensiones o a la Administradora de Pensiones que corresponda y por 24 meses, sobre la base de un salario mínimo mensual legal vigente. ECOMUN por su parte asesorará a sus integrantes en la selección de instituciones de seguridad social que prestan este servicio.</w:t>
            </w:r>
          </w:p>
          <w:p w:rsidR="005E1BDF" w:rsidRPr="008F2A3F" w:rsidRDefault="005E1BDF" w:rsidP="005E1BDF">
            <w:pPr>
              <w:pStyle w:val="Default"/>
              <w:jc w:val="both"/>
              <w:rPr>
                <w:color w:val="auto"/>
                <w:lang w:eastAsia="en-US"/>
              </w:rPr>
            </w:pPr>
          </w:p>
          <w:p w:rsidR="005E1BDF" w:rsidRPr="008F2A3F" w:rsidRDefault="005E1BDF" w:rsidP="005E1BDF">
            <w:pPr>
              <w:pStyle w:val="Default"/>
              <w:jc w:val="both"/>
              <w:rPr>
                <w:rFonts w:ascii="Calibri" w:hAnsi="Calibri" w:cs="Times New Roman"/>
                <w:color w:val="auto"/>
                <w:sz w:val="22"/>
                <w:szCs w:val="22"/>
                <w:lang w:eastAsia="en-US"/>
              </w:rPr>
            </w:pPr>
            <w:r w:rsidRPr="008F2A3F">
              <w:rPr>
                <w:rFonts w:ascii="Calibri" w:hAnsi="Calibri" w:cs="Times New Roman"/>
                <w:color w:val="auto"/>
                <w:sz w:val="22"/>
                <w:szCs w:val="22"/>
                <w:lang w:eastAsia="en-US"/>
              </w:rPr>
              <w:lastRenderedPageBreak/>
              <w:t xml:space="preserve">Durante el año 2019, se identificaron 9.904 acreditados beneficios de pago de Pensión y BEPS, 9.624 en pago de Pensión y 280 en pago de BEPS, representando un 100% de un universo total de Ex Integrantes FARC-EP que </w:t>
            </w:r>
          </w:p>
          <w:p w:rsidR="005E1BDF" w:rsidRPr="008F2A3F" w:rsidRDefault="005E1BDF" w:rsidP="005E1BDF">
            <w:pPr>
              <w:pStyle w:val="Default"/>
              <w:rPr>
                <w:color w:val="auto"/>
                <w:lang w:eastAsia="en-US"/>
              </w:rPr>
            </w:pPr>
          </w:p>
          <w:p w:rsidR="005E1BDF" w:rsidRPr="008F2A3F" w:rsidRDefault="005E1BDF" w:rsidP="005E1BDF">
            <w:pPr>
              <w:pStyle w:val="CM18"/>
              <w:spacing w:after="275" w:line="278" w:lineRule="atLeast"/>
              <w:ind w:right="165"/>
              <w:jc w:val="both"/>
              <w:rPr>
                <w:rFonts w:ascii="Calibri" w:hAnsi="Calibri" w:cs="Calibri"/>
                <w:sz w:val="22"/>
                <w:szCs w:val="22"/>
                <w:lang w:eastAsia="en-US"/>
              </w:rPr>
            </w:pPr>
            <w:r w:rsidRPr="008F2A3F">
              <w:rPr>
                <w:rFonts w:ascii="Calibri" w:hAnsi="Calibri" w:cs="Calibri"/>
                <w:b/>
                <w:sz w:val="22"/>
                <w:szCs w:val="22"/>
                <w:u w:val="single"/>
                <w:lang w:eastAsia="en-US"/>
              </w:rPr>
              <w:t xml:space="preserve">Artículo 8: (…) </w:t>
            </w:r>
            <w:r w:rsidRPr="008F2A3F">
              <w:rPr>
                <w:rFonts w:ascii="Calibri" w:hAnsi="Calibri" w:cs="Calibr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008F2A3F">
              <w:rPr>
                <w:rFonts w:ascii="Calibri" w:hAnsi="Calibri" w:cs="Calibri"/>
                <w:b/>
                <w:sz w:val="22"/>
                <w:szCs w:val="22"/>
                <w:lang w:eastAsia="en-US"/>
              </w:rPr>
              <w:t>(…)</w:t>
            </w:r>
          </w:p>
          <w:p w:rsidR="005E1BDF" w:rsidRPr="008F2A3F" w:rsidRDefault="005E1BDF" w:rsidP="005E1BDF">
            <w:pPr>
              <w:spacing w:after="0" w:line="240" w:lineRule="auto"/>
              <w:jc w:val="both"/>
            </w:pPr>
            <w:r w:rsidRPr="008F2A3F">
              <w:t>Durante el periodo de agosto de 2019, mes de inicio de desembolsos de Asignación Mensual a diciembre de 2019 se realizaron 52.272 desembolsos de Asignación mensual, correspondientes a 11.138 beneficiarios, representando el 100% del total de Ex Integrantes FARC- EP que cumplieron requisitos para durante dicho periodo.</w:t>
            </w:r>
          </w:p>
          <w:p w:rsidR="002B39D8" w:rsidRPr="008F2A3F" w:rsidRDefault="002B39D8" w:rsidP="005E1BDF">
            <w:pPr>
              <w:pStyle w:val="Default"/>
              <w:jc w:val="both"/>
              <w:rPr>
                <w:rFonts w:ascii="Calibri" w:hAnsi="Calibri" w:cs="Calibri"/>
                <w:b/>
                <w:color w:val="auto"/>
                <w:sz w:val="22"/>
                <w:szCs w:val="22"/>
                <w:u w:val="single"/>
                <w:lang w:eastAsia="en-US"/>
              </w:rPr>
            </w:pPr>
          </w:p>
          <w:p w:rsidR="005E1BDF" w:rsidRPr="008F2A3F" w:rsidRDefault="005E1BDF" w:rsidP="005E1BDF">
            <w:pPr>
              <w:pStyle w:val="Default"/>
              <w:jc w:val="both"/>
              <w:rPr>
                <w:rFonts w:ascii="Calibri" w:hAnsi="Calibri" w:cs="Calibri"/>
                <w:color w:val="auto"/>
                <w:sz w:val="22"/>
                <w:szCs w:val="22"/>
                <w:lang w:eastAsia="en-US"/>
              </w:rPr>
            </w:pPr>
            <w:r w:rsidRPr="008F2A3F">
              <w:rPr>
                <w:rFonts w:ascii="Calibri" w:hAnsi="Calibri" w:cs="Calibri"/>
                <w:b/>
                <w:color w:val="auto"/>
                <w:sz w:val="22"/>
                <w:szCs w:val="22"/>
                <w:u w:val="single"/>
                <w:lang w:eastAsia="en-US"/>
              </w:rPr>
              <w:t>Artículo 13: Proyectos productivos colectivos.</w:t>
            </w:r>
            <w:r w:rsidRPr="008F2A3F">
              <w:rPr>
                <w:rFonts w:ascii="Calibri" w:hAnsi="Calibri" w:cs="Calibri"/>
                <w:color w:val="auto"/>
                <w:sz w:val="22"/>
                <w:szCs w:val="22"/>
                <w:lang w:eastAsia="en-US"/>
              </w:rPr>
              <w:t xml:space="preserve"> Los recursos correspondientes a las personas que decidan y autoricen girar los recursos que le corresponden para participar en proyectos colectivos a través de ECOMUN, que hayan sido identificados y viabilizados, serán transferidos por el Gobierno Nacional a ECOMUN, a más tardar treinta días (3</w:t>
            </w:r>
            <w:r w:rsidR="00F72F5C" w:rsidRPr="008F2A3F">
              <w:rPr>
                <w:rFonts w:ascii="Calibri" w:hAnsi="Calibri" w:cs="Calibri"/>
                <w:color w:val="auto"/>
                <w:sz w:val="22"/>
                <w:szCs w:val="22"/>
                <w:lang w:eastAsia="en-US"/>
              </w:rPr>
              <w:t>0</w:t>
            </w:r>
            <w:r w:rsidRPr="008F2A3F">
              <w:rPr>
                <w:rFonts w:ascii="Calibri" w:hAnsi="Calibri" w:cs="Calibri"/>
                <w:color w:val="auto"/>
                <w:sz w:val="22"/>
                <w:szCs w:val="22"/>
                <w:lang w:eastAsia="en-US"/>
              </w:rPr>
              <w:t>) después de verificada la viabilidad de cada proyecto por el CNR. El CNR realizará la viabilizarían de los proyectos con la mayor celeridad posible. Para los efectos de la realización de los programas y proyectos colectivos por los cuales hayan optado los integrantes de las FARC-EP~ ECOMUN constituirá por una sola vez un Fondo para su ejecución, previa viabilidad verificada por el CNR. El Valor del Fondo dependerá del número total de asignaciones de los integrantes de las FARC:"EP que decidan formar parte de ECOMUN.</w:t>
            </w:r>
          </w:p>
          <w:p w:rsidR="005E1BDF" w:rsidRPr="008F2A3F" w:rsidRDefault="005E1BDF" w:rsidP="005E1BDF">
            <w:pPr>
              <w:pStyle w:val="Default"/>
              <w:rPr>
                <w:rFonts w:ascii="Calibri" w:hAnsi="Calibri" w:cs="Calibri"/>
                <w:color w:val="auto"/>
                <w:sz w:val="22"/>
                <w:szCs w:val="22"/>
                <w:lang w:eastAsia="en-US"/>
              </w:rPr>
            </w:pPr>
          </w:p>
          <w:p w:rsidR="00551A5B" w:rsidRPr="008F2A3F" w:rsidRDefault="005E1BDF" w:rsidP="005E1BDF">
            <w:r w:rsidRPr="008F2A3F">
              <w:rPr>
                <w:b/>
                <w:u w:val="single"/>
              </w:rPr>
              <w:t>Artículo14. Proyectos productivos o de vivienda de carácter individual.</w:t>
            </w:r>
            <w:r w:rsidRPr="008F2A3F">
              <w:t xml:space="preserve"> Previa verificación de su viabilidad por la ARN, podrán aprobarse proyectos individuales de carácter productivo para adquisición o construcción o mejoramiento o saneamiento de vivienda.</w:t>
            </w:r>
          </w:p>
        </w:tc>
      </w:tr>
      <w:tr w:rsidR="00307ADC" w:rsidRPr="008F2A3F" w:rsidTr="00755994">
        <w:tc>
          <w:tcPr>
            <w:tcW w:w="9356" w:type="dxa"/>
            <w:shd w:val="clear" w:color="auto" w:fill="F2F2F2"/>
          </w:tcPr>
          <w:p w:rsidR="0043013D" w:rsidRPr="00307ADC" w:rsidRDefault="0043013D" w:rsidP="00E73961">
            <w:pPr>
              <w:spacing w:after="0" w:line="240" w:lineRule="auto"/>
              <w:jc w:val="both"/>
              <w:rPr>
                <w:color w:val="3366CC"/>
                <w:sz w:val="32"/>
                <w:szCs w:val="32"/>
                <w:u w:val="single"/>
              </w:rPr>
            </w:pPr>
            <w:r w:rsidRPr="00307ADC">
              <w:rPr>
                <w:color w:val="3366CC"/>
                <w:sz w:val="32"/>
                <w:szCs w:val="32"/>
                <w:u w:val="single"/>
              </w:rPr>
              <w:lastRenderedPageBreak/>
              <w:t xml:space="preserve">¿Quiénes se beneficiaron? </w:t>
            </w:r>
            <w:r w:rsidRPr="00307ADC">
              <w:rPr>
                <w:noProof/>
                <w:color w:val="3366CC"/>
                <w:sz w:val="32"/>
                <w:szCs w:val="32"/>
                <w:u w:val="single"/>
                <w:lang w:val="es-419" w:eastAsia="es-419"/>
              </w:rPr>
              <w:drawing>
                <wp:anchor distT="0" distB="0" distL="114300" distR="114300" simplePos="0" relativeHeight="251715072" behindDoc="0" locked="0" layoutInCell="1" hidden="0" allowOverlap="1" wp14:anchorId="30AFACCC" wp14:editId="5E84DD15">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after="0" w:line="240" w:lineRule="auto"/>
              <w:jc w:val="both"/>
              <w:rPr>
                <w:rFonts w:cs="Calibri"/>
              </w:rPr>
            </w:pPr>
            <w:r w:rsidRPr="008F2A3F">
              <w:rPr>
                <w:rFonts w:cs="Calibri"/>
              </w:rPr>
              <w:t>2019</w:t>
            </w:r>
          </w:p>
          <w:p w:rsidR="00FB7522" w:rsidRPr="008F2A3F" w:rsidRDefault="00FB7522" w:rsidP="00E73961">
            <w:pPr>
              <w:spacing w:after="0" w:line="240" w:lineRule="auto"/>
              <w:jc w:val="both"/>
              <w:rPr>
                <w:rFonts w:cs="Calibri"/>
              </w:rPr>
            </w:pPr>
          </w:p>
          <w:p w:rsidR="00FB7522" w:rsidRPr="008F2A3F" w:rsidRDefault="00FB7522" w:rsidP="00E73961">
            <w:pPr>
              <w:spacing w:after="0" w:line="240" w:lineRule="auto"/>
              <w:jc w:val="both"/>
              <w:rPr>
                <w:rFonts w:cs="Calibri"/>
              </w:rPr>
            </w:pPr>
            <w:r w:rsidRPr="008F2A3F">
              <w:rPr>
                <w:rFonts w:cs="Calibri"/>
              </w:rPr>
              <w:t>Beneficios económicos</w:t>
            </w:r>
          </w:p>
          <w:p w:rsidR="00115989" w:rsidRPr="008F2A3F" w:rsidRDefault="00115989" w:rsidP="00E73961">
            <w:pPr>
              <w:spacing w:after="0" w:line="240" w:lineRule="auto"/>
              <w:jc w:val="both"/>
              <w:rPr>
                <w:rFonts w:cs="Calibri"/>
              </w:rPr>
            </w:pPr>
          </w:p>
          <w:p w:rsidR="00115989" w:rsidRPr="008F2A3F" w:rsidRDefault="00115989" w:rsidP="00E73961">
            <w:pPr>
              <w:spacing w:after="0" w:line="240" w:lineRule="auto"/>
              <w:jc w:val="both"/>
              <w:rPr>
                <w:rFonts w:cs="Calibri"/>
              </w:rPr>
            </w:pPr>
          </w:p>
          <w:p w:rsidR="00FB7522" w:rsidRPr="008F2A3F" w:rsidRDefault="00FB7522" w:rsidP="00E73961">
            <w:pPr>
              <w:spacing w:after="0" w:line="240" w:lineRule="auto"/>
              <w:jc w:val="both"/>
              <w:rPr>
                <w:rFonts w:cs="Calibri"/>
              </w:rPr>
            </w:pPr>
          </w:p>
          <w:tbl>
            <w:tblPr>
              <w:tblStyle w:val="Tablaconcuadrcula"/>
              <w:tblW w:w="5000" w:type="pct"/>
              <w:tblLayout w:type="fixed"/>
              <w:tblLook w:val="04A0" w:firstRow="1" w:lastRow="0" w:firstColumn="1" w:lastColumn="0" w:noHBand="0" w:noVBand="1"/>
            </w:tblPr>
            <w:tblGrid>
              <w:gridCol w:w="2282"/>
              <w:gridCol w:w="2282"/>
              <w:gridCol w:w="2283"/>
              <w:gridCol w:w="2283"/>
            </w:tblGrid>
            <w:tr w:rsidR="005E1BDF" w:rsidRPr="008F2A3F" w:rsidTr="00755994">
              <w:tc>
                <w:tcPr>
                  <w:tcW w:w="1250" w:type="pct"/>
                  <w:vMerge w:val="restar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CONCEPTO</w:t>
                  </w: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ARN</w:t>
                  </w: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Fondo Colombia en Paz</w:t>
                  </w:r>
                </w:p>
              </w:tc>
              <w:tc>
                <w:tcPr>
                  <w:tcW w:w="1250" w:type="pct"/>
                  <w:vMerge w:val="restar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VALOR</w:t>
                  </w:r>
                </w:p>
              </w:tc>
            </w:tr>
            <w:tr w:rsidR="005E1BDF" w:rsidRPr="008F2A3F" w:rsidTr="00755994">
              <w:tc>
                <w:tcPr>
                  <w:tcW w:w="1250" w:type="pct"/>
                  <w:vMerge/>
                  <w:shd w:val="clear" w:color="auto" w:fill="D9D9D9" w:themeFill="background1" w:themeFillShade="D9"/>
                </w:tcPr>
                <w:p w:rsidR="005E1BDF" w:rsidRPr="008F2A3F" w:rsidRDefault="005E1BDF" w:rsidP="005E1BDF">
                  <w:pPr>
                    <w:spacing w:after="0" w:line="240" w:lineRule="auto"/>
                    <w:jc w:val="both"/>
                    <w:rPr>
                      <w:rFonts w:cs="Calibri"/>
                      <w:b/>
                    </w:rPr>
                  </w:pP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VALOR</w:t>
                  </w: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VALOR</w:t>
                  </w:r>
                </w:p>
              </w:tc>
              <w:tc>
                <w:tcPr>
                  <w:tcW w:w="1250" w:type="pct"/>
                  <w:vMerge/>
                  <w:shd w:val="clear" w:color="auto" w:fill="D9D9D9" w:themeFill="background1" w:themeFillShade="D9"/>
                </w:tcPr>
                <w:p w:rsidR="005E1BDF" w:rsidRPr="008F2A3F" w:rsidRDefault="005E1BDF" w:rsidP="005E1BDF">
                  <w:pPr>
                    <w:spacing w:after="0" w:line="240" w:lineRule="auto"/>
                    <w:jc w:val="both"/>
                    <w:rPr>
                      <w:rFonts w:cs="Calibri"/>
                      <w:b/>
                    </w:rPr>
                  </w:pP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Asignación Única</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$ 346.941.000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$ 346.941.000</w:t>
                  </w: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Renta Básica</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$ 145.657.724</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$ 63.814.301.092</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$ 63.959.958.816</w:t>
                  </w: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Pensión y BEPS</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$ 21.882.500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$12.527.760.000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$ 12.549.642.500</w:t>
                  </w: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Asignación Básica Mensual</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$ 64.841.448</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$ 38.893.689.240</w:t>
                  </w:r>
                </w:p>
              </w:tc>
              <w:tc>
                <w:tcPr>
                  <w:tcW w:w="1250" w:type="pct"/>
                  <w:vAlign w:val="center"/>
                </w:tcPr>
                <w:p w:rsidR="001F6758" w:rsidRPr="008F2A3F" w:rsidRDefault="001F6758" w:rsidP="001F6758">
                  <w:pPr>
                    <w:spacing w:after="0" w:line="240" w:lineRule="auto"/>
                    <w:jc w:val="both"/>
                    <w:rPr>
                      <w:rFonts w:cs="Calibri"/>
                      <w:lang w:eastAsia="es-CO"/>
                    </w:rPr>
                  </w:pPr>
                  <w:r w:rsidRPr="008F2A3F">
                    <w:rPr>
                      <w:rFonts w:cs="Calibri"/>
                    </w:rPr>
                    <w:t>$ 38.958.530.688</w:t>
                  </w:r>
                </w:p>
                <w:p w:rsidR="005E1BDF" w:rsidRPr="008F2A3F" w:rsidRDefault="005E1BDF" w:rsidP="005E1BDF">
                  <w:pPr>
                    <w:spacing w:after="0" w:line="240" w:lineRule="auto"/>
                    <w:jc w:val="both"/>
                    <w:rPr>
                      <w:rFonts w:cs="Calibri"/>
                    </w:rPr>
                  </w:pPr>
                </w:p>
              </w:tc>
            </w:tr>
            <w:tr w:rsidR="00FB7522" w:rsidRPr="008F2A3F" w:rsidTr="00755994">
              <w:tc>
                <w:tcPr>
                  <w:tcW w:w="1250" w:type="pct"/>
                </w:tcPr>
                <w:p w:rsidR="00FB7522" w:rsidRPr="008F2A3F" w:rsidRDefault="00FB7522" w:rsidP="00E73961">
                  <w:pPr>
                    <w:spacing w:after="0" w:line="240" w:lineRule="auto"/>
                    <w:jc w:val="both"/>
                    <w:rPr>
                      <w:rFonts w:cs="Calibri"/>
                    </w:rPr>
                  </w:pPr>
                  <w:r w:rsidRPr="008F2A3F">
                    <w:rPr>
                      <w:rFonts w:cs="Calibri"/>
                    </w:rPr>
                    <w:lastRenderedPageBreak/>
                    <w:t>Proyectos productivos individuales y colectivos</w:t>
                  </w:r>
                </w:p>
              </w:tc>
              <w:tc>
                <w:tcPr>
                  <w:tcW w:w="1250" w:type="pct"/>
                </w:tcPr>
                <w:p w:rsidR="00FB7522" w:rsidRPr="008F2A3F" w:rsidRDefault="001F6758" w:rsidP="00E73961">
                  <w:pPr>
                    <w:spacing w:after="0" w:line="240" w:lineRule="auto"/>
                    <w:jc w:val="both"/>
                    <w:rPr>
                      <w:rFonts w:cs="Calibri"/>
                    </w:rPr>
                  </w:pPr>
                  <w:r w:rsidRPr="008F2A3F">
                    <w:rPr>
                      <w:rFonts w:cs="Calibri"/>
                    </w:rPr>
                    <w:t>$24.000.000</w:t>
                  </w:r>
                </w:p>
              </w:tc>
              <w:tc>
                <w:tcPr>
                  <w:tcW w:w="1250" w:type="pct"/>
                </w:tcPr>
                <w:p w:rsidR="00FB7522" w:rsidRPr="008F2A3F" w:rsidRDefault="00E2453D">
                  <w:pPr>
                    <w:spacing w:after="0" w:line="240" w:lineRule="auto"/>
                    <w:jc w:val="both"/>
                    <w:rPr>
                      <w:rFonts w:cs="Calibri"/>
                    </w:rPr>
                  </w:pPr>
                  <w:r w:rsidRPr="008F2A3F">
                    <w:t>$23.313.923.052</w:t>
                  </w:r>
                  <w:r w:rsidR="002D3B42" w:rsidRPr="008F2A3F">
                    <w:rPr>
                      <w:rStyle w:val="Refdenotaalpie"/>
                    </w:rPr>
                    <w:t>*</w:t>
                  </w:r>
                </w:p>
              </w:tc>
              <w:tc>
                <w:tcPr>
                  <w:tcW w:w="1250" w:type="pct"/>
                </w:tcPr>
                <w:p w:rsidR="00FB7522" w:rsidRPr="008F2A3F" w:rsidRDefault="00E2453D">
                  <w:pPr>
                    <w:spacing w:after="0" w:line="240" w:lineRule="auto"/>
                    <w:jc w:val="both"/>
                    <w:rPr>
                      <w:rFonts w:cs="Calibri"/>
                    </w:rPr>
                  </w:pPr>
                  <w:r w:rsidRPr="008F2A3F">
                    <w:t>$23.337.923.052</w:t>
                  </w:r>
                </w:p>
              </w:tc>
            </w:tr>
            <w:tr w:rsidR="00FB7522" w:rsidRPr="008F2A3F" w:rsidTr="00755994">
              <w:trPr>
                <w:trHeight w:val="481"/>
              </w:trPr>
              <w:tc>
                <w:tcPr>
                  <w:tcW w:w="1250" w:type="pct"/>
                  <w:shd w:val="clear" w:color="auto" w:fill="D9D9D9" w:themeFill="background1" w:themeFillShade="D9"/>
                </w:tcPr>
                <w:p w:rsidR="00FB7522" w:rsidRPr="008F2A3F" w:rsidRDefault="00FB7522" w:rsidP="00E73961">
                  <w:pPr>
                    <w:spacing w:after="0" w:line="240" w:lineRule="auto"/>
                    <w:jc w:val="both"/>
                    <w:rPr>
                      <w:rFonts w:cs="Calibri"/>
                      <w:b/>
                    </w:rPr>
                  </w:pPr>
                  <w:r w:rsidRPr="008F2A3F">
                    <w:rPr>
                      <w:rFonts w:cs="Calibri"/>
                      <w:b/>
                    </w:rPr>
                    <w:t>TOTAL</w:t>
                  </w:r>
                </w:p>
              </w:tc>
              <w:tc>
                <w:tcPr>
                  <w:tcW w:w="1250" w:type="pct"/>
                  <w:shd w:val="clear" w:color="auto" w:fill="D9D9D9" w:themeFill="background1" w:themeFillShade="D9"/>
                </w:tcPr>
                <w:p w:rsidR="00FB7522" w:rsidRPr="008F2A3F" w:rsidRDefault="001F6758">
                  <w:pPr>
                    <w:spacing w:after="0" w:line="240" w:lineRule="auto"/>
                    <w:jc w:val="both"/>
                    <w:rPr>
                      <w:rFonts w:cs="Calibri"/>
                      <w:b/>
                    </w:rPr>
                  </w:pPr>
                  <w:r w:rsidRPr="008F2A3F">
                    <w:rPr>
                      <w:rFonts w:cs="Calibri"/>
                    </w:rPr>
                    <w:t xml:space="preserve">$256.381.672 </w:t>
                  </w:r>
                </w:p>
              </w:tc>
              <w:tc>
                <w:tcPr>
                  <w:tcW w:w="1250" w:type="pct"/>
                  <w:shd w:val="clear" w:color="auto" w:fill="D9D9D9" w:themeFill="background1" w:themeFillShade="D9"/>
                </w:tcPr>
                <w:p w:rsidR="008D335A" w:rsidRPr="008F2A3F" w:rsidRDefault="00E2453D" w:rsidP="008D335A">
                  <w:pPr>
                    <w:spacing w:after="0" w:line="240" w:lineRule="auto"/>
                    <w:jc w:val="both"/>
                    <w:rPr>
                      <w:rFonts w:cs="Calibri"/>
                    </w:rPr>
                  </w:pPr>
                  <w:r w:rsidRPr="008F2A3F">
                    <w:rPr>
                      <w:rFonts w:cs="Calibri"/>
                    </w:rPr>
                    <w:t>$</w:t>
                  </w:r>
                  <w:r w:rsidR="008D335A" w:rsidRPr="008F2A3F">
                    <w:rPr>
                      <w:rFonts w:cs="Calibri"/>
                    </w:rPr>
                    <w:t xml:space="preserve">138.896.614.384 </w:t>
                  </w:r>
                </w:p>
                <w:p w:rsidR="00FB7522" w:rsidRPr="008F2A3F" w:rsidRDefault="00FB7522">
                  <w:pPr>
                    <w:spacing w:after="0" w:line="240" w:lineRule="auto"/>
                    <w:jc w:val="both"/>
                    <w:rPr>
                      <w:rFonts w:cs="Calibri"/>
                      <w:b/>
                    </w:rPr>
                  </w:pPr>
                </w:p>
              </w:tc>
              <w:tc>
                <w:tcPr>
                  <w:tcW w:w="1250" w:type="pct"/>
                  <w:shd w:val="clear" w:color="auto" w:fill="D9D9D9" w:themeFill="background1" w:themeFillShade="D9"/>
                </w:tcPr>
                <w:p w:rsidR="008D335A" w:rsidRPr="008F2A3F" w:rsidRDefault="00E97A55" w:rsidP="008D335A">
                  <w:pPr>
                    <w:spacing w:after="0" w:line="240" w:lineRule="auto"/>
                    <w:jc w:val="both"/>
                    <w:rPr>
                      <w:rFonts w:cs="Calibri"/>
                    </w:rPr>
                  </w:pPr>
                  <w:r w:rsidRPr="008F2A3F">
                    <w:rPr>
                      <w:rFonts w:cs="Calibri"/>
                    </w:rPr>
                    <w:t>$</w:t>
                  </w:r>
                  <w:r w:rsidR="008D335A" w:rsidRPr="008F2A3F">
                    <w:rPr>
                      <w:rFonts w:cs="Calibri"/>
                    </w:rPr>
                    <w:t xml:space="preserve">139.152.996.056 </w:t>
                  </w:r>
                </w:p>
                <w:p w:rsidR="00FB7522" w:rsidRPr="008F2A3F" w:rsidRDefault="00FB7522">
                  <w:pPr>
                    <w:spacing w:after="0" w:line="240" w:lineRule="auto"/>
                    <w:jc w:val="both"/>
                    <w:rPr>
                      <w:rFonts w:cs="Calibri"/>
                    </w:rPr>
                  </w:pPr>
                </w:p>
              </w:tc>
            </w:tr>
          </w:tbl>
          <w:p w:rsidR="00FB7522" w:rsidRPr="008F2A3F" w:rsidRDefault="00FB7522" w:rsidP="00E73961">
            <w:pPr>
              <w:spacing w:after="0" w:line="240" w:lineRule="auto"/>
              <w:jc w:val="both"/>
              <w:rPr>
                <w:rFonts w:cs="Calibri"/>
              </w:rPr>
            </w:pPr>
            <w:r w:rsidRPr="008F2A3F">
              <w:rPr>
                <w:rFonts w:cs="Calibri"/>
              </w:rPr>
              <w:t xml:space="preserve"> </w:t>
            </w:r>
            <w:r w:rsidR="002D3B42" w:rsidRPr="008F2A3F">
              <w:rPr>
                <w:rFonts w:cs="Calibri"/>
              </w:rPr>
              <w:t>*</w:t>
            </w:r>
            <w:r w:rsidR="002D3B42" w:rsidRPr="008F2A3F">
              <w:rPr>
                <w:lang w:val="es-ES"/>
              </w:rPr>
              <w:t>Valores desembolsados por parte del Fondo Colombia en Paz durante el año 2019.</w:t>
            </w:r>
          </w:p>
          <w:p w:rsidR="00FB7522" w:rsidRPr="008F2A3F" w:rsidRDefault="00FB7522" w:rsidP="00E73961">
            <w:pPr>
              <w:spacing w:after="0" w:line="240" w:lineRule="auto"/>
              <w:jc w:val="both"/>
              <w:rPr>
                <w:rFonts w:cs="Calibri"/>
              </w:rPr>
            </w:pPr>
          </w:p>
          <w:p w:rsidR="005E1BDF" w:rsidRPr="008F2A3F" w:rsidRDefault="005E1BDF" w:rsidP="005B6819">
            <w:pPr>
              <w:pStyle w:val="Prrafodelista"/>
              <w:numPr>
                <w:ilvl w:val="0"/>
                <w:numId w:val="10"/>
              </w:numPr>
              <w:spacing w:after="0" w:line="240" w:lineRule="auto"/>
              <w:ind w:left="743" w:hanging="425"/>
              <w:jc w:val="both"/>
              <w:rPr>
                <w:rFonts w:cs="Calibri"/>
              </w:rPr>
            </w:pPr>
            <w:r w:rsidRPr="008F2A3F">
              <w:rPr>
                <w:rFonts w:cs="Calibri"/>
              </w:rPr>
              <w:t>En la vigencia 2019, se realizaron 85.890 desembolsos de Renta Básica, correspondiente a 11.641 Ex Integrantes FARC beneficiarios, representando un 100% de Ex Integrantes FARC-EP que cumplieron requisitos para dicho desembolso, distribuidos por género de la siguiente manera: A) Femenino: 2.815 beneficiarias B) Masculino 8.826 beneficiarios.</w:t>
            </w:r>
          </w:p>
          <w:p w:rsidR="005E1BDF" w:rsidRPr="008F2A3F" w:rsidRDefault="005E1BDF" w:rsidP="005E1BDF">
            <w:pPr>
              <w:pStyle w:val="Prrafodelista"/>
              <w:spacing w:after="0" w:line="240" w:lineRule="auto"/>
              <w:ind w:left="1580"/>
              <w:jc w:val="both"/>
              <w:rPr>
                <w:rFonts w:cs="Calibri"/>
              </w:rPr>
            </w:pPr>
          </w:p>
          <w:p w:rsidR="005E1BDF" w:rsidRPr="008F2A3F" w:rsidRDefault="005E1BDF" w:rsidP="005B6819">
            <w:pPr>
              <w:pStyle w:val="Prrafodelista"/>
              <w:numPr>
                <w:ilvl w:val="0"/>
                <w:numId w:val="10"/>
              </w:numPr>
              <w:spacing w:after="0" w:line="240" w:lineRule="auto"/>
              <w:jc w:val="both"/>
              <w:rPr>
                <w:rFonts w:cs="Calibri"/>
              </w:rPr>
            </w:pPr>
            <w:r w:rsidRPr="008F2A3F">
              <w:rPr>
                <w:rFonts w:cs="Calibri"/>
              </w:rPr>
              <w:t>En la vigencia 2019, se realizaron un total de 189 desembolsos de Asignación única de Normalización, alcanzado un total de 12.902 beneficiarios de Asignación Única de Normalización en el periodo del 16 de agosto de 2017, fecha de inicio de desembolsos beneficios Reincorporación, a 31 de diciembre 2019, representando un 100% de Ex Integrantes FARC-EP que cumplieron requisitos para dicho desembolso, este indicador es acumulativo, ya que es un beneficio que se entrega por única vez. La distribución por género es la siguiente: A) Femenino: 2.996 beneficiarios B) Masculino: 9.906 beneficiarios.</w:t>
            </w:r>
          </w:p>
          <w:p w:rsidR="005E1BDF" w:rsidRPr="008F2A3F" w:rsidRDefault="005E1BDF" w:rsidP="005E1BDF">
            <w:pPr>
              <w:pStyle w:val="Prrafodelista"/>
              <w:rPr>
                <w:rFonts w:cs="Calibri"/>
              </w:rPr>
            </w:pPr>
          </w:p>
          <w:p w:rsidR="005E1BDF" w:rsidRPr="008F2A3F" w:rsidRDefault="005E1BDF" w:rsidP="005B6819">
            <w:pPr>
              <w:pStyle w:val="Prrafodelista"/>
              <w:numPr>
                <w:ilvl w:val="0"/>
                <w:numId w:val="10"/>
              </w:numPr>
              <w:spacing w:after="0" w:line="240" w:lineRule="auto"/>
              <w:jc w:val="both"/>
              <w:rPr>
                <w:rFonts w:cs="Calibri"/>
              </w:rPr>
            </w:pPr>
            <w:r w:rsidRPr="008F2A3F">
              <w:rPr>
                <w:rFonts w:cs="Calibri"/>
              </w:rPr>
              <w:t>En la vigencia 2019, se evidencio un total 9.904 beneficios del pago de Pensiones y BEPS, establecido en el art. 9 del Decreto Ley 899 de 2017, representando el 100% del total de Ex Integrantes FARC- EP que cumplieron requisitos durante la vigencia 2019 para el desembolso de este beneficio, los cuales se distribuyen por género de la siguiente manera: A) Femenino: 2.380 beneficiarios B) Masculino: 7.524 beneficiarios.</w:t>
            </w:r>
          </w:p>
          <w:p w:rsidR="005E1BDF" w:rsidRPr="008F2A3F" w:rsidRDefault="005E1BDF" w:rsidP="005E1BDF">
            <w:pPr>
              <w:pStyle w:val="Prrafodelista"/>
              <w:rPr>
                <w:rFonts w:cs="Calibri"/>
              </w:rPr>
            </w:pPr>
          </w:p>
          <w:p w:rsidR="005E1BDF" w:rsidRPr="008F2A3F" w:rsidRDefault="005E1BDF" w:rsidP="005B6819">
            <w:pPr>
              <w:pStyle w:val="Prrafodelista"/>
              <w:numPr>
                <w:ilvl w:val="0"/>
                <w:numId w:val="10"/>
              </w:numPr>
              <w:spacing w:after="0" w:line="240" w:lineRule="auto"/>
              <w:jc w:val="both"/>
              <w:rPr>
                <w:rFonts w:cs="Calibri"/>
              </w:rPr>
            </w:pPr>
            <w:r w:rsidRPr="008F2A3F">
              <w:rPr>
                <w:rFonts w:cs="Calibri"/>
              </w:rPr>
              <w:t>En la vigencia 2019 se realizaron 52.272 desembolsos de Asignación mensual, correspondientes a 11.138 beneficiarios, representando el 100% del total de Ex Integrantes FARC- EP que cumplieron requisitos para el desembolso de este beneficio, su distribución por género es la siguiente: A) Femenino: 2.689 beneficiarios B) Masculino: 8.449 beneficiarios.</w:t>
            </w:r>
          </w:p>
          <w:p w:rsidR="005E1BDF" w:rsidRPr="008F2A3F" w:rsidRDefault="005E1BDF" w:rsidP="005E1BDF">
            <w:pPr>
              <w:pStyle w:val="Prrafodelista"/>
              <w:rPr>
                <w:rFonts w:cs="Calibri"/>
              </w:rPr>
            </w:pPr>
          </w:p>
          <w:p w:rsidR="00DC5705" w:rsidRPr="008F2A3F" w:rsidRDefault="005E1BDF" w:rsidP="005B6819">
            <w:pPr>
              <w:pStyle w:val="Prrafodelista"/>
              <w:numPr>
                <w:ilvl w:val="0"/>
                <w:numId w:val="10"/>
              </w:numPr>
              <w:spacing w:after="0" w:line="240" w:lineRule="auto"/>
              <w:jc w:val="both"/>
              <w:rPr>
                <w:rFonts w:cs="Calibri"/>
              </w:rPr>
            </w:pPr>
            <w:r w:rsidRPr="008F2A3F">
              <w:rPr>
                <w:rFonts w:cs="Calibri"/>
              </w:rPr>
              <w:t>Proyectos productivos colectivos o individuales.</w:t>
            </w:r>
          </w:p>
          <w:p w:rsidR="0098349F" w:rsidRPr="008F2A3F" w:rsidRDefault="0098349F" w:rsidP="0098349F">
            <w:pPr>
              <w:spacing w:after="0" w:line="240" w:lineRule="auto"/>
              <w:jc w:val="both"/>
              <w:rPr>
                <w:rFonts w:cs="Calibri"/>
              </w:rPr>
            </w:pPr>
          </w:p>
          <w:tbl>
            <w:tblPr>
              <w:tblW w:w="8947" w:type="dxa"/>
              <w:tblInd w:w="10" w:type="dxa"/>
              <w:tblLayout w:type="fixed"/>
              <w:tblCellMar>
                <w:left w:w="0" w:type="dxa"/>
                <w:right w:w="0" w:type="dxa"/>
              </w:tblCellMar>
              <w:tblLook w:val="04A0" w:firstRow="1" w:lastRow="0" w:firstColumn="1" w:lastColumn="0" w:noHBand="0" w:noVBand="1"/>
            </w:tblPr>
            <w:tblGrid>
              <w:gridCol w:w="1560"/>
              <w:gridCol w:w="1420"/>
              <w:gridCol w:w="1200"/>
              <w:gridCol w:w="1200"/>
              <w:gridCol w:w="1920"/>
              <w:gridCol w:w="1647"/>
            </w:tblGrid>
            <w:tr w:rsidR="0069235D" w:rsidRPr="008F2A3F" w:rsidTr="00B94748">
              <w:trPr>
                <w:trHeight w:val="600"/>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CONCEPTO</w:t>
                  </w:r>
                </w:p>
              </w:tc>
              <w:tc>
                <w:tcPr>
                  <w:tcW w:w="14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CANTIDAD</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PERSONAS BENEFICIADAS</w:t>
                  </w:r>
                </w:p>
              </w:tc>
              <w:tc>
                <w:tcPr>
                  <w:tcW w:w="19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VALOR PAGADO</w:t>
                  </w:r>
                </w:p>
              </w:tc>
              <w:tc>
                <w:tcPr>
                  <w:tcW w:w="164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VALOR NOTIFICADO F</w:t>
                  </w:r>
                  <w:r w:rsidR="002B39D8" w:rsidRPr="008F2A3F">
                    <w:rPr>
                      <w:rFonts w:eastAsia="Times New Roman" w:cs="Calibri"/>
                      <w:b/>
                      <w:bCs/>
                      <w:lang w:eastAsia="es-CO"/>
                    </w:rPr>
                    <w:t xml:space="preserve">ondo </w:t>
                  </w:r>
                  <w:r w:rsidRPr="008F2A3F">
                    <w:rPr>
                      <w:rFonts w:eastAsia="Times New Roman" w:cs="Calibri"/>
                      <w:b/>
                      <w:bCs/>
                      <w:lang w:eastAsia="es-CO"/>
                    </w:rPr>
                    <w:t>C</w:t>
                  </w:r>
                  <w:r w:rsidR="002B39D8" w:rsidRPr="008F2A3F">
                    <w:rPr>
                      <w:rFonts w:eastAsia="Times New Roman" w:cs="Calibri"/>
                      <w:b/>
                      <w:bCs/>
                      <w:lang w:eastAsia="es-CO"/>
                    </w:rPr>
                    <w:t xml:space="preserve">olombia en </w:t>
                  </w:r>
                  <w:r w:rsidRPr="008F2A3F">
                    <w:rPr>
                      <w:rFonts w:eastAsia="Times New Roman" w:cs="Calibri"/>
                      <w:b/>
                      <w:bCs/>
                      <w:lang w:eastAsia="es-CO"/>
                    </w:rPr>
                    <w:t>P</w:t>
                  </w:r>
                  <w:r w:rsidR="002B39D8" w:rsidRPr="008F2A3F">
                    <w:rPr>
                      <w:rFonts w:eastAsia="Times New Roman" w:cs="Calibri"/>
                      <w:b/>
                      <w:bCs/>
                      <w:lang w:eastAsia="es-CO"/>
                    </w:rPr>
                    <w:t>az</w:t>
                  </w:r>
                  <w:r w:rsidR="002633F8" w:rsidRPr="008F2A3F">
                    <w:rPr>
                      <w:rFonts w:eastAsia="Times New Roman" w:cs="Calibri"/>
                      <w:b/>
                      <w:bCs/>
                      <w:lang w:eastAsia="es-CO"/>
                    </w:rPr>
                    <w:t>-FCP</w:t>
                  </w:r>
                </w:p>
              </w:tc>
            </w:tr>
            <w:tr w:rsidR="0069235D" w:rsidRPr="008F2A3F" w:rsidTr="00B94748">
              <w:tblPrEx>
                <w:tblCellMar>
                  <w:left w:w="70" w:type="dxa"/>
                  <w:right w:w="70" w:type="dxa"/>
                </w:tblCellMar>
              </w:tblPrEx>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200" w:type="dxa"/>
                  <w:tcBorders>
                    <w:top w:val="nil"/>
                    <w:left w:val="nil"/>
                    <w:bottom w:val="single" w:sz="8" w:space="0" w:color="auto"/>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Hombres</w:t>
                  </w:r>
                </w:p>
              </w:tc>
              <w:tc>
                <w:tcPr>
                  <w:tcW w:w="1200" w:type="dxa"/>
                  <w:tcBorders>
                    <w:top w:val="nil"/>
                    <w:left w:val="nil"/>
                    <w:bottom w:val="single" w:sz="8" w:space="0" w:color="auto"/>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Mujeres</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647"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r>
            <w:tr w:rsidR="0069235D" w:rsidRPr="008F2A3F" w:rsidTr="00B94748">
              <w:tblPrEx>
                <w:tblCellMar>
                  <w:left w:w="70" w:type="dxa"/>
                  <w:right w:w="70" w:type="dxa"/>
                </w:tblCellMar>
              </w:tblPrEx>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Colectivos</w:t>
                  </w:r>
                </w:p>
              </w:tc>
              <w:tc>
                <w:tcPr>
                  <w:tcW w:w="14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36</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1.331</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498</w:t>
                  </w:r>
                </w:p>
              </w:tc>
              <w:tc>
                <w:tcPr>
                  <w:tcW w:w="19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$14.608.000.000</w:t>
                  </w:r>
                </w:p>
              </w:tc>
              <w:tc>
                <w:tcPr>
                  <w:tcW w:w="1647"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$ 14.632.000.000</w:t>
                  </w:r>
                </w:p>
              </w:tc>
            </w:tr>
            <w:tr w:rsidR="0069235D" w:rsidRPr="008F2A3F" w:rsidTr="00B94748">
              <w:tblPrEx>
                <w:tblCellMar>
                  <w:left w:w="70" w:type="dxa"/>
                  <w:right w:w="70" w:type="dxa"/>
                </w:tblCellMar>
              </w:tblPrEx>
              <w:trPr>
                <w:trHeight w:val="6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Individuales</w:t>
                  </w:r>
                </w:p>
              </w:tc>
              <w:tc>
                <w:tcPr>
                  <w:tcW w:w="14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855</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793</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206</w:t>
                  </w:r>
                </w:p>
              </w:tc>
              <w:tc>
                <w:tcPr>
                  <w:tcW w:w="19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$ 8.729.923.052</w:t>
                  </w:r>
                </w:p>
              </w:tc>
              <w:tc>
                <w:tcPr>
                  <w:tcW w:w="1647"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$ 7.970.050.130</w:t>
                  </w:r>
                </w:p>
              </w:tc>
            </w:tr>
            <w:tr w:rsidR="0069235D" w:rsidRPr="008F2A3F" w:rsidTr="00B94748">
              <w:tblPrEx>
                <w:tblCellMar>
                  <w:left w:w="70" w:type="dxa"/>
                  <w:right w:w="70" w:type="dxa"/>
                </w:tblCellMar>
              </w:tblPrEx>
              <w:trPr>
                <w:trHeight w:val="585"/>
              </w:trPr>
              <w:tc>
                <w:tcPr>
                  <w:tcW w:w="15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both"/>
                    <w:rPr>
                      <w:rFonts w:eastAsia="Times New Roman" w:cs="Calibri"/>
                      <w:b/>
                      <w:bCs/>
                      <w:lang w:eastAsia="es-CO"/>
                    </w:rPr>
                  </w:pPr>
                  <w:r w:rsidRPr="008F2A3F">
                    <w:rPr>
                      <w:rFonts w:eastAsia="Times New Roman" w:cs="Calibri"/>
                      <w:b/>
                      <w:bCs/>
                      <w:lang w:eastAsia="es-CO"/>
                    </w:rPr>
                    <w:t>Total</w:t>
                  </w:r>
                </w:p>
              </w:tc>
              <w:tc>
                <w:tcPr>
                  <w:tcW w:w="14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891</w:t>
                  </w:r>
                </w:p>
              </w:tc>
              <w:tc>
                <w:tcPr>
                  <w:tcW w:w="12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2.124</w:t>
                  </w:r>
                </w:p>
              </w:tc>
              <w:tc>
                <w:tcPr>
                  <w:tcW w:w="12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704</w:t>
                  </w:r>
                </w:p>
              </w:tc>
              <w:tc>
                <w:tcPr>
                  <w:tcW w:w="19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bCs/>
                      <w:lang w:eastAsia="es-CO"/>
                    </w:rPr>
                    <w:t>$ 23.337.923.052</w:t>
                  </w:r>
                </w:p>
              </w:tc>
              <w:tc>
                <w:tcPr>
                  <w:tcW w:w="164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$ 22.602.050.130</w:t>
                  </w:r>
                </w:p>
              </w:tc>
            </w:tr>
            <w:tr w:rsidR="0069235D" w:rsidRPr="008F2A3F" w:rsidTr="00B94748">
              <w:tblPrEx>
                <w:tblCellMar>
                  <w:left w:w="70" w:type="dxa"/>
                  <w:right w:w="70" w:type="dxa"/>
                </w:tblCellMar>
              </w:tblPrEx>
              <w:trPr>
                <w:trHeight w:val="315"/>
              </w:trPr>
              <w:tc>
                <w:tcPr>
                  <w:tcW w:w="156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42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20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20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92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lang w:eastAsia="es-CO"/>
                    </w:rPr>
                  </w:pPr>
                </w:p>
              </w:tc>
              <w:tc>
                <w:tcPr>
                  <w:tcW w:w="1647"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lang w:eastAsia="es-CO"/>
                    </w:rPr>
                  </w:pPr>
                </w:p>
              </w:tc>
            </w:tr>
          </w:tbl>
          <w:p w:rsidR="008E7731" w:rsidRPr="008F2A3F" w:rsidRDefault="008E7731" w:rsidP="008E7731">
            <w:pPr>
              <w:spacing w:after="0" w:line="240" w:lineRule="auto"/>
              <w:jc w:val="both"/>
              <w:rPr>
                <w:rFonts w:cs="Calibri"/>
              </w:rPr>
            </w:pPr>
          </w:p>
        </w:tc>
      </w:tr>
      <w:tr w:rsidR="00307ADC" w:rsidRPr="008F2A3F" w:rsidTr="00755994">
        <w:tc>
          <w:tcPr>
            <w:tcW w:w="9356" w:type="dxa"/>
            <w:shd w:val="clear" w:color="auto" w:fill="F2F2F2"/>
          </w:tcPr>
          <w:p w:rsidR="00FB7522" w:rsidRPr="008F2A3F" w:rsidRDefault="00383B7A" w:rsidP="00E73961">
            <w:pPr>
              <w:spacing w:after="0" w:line="240" w:lineRule="auto"/>
              <w:jc w:val="both"/>
              <w:rPr>
                <w:rFonts w:cs="Calibri"/>
                <w:b/>
              </w:rPr>
            </w:pPr>
            <w:r w:rsidRPr="008F2A3F">
              <w:rPr>
                <w:rFonts w:cs="Calibri"/>
                <w:b/>
              </w:rPr>
              <w:lastRenderedPageBreak/>
              <w:t xml:space="preserve">Nota: </w:t>
            </w:r>
          </w:p>
          <w:p w:rsidR="0069235D" w:rsidRPr="008F2A3F" w:rsidRDefault="0069235D" w:rsidP="00E73961">
            <w:pPr>
              <w:spacing w:after="0" w:line="240" w:lineRule="auto"/>
              <w:jc w:val="both"/>
              <w:rPr>
                <w:rFonts w:cs="Calibri"/>
              </w:rPr>
            </w:pPr>
            <w:r w:rsidRPr="008F2A3F">
              <w:rPr>
                <w:rFonts w:cs="Calibri"/>
              </w:rPr>
              <w:t>V</w:t>
            </w:r>
            <w:r w:rsidR="00383B7A" w:rsidRPr="008F2A3F">
              <w:rPr>
                <w:rFonts w:cs="Calibri"/>
              </w:rPr>
              <w:t>alor</w:t>
            </w:r>
            <w:r w:rsidRPr="008F2A3F">
              <w:rPr>
                <w:rFonts w:cs="Calibri"/>
              </w:rPr>
              <w:t xml:space="preserve"> pagado: Corresponden al total de desembolsos efectivos que se reportaron durante 2019. </w:t>
            </w:r>
          </w:p>
          <w:p w:rsidR="00383B7A" w:rsidRPr="008F2A3F" w:rsidRDefault="0069235D" w:rsidP="00E73961">
            <w:pPr>
              <w:spacing w:after="0" w:line="240" w:lineRule="auto"/>
              <w:jc w:val="both"/>
              <w:rPr>
                <w:rFonts w:cs="Calibri"/>
              </w:rPr>
            </w:pPr>
            <w:r w:rsidRPr="008F2A3F">
              <w:rPr>
                <w:rFonts w:cs="Calibri"/>
              </w:rPr>
              <w:t xml:space="preserve">Valor notificado FCP: Corresponden al total de desembolsos notificados por FCP a la ARN durante 2019.    </w:t>
            </w:r>
          </w:p>
          <w:p w:rsidR="00383B7A" w:rsidRPr="008F2A3F" w:rsidRDefault="0069235D" w:rsidP="00E73961">
            <w:pPr>
              <w:spacing w:after="0" w:line="240" w:lineRule="auto"/>
              <w:jc w:val="both"/>
              <w:rPr>
                <w:rFonts w:cs="Calibri"/>
              </w:rPr>
            </w:pPr>
            <w:r w:rsidRPr="008F2A3F">
              <w:rPr>
                <w:rFonts w:cs="Calibri"/>
              </w:rPr>
              <w:lastRenderedPageBreak/>
              <w:t xml:space="preserve">Se debe tener en cuenta que las fechas de los valores notificados difieren de las fechas de desembolso por los rechazos en las transacciones entre entidades financieras. </w:t>
            </w:r>
          </w:p>
        </w:tc>
      </w:tr>
      <w:tr w:rsidR="00307ADC" w:rsidRPr="008F2A3F" w:rsidTr="00755994">
        <w:tc>
          <w:tcPr>
            <w:tcW w:w="9356" w:type="dxa"/>
            <w:shd w:val="clear" w:color="auto" w:fill="F2F2F2"/>
          </w:tcPr>
          <w:p w:rsidR="0043013D" w:rsidRPr="00307ADC" w:rsidRDefault="0043013D" w:rsidP="00E73961">
            <w:pPr>
              <w:spacing w:after="0" w:line="240" w:lineRule="auto"/>
              <w:rPr>
                <w:color w:val="3366CC"/>
                <w:sz w:val="32"/>
                <w:szCs w:val="32"/>
                <w:u w:val="single"/>
              </w:rPr>
            </w:pPr>
            <w:r w:rsidRPr="00307ADC">
              <w:rPr>
                <w:color w:val="3366CC"/>
                <w:sz w:val="32"/>
                <w:szCs w:val="32"/>
                <w:u w:val="single"/>
              </w:rPr>
              <w:lastRenderedPageBreak/>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16096" behindDoc="0" locked="0" layoutInCell="1" hidden="0" allowOverlap="1" wp14:anchorId="2A2259B4" wp14:editId="02D81786">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jc w:val="both"/>
              <w:rPr>
                <w:sz w:val="24"/>
                <w:szCs w:val="24"/>
              </w:rPr>
            </w:pPr>
            <w:r w:rsidRPr="008F2A3F">
              <w:rPr>
                <w:sz w:val="24"/>
                <w:szCs w:val="24"/>
              </w:rPr>
              <w:t xml:space="preserve">Lo invitamos  a hacer control social a los contratos que se celebran por parte de las entidades públicas en el portal de Colombia Compra Eficiente </w:t>
            </w:r>
            <w:hyperlink r:id="rId51" w:history="1">
              <w:r w:rsidR="00B94748" w:rsidRPr="00693E84">
                <w:rPr>
                  <w:rStyle w:val="Hipervnculo"/>
                  <w:sz w:val="24"/>
                  <w:szCs w:val="24"/>
                </w:rPr>
                <w:t>www.colombiacompra.gov.co</w:t>
              </w:r>
            </w:hyperlink>
            <w:r w:rsidR="00B94748">
              <w:rPr>
                <w:sz w:val="24"/>
                <w:szCs w:val="24"/>
                <w:u w:val="single"/>
              </w:rPr>
              <w:t xml:space="preserve"> </w:t>
            </w:r>
            <w:r w:rsidRPr="008F2A3F">
              <w:rPr>
                <w:sz w:val="24"/>
                <w:szCs w:val="24"/>
              </w:rPr>
              <w:t xml:space="preserve"> </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jc w:val="both"/>
              <w:rPr>
                <w:sz w:val="24"/>
                <w:szCs w:val="24"/>
              </w:rPr>
            </w:pPr>
            <w:r w:rsidRPr="008F2A3F">
              <w:rPr>
                <w:sz w:val="24"/>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43013D" w:rsidRPr="008F2A3F" w:rsidRDefault="0043013D" w:rsidP="00E73961">
            <w:pPr>
              <w:spacing w:after="0" w:line="240" w:lineRule="auto"/>
              <w:jc w:val="both"/>
              <w:rPr>
                <w:sz w:val="24"/>
                <w:szCs w:val="24"/>
              </w:rPr>
            </w:pPr>
          </w:p>
          <w:p w:rsidR="0043013D" w:rsidRPr="008F2A3F" w:rsidRDefault="009B7621" w:rsidP="00E73961">
            <w:pPr>
              <w:spacing w:after="0" w:line="240" w:lineRule="auto"/>
              <w:rPr>
                <w:sz w:val="24"/>
                <w:szCs w:val="24"/>
              </w:rPr>
            </w:pPr>
            <w:hyperlink r:id="rId52" w:history="1">
              <w:r w:rsidR="00B94748" w:rsidRPr="00693E84">
                <w:rPr>
                  <w:rStyle w:val="Hipervnculo"/>
                  <w:sz w:val="24"/>
                  <w:szCs w:val="24"/>
                </w:rPr>
                <w:t>https://www.colombiacompra.gov.co/secop/busqueda-de-procesos-de-contratacion</w:t>
              </w:r>
            </w:hyperlink>
            <w:r w:rsidR="00B94748">
              <w:rPr>
                <w:sz w:val="24"/>
                <w:szCs w:val="24"/>
                <w:u w:val="single"/>
              </w:rPr>
              <w:t xml:space="preserve"> </w:t>
            </w:r>
            <w:r w:rsidR="0043013D" w:rsidRPr="008F2A3F">
              <w:rPr>
                <w:sz w:val="24"/>
                <w:szCs w:val="24"/>
              </w:rPr>
              <w:t xml:space="preserve"> </w:t>
            </w:r>
          </w:p>
          <w:p w:rsidR="0043013D" w:rsidRPr="008F2A3F" w:rsidRDefault="009B7621" w:rsidP="00E73961">
            <w:pPr>
              <w:spacing w:after="0" w:line="240" w:lineRule="auto"/>
              <w:rPr>
                <w:sz w:val="24"/>
                <w:szCs w:val="24"/>
              </w:rPr>
            </w:pPr>
            <w:hyperlink r:id="rId53" w:history="1">
              <w:r w:rsidR="00B94748" w:rsidRPr="00693E84">
                <w:rPr>
                  <w:rStyle w:val="Hipervnculo"/>
                  <w:sz w:val="24"/>
                  <w:szCs w:val="24"/>
                </w:rPr>
                <w:t>https://www.contratos.gov.co/consultas/inicioConsulta.do</w:t>
              </w:r>
            </w:hyperlink>
            <w:r w:rsidR="00B94748">
              <w:rPr>
                <w:sz w:val="24"/>
                <w:szCs w:val="24"/>
                <w:u w:val="single"/>
              </w:rPr>
              <w:t xml:space="preserve"> </w:t>
            </w:r>
            <w:r w:rsidR="0043013D" w:rsidRPr="008F2A3F">
              <w:rPr>
                <w:sz w:val="24"/>
                <w:szCs w:val="24"/>
              </w:rPr>
              <w:t xml:space="preserve">  </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jc w:val="both"/>
              <w:rPr>
                <w:sz w:val="24"/>
                <w:szCs w:val="24"/>
              </w:rPr>
            </w:pPr>
            <w:r w:rsidRPr="008F2A3F">
              <w:rPr>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rsidR="0043013D" w:rsidRPr="008F2A3F" w:rsidRDefault="0043013D" w:rsidP="00E73961">
            <w:pPr>
              <w:spacing w:after="0" w:line="240" w:lineRule="auto"/>
              <w:jc w:val="both"/>
              <w:rPr>
                <w:i/>
                <w:sz w:val="24"/>
                <w:szCs w:val="24"/>
              </w:rPr>
            </w:pPr>
          </w:p>
          <w:tbl>
            <w:tblPr>
              <w:tblW w:w="9604" w:type="dxa"/>
              <w:tblLayout w:type="fixed"/>
              <w:tblLook w:val="0400" w:firstRow="0" w:lastRow="0" w:firstColumn="0" w:lastColumn="0" w:noHBand="0" w:noVBand="1"/>
            </w:tblPr>
            <w:tblGrid>
              <w:gridCol w:w="2160"/>
              <w:gridCol w:w="7444"/>
            </w:tblGrid>
            <w:tr w:rsidR="0043013D" w:rsidRPr="008F2A3F" w:rsidTr="00755994">
              <w:trPr>
                <w:trHeight w:val="400"/>
              </w:trPr>
              <w:tc>
                <w:tcPr>
                  <w:tcW w:w="2160" w:type="dxa"/>
                  <w:shd w:val="clear" w:color="auto" w:fill="A6A6A6"/>
                </w:tcPr>
                <w:p w:rsidR="0043013D" w:rsidRPr="008F2A3F" w:rsidRDefault="0043013D" w:rsidP="00E73961">
                  <w:pPr>
                    <w:spacing w:after="0" w:line="240" w:lineRule="auto"/>
                    <w:jc w:val="both"/>
                    <w:rPr>
                      <w:i/>
                      <w:sz w:val="24"/>
                      <w:szCs w:val="24"/>
                    </w:rPr>
                  </w:pPr>
                  <w:r w:rsidRPr="008F2A3F">
                    <w:rPr>
                      <w:i/>
                      <w:sz w:val="24"/>
                      <w:szCs w:val="24"/>
                    </w:rPr>
                    <w:t xml:space="preserve">Número de Contrato/Año </w:t>
                  </w:r>
                </w:p>
              </w:tc>
              <w:tc>
                <w:tcPr>
                  <w:tcW w:w="7444" w:type="dxa"/>
                  <w:shd w:val="clear" w:color="auto" w:fill="A6A6A6"/>
                </w:tcPr>
                <w:p w:rsidR="0043013D" w:rsidRPr="008F2A3F" w:rsidRDefault="0043013D" w:rsidP="00E73961">
                  <w:pPr>
                    <w:spacing w:after="0" w:line="240" w:lineRule="auto"/>
                    <w:jc w:val="both"/>
                    <w:rPr>
                      <w:i/>
                      <w:sz w:val="24"/>
                      <w:szCs w:val="24"/>
                    </w:rPr>
                  </w:pPr>
                  <w:r w:rsidRPr="008F2A3F">
                    <w:rPr>
                      <w:i/>
                      <w:sz w:val="24"/>
                      <w:szCs w:val="24"/>
                    </w:rPr>
                    <w:t>Informe de supervisión o interventoría</w:t>
                  </w:r>
                </w:p>
                <w:p w:rsidR="0043013D" w:rsidRPr="008F2A3F" w:rsidRDefault="0043013D" w:rsidP="00E73961">
                  <w:pPr>
                    <w:spacing w:after="0" w:line="240" w:lineRule="auto"/>
                    <w:jc w:val="both"/>
                    <w:rPr>
                      <w:i/>
                      <w:sz w:val="20"/>
                      <w:szCs w:val="20"/>
                    </w:rPr>
                  </w:pPr>
                  <w:r w:rsidRPr="008F2A3F">
                    <w:rPr>
                      <w:i/>
                      <w:sz w:val="20"/>
                      <w:szCs w:val="20"/>
                    </w:rPr>
                    <w:t>Conozca el informe del interventor o el supervisor aquí</w:t>
                  </w:r>
                </w:p>
              </w:tc>
            </w:tr>
            <w:tr w:rsidR="0043013D" w:rsidRPr="008F2A3F" w:rsidTr="00755994">
              <w:trPr>
                <w:trHeight w:val="400"/>
              </w:trPr>
              <w:tc>
                <w:tcPr>
                  <w:tcW w:w="2160" w:type="dxa"/>
                  <w:shd w:val="clear" w:color="auto" w:fill="auto"/>
                </w:tcPr>
                <w:p w:rsidR="00FD196C" w:rsidRPr="008F2A3F" w:rsidRDefault="008C02BB" w:rsidP="00FD196C">
                  <w:pPr>
                    <w:spacing w:line="252" w:lineRule="auto"/>
                  </w:pPr>
                  <w:r w:rsidRPr="008F2A3F">
                    <w:t>2</w:t>
                  </w:r>
                  <w:r w:rsidR="00FD196C" w:rsidRPr="008F2A3F">
                    <w:t xml:space="preserve"> Profesionales para el área de pagaduría</w:t>
                  </w:r>
                </w:p>
                <w:p w:rsidR="0043013D" w:rsidRPr="008F2A3F" w:rsidRDefault="00FD196C" w:rsidP="00FD196C">
                  <w:pPr>
                    <w:spacing w:line="252" w:lineRule="auto"/>
                    <w:rPr>
                      <w:i/>
                      <w:sz w:val="24"/>
                      <w:szCs w:val="24"/>
                    </w:rPr>
                  </w:pPr>
                  <w:r w:rsidRPr="008F2A3F">
                    <w:t>CD-ARN-1066-2018 Convenio Fiducia ARN y Fondo Colombia en PAZ</w:t>
                  </w:r>
                </w:p>
              </w:tc>
              <w:tc>
                <w:tcPr>
                  <w:tcW w:w="7444" w:type="dxa"/>
                  <w:shd w:val="clear" w:color="auto" w:fill="auto"/>
                </w:tcPr>
                <w:p w:rsidR="008C02BB" w:rsidRPr="008F2A3F" w:rsidRDefault="009B7621" w:rsidP="008C02BB">
                  <w:pPr>
                    <w:spacing w:after="0" w:line="240" w:lineRule="auto"/>
                    <w:jc w:val="both"/>
                    <w:rPr>
                      <w:sz w:val="24"/>
                      <w:szCs w:val="24"/>
                      <w:u w:val="single"/>
                    </w:rPr>
                  </w:pPr>
                  <w:hyperlink r:id="rId54" w:history="1">
                    <w:r w:rsidR="00B94748" w:rsidRPr="00B94748">
                      <w:rPr>
                        <w:rStyle w:val="Hipervnculo"/>
                        <w:szCs w:val="24"/>
                      </w:rPr>
                      <w:t>https://www.contratos.gov.co/consultas/inicioConsulta.do</w:t>
                    </w:r>
                  </w:hyperlink>
                  <w:r w:rsidR="00B94748" w:rsidRPr="00B94748">
                    <w:rPr>
                      <w:szCs w:val="24"/>
                      <w:u w:val="single"/>
                    </w:rPr>
                    <w:t xml:space="preserve"> </w:t>
                  </w:r>
                </w:p>
                <w:p w:rsidR="0043013D" w:rsidRPr="008F2A3F" w:rsidRDefault="0043013D" w:rsidP="00E73961"/>
                <w:p w:rsidR="008C02BB" w:rsidRPr="008F2A3F" w:rsidRDefault="009B7621" w:rsidP="00B94748">
                  <w:hyperlink r:id="rId55" w:history="1">
                    <w:r w:rsidR="00B94748" w:rsidRPr="00693E84">
                      <w:rPr>
                        <w:rStyle w:val="Hipervnculo"/>
                      </w:rPr>
                      <w:t>https://www.contratos.gov.co/consultas/detalleProceso.do?numConstancia=18-12-7733056</w:t>
                    </w:r>
                  </w:hyperlink>
                  <w:r w:rsidR="00B94748">
                    <w:rPr>
                      <w:rStyle w:val="Hipervnculo"/>
                      <w:color w:val="auto"/>
                    </w:rPr>
                    <w:t xml:space="preserve"> </w:t>
                  </w:r>
                </w:p>
              </w:tc>
            </w:tr>
          </w:tbl>
          <w:p w:rsidR="0043013D" w:rsidRPr="008F2A3F" w:rsidRDefault="0043013D" w:rsidP="00E73961">
            <w:pPr>
              <w:spacing w:after="0" w:line="240" w:lineRule="auto"/>
              <w:jc w:val="both"/>
              <w:rPr>
                <w:i/>
                <w:sz w:val="24"/>
                <w:szCs w:val="24"/>
              </w:rPr>
            </w:pPr>
          </w:p>
        </w:tc>
      </w:tr>
      <w:tr w:rsidR="00307ADC" w:rsidRPr="008F2A3F" w:rsidTr="00755994">
        <w:trPr>
          <w:trHeight w:val="1420"/>
        </w:trPr>
        <w:tc>
          <w:tcPr>
            <w:tcW w:w="9356" w:type="dxa"/>
            <w:shd w:val="clear" w:color="auto" w:fill="F2F2F2"/>
          </w:tcPr>
          <w:p w:rsidR="0043013D" w:rsidRPr="00307ADC" w:rsidRDefault="0043013D" w:rsidP="00E73961">
            <w:pPr>
              <w:spacing w:after="0" w:line="240" w:lineRule="auto"/>
              <w:rPr>
                <w:color w:val="3366CC"/>
                <w:sz w:val="32"/>
                <w:szCs w:val="32"/>
                <w:u w:val="single"/>
              </w:rPr>
            </w:pPr>
            <w:r w:rsidRPr="00307ADC">
              <w:rPr>
                <w:color w:val="3366CC"/>
                <w:sz w:val="32"/>
                <w:szCs w:val="32"/>
                <w:u w:val="single"/>
              </w:rPr>
              <w:t>¿En qué territorios se desarrolló la acción?</w:t>
            </w:r>
            <w:r w:rsidRPr="00307ADC">
              <w:rPr>
                <w:noProof/>
                <w:color w:val="3366CC"/>
                <w:sz w:val="32"/>
                <w:szCs w:val="32"/>
                <w:u w:val="single"/>
                <w:lang w:val="es-419" w:eastAsia="es-419"/>
              </w:rPr>
              <w:drawing>
                <wp:anchor distT="0" distB="0" distL="114300" distR="114300" simplePos="0" relativeHeight="251717120" behindDoc="0" locked="0" layoutInCell="1" hidden="0" allowOverlap="1" wp14:anchorId="370B2DF2" wp14:editId="42EE7495">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FD196C" w:rsidP="00293FFC">
            <w:pPr>
              <w:spacing w:after="0" w:line="240" w:lineRule="auto"/>
              <w:jc w:val="both"/>
              <w:rPr>
                <w:i/>
                <w:sz w:val="24"/>
                <w:szCs w:val="24"/>
              </w:rPr>
            </w:pPr>
            <w:r w:rsidRPr="008F2A3F">
              <w:t>Las acciones durante el 2019 se han desarrollado en los 24 Espacios de Capacitación y Reincorporación donde se encuentran ubicados los ex integrantes - FARC, así como en cualquier parte del país donde se encuentre ubicada la población beneficiaria.</w:t>
            </w:r>
          </w:p>
        </w:tc>
      </w:tr>
    </w:tbl>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43013D" w:rsidRPr="008F2A3F" w:rsidRDefault="0043013D" w:rsidP="0043013D">
      <w:pPr>
        <w:spacing w:line="240" w:lineRule="auto"/>
        <w:ind w:left="108"/>
        <w:rPr>
          <w:sz w:val="32"/>
          <w:szCs w:val="32"/>
          <w:u w:val="single"/>
        </w:rPr>
      </w:pPr>
      <w:r w:rsidRPr="008F2A3F">
        <w:rPr>
          <w:i/>
          <w:sz w:val="28"/>
          <w:szCs w:val="28"/>
        </w:rPr>
        <w:lastRenderedPageBreak/>
        <w:t xml:space="preserve">Acción </w:t>
      </w:r>
      <w:r w:rsidR="001917F8" w:rsidRPr="008F2A3F">
        <w:rPr>
          <w:i/>
          <w:sz w:val="28"/>
          <w:szCs w:val="28"/>
        </w:rPr>
        <w:t>5</w:t>
      </w:r>
      <w:r w:rsidRPr="008F2A3F">
        <w:rPr>
          <w:i/>
          <w:sz w:val="28"/>
          <w:szCs w:val="28"/>
        </w:rPr>
        <w:t>.</w:t>
      </w:r>
      <w:r w:rsidRPr="008F2A3F">
        <w:rPr>
          <w:b/>
          <w:sz w:val="36"/>
          <w:szCs w:val="36"/>
        </w:rPr>
        <w:t xml:space="preserve"> </w:t>
      </w:r>
      <w:r w:rsidRPr="008F2A3F">
        <w:rPr>
          <w:b/>
          <w:sz w:val="36"/>
          <w:szCs w:val="36"/>
        </w:rPr>
        <w:br/>
      </w:r>
      <w:r w:rsidRPr="008F2A3F">
        <w:rPr>
          <w:rFonts w:cs="Arial"/>
          <w:b/>
          <w:sz w:val="40"/>
          <w:szCs w:val="36"/>
        </w:rPr>
        <w:t xml:space="preserve">Acciones con pueblos indígenas </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r w:rsidRPr="008F2A3F">
              <w:rPr>
                <w:b/>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sz w:val="24"/>
                <w:szCs w:val="24"/>
              </w:rPr>
            </w:pPr>
            <w:r w:rsidRPr="008F2A3F">
              <w:rPr>
                <w:rFonts w:cs="Arial"/>
                <w:sz w:val="24"/>
                <w:szCs w:val="24"/>
                <w:lang w:val="es-ES"/>
              </w:rPr>
              <w:t>En el Marco del Fin del Conflicto asociado a punto 6: a) Mujeres excombatientes pertenecientes a pueblos étnicos beneficiarias del programa especial de armonización para la  reintegración y la reincorporación, b) Programa especial de armonización para la reintegración y reincorporación social y económica con enfoque diferencial étnico y de género concertado, diseñado e implementado.</w:t>
            </w:r>
          </w:p>
        </w:tc>
      </w:tr>
    </w:tbl>
    <w:p w:rsidR="0043013D" w:rsidRPr="008F2A3F" w:rsidRDefault="0043013D" w:rsidP="0043013D">
      <w:pPr>
        <w:spacing w:line="240" w:lineRule="auto"/>
        <w:jc w:val="both"/>
        <w:rPr>
          <w:sz w:val="32"/>
          <w:szCs w:val="32"/>
          <w:u w:val="single"/>
        </w:rPr>
      </w:pPr>
    </w:p>
    <w:p w:rsidR="0043013D" w:rsidRPr="00307ADC" w:rsidRDefault="0043013D" w:rsidP="0043013D">
      <w:pPr>
        <w:spacing w:line="240" w:lineRule="auto"/>
        <w:jc w:val="both"/>
        <w:rPr>
          <w:color w:val="3366CC"/>
          <w:sz w:val="32"/>
          <w:szCs w:val="32"/>
          <w:u w:val="single"/>
        </w:rPr>
      </w:pPr>
      <w:r w:rsidRPr="008F2A3F">
        <w:rPr>
          <w:sz w:val="24"/>
          <w:szCs w:val="24"/>
        </w:rPr>
        <w:t>Para dar cumplimiento a los compromisos acá relacionados, esta entidad tiene a cargo los siguientes productos del Plan Marco de Implementación.</w:t>
      </w:r>
    </w:p>
    <w:p w:rsidR="0043013D" w:rsidRPr="00307ADC" w:rsidRDefault="0043013D" w:rsidP="0043013D">
      <w:pPr>
        <w:spacing w:line="240" w:lineRule="auto"/>
        <w:jc w:val="both"/>
        <w:rPr>
          <w:color w:val="3366CC"/>
          <w:sz w:val="32"/>
          <w:szCs w:val="32"/>
          <w:u w:val="single"/>
        </w:rPr>
      </w:pPr>
      <w:r w:rsidRPr="00307ADC">
        <w:rPr>
          <w:color w:val="3366CC"/>
          <w:sz w:val="32"/>
          <w:szCs w:val="32"/>
          <w:u w:val="single"/>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3013D" w:rsidRPr="008F2A3F" w:rsidTr="005F3776">
        <w:trPr>
          <w:trHeight w:val="400"/>
          <w:tblHeader/>
        </w:trPr>
        <w:tc>
          <w:tcPr>
            <w:tcW w:w="1510"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196"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1097"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99"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98"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w:t>
            </w:r>
          </w:p>
          <w:p w:rsidR="0043013D" w:rsidRPr="008F2A3F" w:rsidRDefault="0043013D" w:rsidP="00E73961">
            <w:pPr>
              <w:spacing w:after="0" w:line="240" w:lineRule="auto"/>
              <w:rPr>
                <w:rFonts w:cs="Arial"/>
                <w:lang w:val="es-ES_tradnl"/>
              </w:rPr>
            </w:pPr>
            <w:r w:rsidRPr="008F2A3F">
              <w:rPr>
                <w:rFonts w:cs="Arial"/>
                <w:lang w:val="es-ES_tradnl"/>
              </w:rPr>
              <w:t>social y económica con base en</w:t>
            </w:r>
          </w:p>
          <w:p w:rsidR="0043013D" w:rsidRPr="008F2A3F" w:rsidRDefault="0043013D" w:rsidP="00E73961">
            <w:pPr>
              <w:spacing w:after="0" w:line="240" w:lineRule="auto"/>
              <w:rPr>
                <w:highlight w:val="yellow"/>
              </w:rPr>
            </w:pPr>
            <w:r w:rsidRPr="008F2A3F">
              <w:rPr>
                <w:rFonts w:cs="Arial"/>
                <w:lang w:val="es-ES_tradnl"/>
              </w:rPr>
              <w:t>el censo socioeconómico</w:t>
            </w:r>
          </w:p>
        </w:tc>
        <w:tc>
          <w:tcPr>
            <w:tcW w:w="1196" w:type="pct"/>
            <w:shd w:val="clear" w:color="auto" w:fill="E8E8E8"/>
          </w:tcPr>
          <w:p w:rsidR="0043013D" w:rsidRPr="008F2A3F" w:rsidRDefault="0043013D" w:rsidP="00E73961">
            <w:pPr>
              <w:spacing w:after="0" w:line="240" w:lineRule="auto"/>
            </w:pPr>
            <w:r w:rsidRPr="008F2A3F">
              <w:rPr>
                <w:rFonts w:cs="Arial"/>
                <w:lang w:val="es-ES_tradnl"/>
              </w:rPr>
              <w:t>Programa especial de armonización para la reintegración y reincorporación social y económica con enfoque diferencial étnico y de género concertado, diseñado e implementado</w:t>
            </w:r>
          </w:p>
        </w:tc>
        <w:tc>
          <w:tcPr>
            <w:tcW w:w="1097"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2018</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w:t>
            </w:r>
          </w:p>
          <w:p w:rsidR="0043013D" w:rsidRPr="008F2A3F" w:rsidRDefault="0043013D" w:rsidP="00E73961">
            <w:pPr>
              <w:spacing w:after="0" w:line="240" w:lineRule="auto"/>
              <w:rPr>
                <w:rFonts w:cs="Arial"/>
                <w:lang w:val="es-ES_tradnl"/>
              </w:rPr>
            </w:pPr>
            <w:r w:rsidRPr="008F2A3F">
              <w:rPr>
                <w:rFonts w:cs="Arial"/>
                <w:lang w:val="es-ES_tradnl"/>
              </w:rPr>
              <w:t>social y económica con base en</w:t>
            </w:r>
          </w:p>
          <w:p w:rsidR="0043013D" w:rsidRPr="008F2A3F" w:rsidRDefault="0043013D" w:rsidP="00E73961">
            <w:pPr>
              <w:spacing w:after="0" w:line="240" w:lineRule="auto"/>
              <w:rPr>
                <w:rFonts w:cs="Arial"/>
                <w:lang w:val="es-ES_tradnl"/>
              </w:rPr>
            </w:pPr>
            <w:r w:rsidRPr="008F2A3F">
              <w:rPr>
                <w:rFonts w:cs="Arial"/>
                <w:lang w:val="es-ES_tradnl"/>
              </w:rPr>
              <w:t>el censo socioeconómico</w:t>
            </w:r>
          </w:p>
        </w:tc>
        <w:tc>
          <w:tcPr>
            <w:tcW w:w="1196"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Mujeres excombatientes pertenecientes a pueblos étnicos beneficiarias del programa especial de armonización para la  reintegración y la reincorporación</w:t>
            </w:r>
          </w:p>
        </w:tc>
        <w:tc>
          <w:tcPr>
            <w:tcW w:w="1097"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2018</w:t>
            </w:r>
          </w:p>
        </w:tc>
        <w:tc>
          <w:tcPr>
            <w:tcW w:w="598" w:type="pct"/>
            <w:shd w:val="clear" w:color="auto" w:fill="E8E8E8"/>
          </w:tcPr>
          <w:p w:rsidR="0043013D" w:rsidRPr="008F2A3F" w:rsidRDefault="0043013D" w:rsidP="00E73961">
            <w:pPr>
              <w:spacing w:after="0" w:line="240" w:lineRule="auto"/>
            </w:pPr>
            <w:r w:rsidRPr="008F2A3F">
              <w:t>2019</w:t>
            </w:r>
          </w:p>
        </w:tc>
      </w:tr>
      <w:tr w:rsidR="0043013D" w:rsidRPr="008F2A3F" w:rsidTr="00E73961">
        <w:trPr>
          <w:trHeight w:val="400"/>
        </w:trPr>
        <w:tc>
          <w:tcPr>
            <w:tcW w:w="1510" w:type="pct"/>
            <w:tcBorders>
              <w:left w:val="nil"/>
              <w:right w:val="nil"/>
            </w:tcBorders>
            <w:shd w:val="clear" w:color="auto" w:fill="auto"/>
          </w:tcPr>
          <w:p w:rsidR="0043013D" w:rsidRPr="008F2A3F" w:rsidRDefault="0043013D" w:rsidP="00E73961">
            <w:pPr>
              <w:spacing w:after="0" w:line="240" w:lineRule="auto"/>
            </w:pPr>
          </w:p>
        </w:tc>
        <w:tc>
          <w:tcPr>
            <w:tcW w:w="1196" w:type="pct"/>
            <w:tcBorders>
              <w:left w:val="nil"/>
              <w:right w:val="nil"/>
            </w:tcBorders>
          </w:tcPr>
          <w:p w:rsidR="0043013D" w:rsidRPr="008F2A3F" w:rsidRDefault="0043013D" w:rsidP="00E73961">
            <w:pPr>
              <w:spacing w:after="0" w:line="240" w:lineRule="auto"/>
            </w:pPr>
          </w:p>
        </w:tc>
        <w:tc>
          <w:tcPr>
            <w:tcW w:w="1097" w:type="pct"/>
            <w:tcBorders>
              <w:left w:val="nil"/>
              <w:right w:val="nil"/>
            </w:tcBorders>
          </w:tcPr>
          <w:p w:rsidR="0043013D" w:rsidRPr="008F2A3F" w:rsidRDefault="0043013D" w:rsidP="00E73961">
            <w:pPr>
              <w:spacing w:after="0" w:line="240" w:lineRule="auto"/>
            </w:pPr>
          </w:p>
        </w:tc>
        <w:tc>
          <w:tcPr>
            <w:tcW w:w="599" w:type="pct"/>
            <w:tcBorders>
              <w:left w:val="nil"/>
              <w:right w:val="nil"/>
            </w:tcBorders>
          </w:tcPr>
          <w:p w:rsidR="0043013D" w:rsidRPr="008F2A3F" w:rsidRDefault="0043013D" w:rsidP="00E73961">
            <w:pPr>
              <w:spacing w:after="0" w:line="240" w:lineRule="auto"/>
            </w:pPr>
          </w:p>
        </w:tc>
        <w:tc>
          <w:tcPr>
            <w:tcW w:w="598" w:type="pct"/>
            <w:tcBorders>
              <w:left w:val="nil"/>
              <w:right w:val="nil"/>
            </w:tcBorders>
          </w:tcPr>
          <w:p w:rsidR="0043013D" w:rsidRPr="008F2A3F" w:rsidRDefault="0043013D" w:rsidP="00E73961">
            <w:pPr>
              <w:spacing w:after="0" w:line="240" w:lineRule="auto"/>
            </w:pPr>
          </w:p>
        </w:tc>
      </w:tr>
    </w:tbl>
    <w:p w:rsidR="0043013D" w:rsidRDefault="0043013D" w:rsidP="0043013D">
      <w:pPr>
        <w:spacing w:line="240" w:lineRule="auto"/>
        <w:jc w:val="both"/>
        <w:rPr>
          <w:color w:val="3366CC"/>
          <w:sz w:val="32"/>
          <w:szCs w:val="32"/>
          <w:u w:val="single"/>
        </w:rPr>
      </w:pPr>
    </w:p>
    <w:p w:rsidR="00307ADC" w:rsidRDefault="00307ADC" w:rsidP="0043013D">
      <w:pPr>
        <w:spacing w:line="240" w:lineRule="auto"/>
        <w:jc w:val="both"/>
        <w:rPr>
          <w:color w:val="3366CC"/>
          <w:sz w:val="32"/>
          <w:szCs w:val="32"/>
          <w:u w:val="single"/>
        </w:rPr>
      </w:pPr>
    </w:p>
    <w:p w:rsidR="00307ADC" w:rsidRDefault="00307ADC" w:rsidP="0043013D">
      <w:pPr>
        <w:spacing w:line="240" w:lineRule="auto"/>
        <w:jc w:val="both"/>
        <w:rPr>
          <w:color w:val="3366CC"/>
          <w:sz w:val="32"/>
          <w:szCs w:val="32"/>
          <w:u w:val="single"/>
        </w:rPr>
      </w:pPr>
    </w:p>
    <w:p w:rsidR="00307ADC" w:rsidRPr="00307ADC" w:rsidRDefault="00307ADC" w:rsidP="0043013D">
      <w:pPr>
        <w:spacing w:line="240" w:lineRule="auto"/>
        <w:jc w:val="both"/>
        <w:rPr>
          <w:color w:val="3366CC"/>
          <w:sz w:val="32"/>
          <w:szCs w:val="32"/>
          <w:u w:val="single"/>
        </w:rPr>
      </w:pPr>
    </w:p>
    <w:p w:rsidR="0043013D" w:rsidRPr="00307ADC" w:rsidRDefault="0043013D" w:rsidP="0043013D">
      <w:pPr>
        <w:spacing w:line="240" w:lineRule="auto"/>
        <w:jc w:val="both"/>
        <w:rPr>
          <w:color w:val="3366CC"/>
          <w:sz w:val="32"/>
          <w:szCs w:val="32"/>
          <w:u w:val="single"/>
        </w:rPr>
      </w:pPr>
      <w:r w:rsidRPr="00307ADC">
        <w:rPr>
          <w:color w:val="3366CC"/>
          <w:sz w:val="32"/>
          <w:szCs w:val="32"/>
          <w:u w:val="single"/>
        </w:rPr>
        <w:lastRenderedPageBreak/>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3013D" w:rsidRPr="008F2A3F" w:rsidTr="00E73961">
        <w:trPr>
          <w:trHeight w:val="380"/>
        </w:trPr>
        <w:tc>
          <w:tcPr>
            <w:tcW w:w="2411"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E1433A" w:rsidRPr="008F2A3F" w:rsidTr="00E73961">
        <w:trPr>
          <w:trHeight w:val="380"/>
        </w:trPr>
        <w:tc>
          <w:tcPr>
            <w:tcW w:w="2411" w:type="dxa"/>
            <w:tcBorders>
              <w:right w:val="nil"/>
            </w:tcBorders>
            <w:shd w:val="clear" w:color="auto" w:fill="auto"/>
          </w:tcPr>
          <w:p w:rsidR="0043013D" w:rsidRPr="008F2A3F" w:rsidRDefault="0043013D" w:rsidP="00E73961">
            <w:pPr>
              <w:spacing w:after="0" w:line="240" w:lineRule="auto"/>
              <w:rPr>
                <w:b/>
              </w:rPr>
            </w:pPr>
            <w:r w:rsidRPr="008F2A3F">
              <w:rPr>
                <w:b/>
              </w:rPr>
              <w:t>2019</w:t>
            </w:r>
          </w:p>
        </w:tc>
        <w:tc>
          <w:tcPr>
            <w:tcW w:w="6661" w:type="dxa"/>
            <w:tcBorders>
              <w:left w:val="nil"/>
              <w:right w:val="nil"/>
            </w:tcBorders>
            <w:shd w:val="clear" w:color="auto" w:fill="auto"/>
          </w:tcPr>
          <w:p w:rsidR="0043013D" w:rsidRPr="008F2A3F" w:rsidRDefault="0043013D" w:rsidP="00E1433A">
            <w:pPr>
              <w:spacing w:after="0" w:line="240" w:lineRule="auto"/>
            </w:pPr>
            <w:r w:rsidRPr="008F2A3F">
              <w:rPr>
                <w:rFonts w:cs="Arial"/>
                <w:sz w:val="24"/>
                <w:lang w:val="es-ES_tradnl"/>
              </w:rPr>
              <w:t>1.</w:t>
            </w:r>
            <w:r w:rsidRPr="008F2A3F">
              <w:rPr>
                <w:rFonts w:asciiTheme="minorHAnsi" w:hAnsiTheme="minorHAnsi" w:cstheme="minorHAnsi"/>
                <w:lang w:eastAsia="es-ES"/>
              </w:rPr>
              <w:t xml:space="preserve"> Fortalecer la reincorporación</w:t>
            </w:r>
            <w:r w:rsidR="00AA6BA1" w:rsidRPr="008F2A3F">
              <w:rPr>
                <w:rFonts w:asciiTheme="minorHAnsi" w:hAnsiTheme="minorHAnsi" w:cstheme="minorHAnsi"/>
                <w:lang w:eastAsia="es-ES"/>
              </w:rPr>
              <w:t xml:space="preserve"> </w:t>
            </w:r>
            <w:r w:rsidRPr="008F2A3F">
              <w:rPr>
                <w:rFonts w:asciiTheme="minorHAnsi" w:hAnsiTheme="minorHAnsi" w:cstheme="minorHAnsi"/>
                <w:lang w:eastAsia="es-ES"/>
              </w:rPr>
              <w:t>e</w:t>
            </w:r>
            <w:r w:rsidR="00E1433A">
              <w:rPr>
                <w:rFonts w:asciiTheme="minorHAnsi" w:hAnsiTheme="minorHAnsi" w:cstheme="minorHAnsi"/>
                <w:lang w:eastAsia="es-ES"/>
              </w:rPr>
              <w:t>n</w:t>
            </w:r>
            <w:r w:rsidRPr="008F2A3F">
              <w:rPr>
                <w:rFonts w:asciiTheme="minorHAnsi" w:hAnsiTheme="minorHAnsi" w:cstheme="minorHAnsi"/>
                <w:lang w:eastAsia="es-ES"/>
              </w:rPr>
              <w:t xml:space="preserve"> la población</w:t>
            </w:r>
            <w:r w:rsidR="00AA6BA1" w:rsidRPr="008F2A3F">
              <w:rPr>
                <w:rFonts w:asciiTheme="minorHAnsi" w:hAnsiTheme="minorHAnsi" w:cstheme="minorHAnsi"/>
                <w:lang w:eastAsia="es-ES"/>
              </w:rPr>
              <w:t xml:space="preserve"> ex integrante de las FARC-EP</w:t>
            </w:r>
            <w:r w:rsidRPr="008F2A3F">
              <w:rPr>
                <w:rFonts w:asciiTheme="minorHAnsi" w:hAnsiTheme="minorHAnsi" w:cstheme="minorHAnsi"/>
                <w:lang w:eastAsia="es-ES"/>
              </w:rPr>
              <w:t xml:space="preserve"> </w:t>
            </w:r>
            <w:r w:rsidR="00AA6BA1" w:rsidRPr="008F2A3F">
              <w:rPr>
                <w:rFonts w:asciiTheme="minorHAnsi" w:hAnsiTheme="minorHAnsi" w:cstheme="minorHAnsi"/>
                <w:lang w:eastAsia="es-ES"/>
              </w:rPr>
              <w:t xml:space="preserve"> con pertenencia étnica y desde un enfoque de </w:t>
            </w:r>
            <w:r w:rsidR="00E1433A" w:rsidRPr="008F2A3F">
              <w:rPr>
                <w:rFonts w:asciiTheme="minorHAnsi" w:hAnsiTheme="minorHAnsi" w:cstheme="minorHAnsi"/>
                <w:lang w:eastAsia="es-ES"/>
              </w:rPr>
              <w:t>género</w:t>
            </w:r>
            <w:r w:rsidR="00AA6BA1" w:rsidRPr="008F2A3F">
              <w:rPr>
                <w:rFonts w:asciiTheme="minorHAnsi" w:hAnsiTheme="minorHAnsi" w:cstheme="minorHAnsi"/>
                <w:lang w:eastAsia="es-ES"/>
              </w:rPr>
              <w:t xml:space="preserve">  acorde a</w:t>
            </w:r>
            <w:r w:rsidRPr="008F2A3F">
              <w:rPr>
                <w:rFonts w:asciiTheme="minorHAnsi" w:hAnsiTheme="minorHAnsi" w:cstheme="minorHAnsi"/>
                <w:lang w:eastAsia="es-ES"/>
              </w:rPr>
              <w:t xml:space="preserve"> sus contextos sociales y económicos</w:t>
            </w:r>
            <w:r w:rsidR="00AA6BA1" w:rsidRPr="008F2A3F">
              <w:rPr>
                <w:rFonts w:asciiTheme="minorHAnsi" w:hAnsiTheme="minorHAnsi" w:cstheme="minorHAnsi"/>
                <w:lang w:eastAsia="es-ES"/>
              </w:rPr>
              <w:t xml:space="preserve"> </w:t>
            </w:r>
            <w:r w:rsidRPr="008F2A3F">
              <w:rPr>
                <w:rFonts w:asciiTheme="minorHAnsi" w:hAnsiTheme="minorHAnsi" w:cstheme="minorHAnsi"/>
                <w:lang w:eastAsia="es-ES"/>
              </w:rPr>
              <w:t>.</w:t>
            </w:r>
          </w:p>
        </w:tc>
      </w:tr>
    </w:tbl>
    <w:p w:rsidR="0043013D" w:rsidRPr="008F2A3F" w:rsidRDefault="0043013D" w:rsidP="0043013D">
      <w:pPr>
        <w:spacing w:line="240" w:lineRule="auto"/>
        <w:jc w:val="both"/>
        <w:rPr>
          <w:sz w:val="32"/>
          <w:szCs w:val="32"/>
          <w:u w:val="single"/>
        </w:rPr>
      </w:pPr>
    </w:p>
    <w:tbl>
      <w:tblPr>
        <w:tblW w:w="9356" w:type="dxa"/>
        <w:tblInd w:w="-6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43013D" w:rsidRPr="008F2A3F" w:rsidTr="00755994">
        <w:tc>
          <w:tcPr>
            <w:tcW w:w="9356" w:type="dxa"/>
            <w:shd w:val="clear" w:color="auto" w:fill="F2F2F2"/>
          </w:tcPr>
          <w:p w:rsidR="0043013D" w:rsidRPr="00307ADC" w:rsidRDefault="0043013D" w:rsidP="00E73961">
            <w:pPr>
              <w:spacing w:after="0" w:line="240" w:lineRule="auto"/>
              <w:ind w:left="-282" w:right="529" w:firstLine="282"/>
              <w:jc w:val="both"/>
              <w:rPr>
                <w:color w:val="3366CC"/>
                <w:sz w:val="32"/>
                <w:szCs w:val="32"/>
                <w:u w:val="single"/>
              </w:rPr>
            </w:pPr>
            <w:r w:rsidRPr="00307ADC">
              <w:rPr>
                <w:color w:val="3366CC"/>
                <w:sz w:val="32"/>
                <w:szCs w:val="32"/>
                <w:u w:val="single"/>
              </w:rPr>
              <w:t>¿Cómo se hizo?</w:t>
            </w:r>
            <w:r w:rsidRPr="00307ADC">
              <w:rPr>
                <w:noProof/>
                <w:color w:val="3366CC"/>
                <w:sz w:val="32"/>
                <w:szCs w:val="32"/>
                <w:u w:val="single"/>
                <w:lang w:val="es-419" w:eastAsia="es-419"/>
              </w:rPr>
              <w:drawing>
                <wp:anchor distT="0" distB="0" distL="114300" distR="114300" simplePos="0" relativeHeight="251709952" behindDoc="0" locked="0" layoutInCell="1" hidden="0" allowOverlap="1" wp14:anchorId="50FB568A" wp14:editId="5533C0E0">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6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43013D" w:rsidRPr="008F2A3F" w:rsidRDefault="0043013D" w:rsidP="00B92577">
            <w:pPr>
              <w:tabs>
                <w:tab w:val="right" w:pos="8776"/>
              </w:tabs>
              <w:spacing w:after="0" w:line="240" w:lineRule="auto"/>
              <w:jc w:val="both"/>
              <w:rPr>
                <w:i/>
              </w:rPr>
            </w:pPr>
            <w:r w:rsidRPr="008F2A3F">
              <w:rPr>
                <w:i/>
              </w:rPr>
              <w:t>2019</w:t>
            </w:r>
            <w:r w:rsidR="00B92577" w:rsidRPr="008F2A3F">
              <w:rPr>
                <w:i/>
              </w:rPr>
              <w:tab/>
            </w:r>
          </w:p>
          <w:p w:rsidR="0043013D" w:rsidRPr="008F2A3F" w:rsidRDefault="0043013D" w:rsidP="0043013D">
            <w:pPr>
              <w:jc w:val="both"/>
              <w:rPr>
                <w:rFonts w:asciiTheme="minorHAnsi" w:hAnsiTheme="minorHAnsi" w:cstheme="minorHAnsi"/>
              </w:rPr>
            </w:pPr>
            <w:r w:rsidRPr="008F2A3F">
              <w:rPr>
                <w:rFonts w:asciiTheme="minorHAnsi" w:hAnsiTheme="minorHAnsi" w:cstheme="minorHAnsi"/>
              </w:rPr>
              <w:t xml:space="preserve">El "Programa especial de armonización para la reintegración y reincorporación social y económica con enfoque diferencial étnico y de género" para la vigencia estuvo en fase de diagnóstico y se trabajó en la identificación de productos y/o </w:t>
            </w:r>
            <w:r w:rsidRPr="008F2A3F">
              <w:rPr>
                <w:rFonts w:asciiTheme="minorHAnsi" w:hAnsiTheme="minorHAnsi" w:cstheme="minorHAnsi"/>
                <w:b/>
                <w:i/>
              </w:rPr>
              <w:t xml:space="preserve">Servicios de acompañamiento a la población beneficiaria de la reincorporación, </w:t>
            </w:r>
            <w:r w:rsidRPr="008F2A3F">
              <w:rPr>
                <w:rFonts w:asciiTheme="minorHAnsi" w:hAnsiTheme="minorHAnsi" w:cstheme="minorHAnsi"/>
              </w:rPr>
              <w:t>acciones requeridas para el diseño, concertación e implementación del documento normativo de adopción y reglamentación.</w:t>
            </w:r>
          </w:p>
          <w:p w:rsidR="0043013D" w:rsidRPr="008F2A3F" w:rsidRDefault="0043013D" w:rsidP="0043013D">
            <w:pPr>
              <w:spacing w:after="0" w:line="240" w:lineRule="auto"/>
              <w:jc w:val="both"/>
              <w:rPr>
                <w:rFonts w:asciiTheme="minorHAnsi" w:eastAsia="Bookman Old Style" w:hAnsiTheme="minorHAnsi" w:cstheme="minorHAnsi"/>
              </w:rPr>
            </w:pPr>
            <w:r w:rsidRPr="008F2A3F">
              <w:rPr>
                <w:rFonts w:asciiTheme="minorHAnsi" w:eastAsia="Bookman Old Style" w:hAnsiTheme="minorHAnsi" w:cstheme="minorHAnsi"/>
              </w:rPr>
              <w:t>Para el desarrollo de las acciones de atención a exintegrantes FARC-EP y con el propósito recolectar insumos que permitieran continuar avanzando en la formulación del Programa Especial de Armonización, se desarrollaron las siguientes actividades:</w:t>
            </w:r>
          </w:p>
          <w:p w:rsidR="0043013D" w:rsidRPr="008F2A3F" w:rsidRDefault="0043013D" w:rsidP="0043013D">
            <w:pPr>
              <w:spacing w:after="0" w:line="240" w:lineRule="auto"/>
              <w:jc w:val="both"/>
              <w:rPr>
                <w:rFonts w:asciiTheme="minorHAnsi" w:eastAsia="Bookman Old Style" w:hAnsiTheme="minorHAnsi" w:cstheme="minorHAnsi"/>
              </w:rPr>
            </w:pPr>
          </w:p>
          <w:p w:rsidR="0043013D" w:rsidRPr="008F2A3F" w:rsidRDefault="0043013D" w:rsidP="005B6819">
            <w:pPr>
              <w:pStyle w:val="Prrafodelista"/>
              <w:numPr>
                <w:ilvl w:val="0"/>
                <w:numId w:val="11"/>
              </w:numPr>
              <w:autoSpaceDE w:val="0"/>
              <w:autoSpaceDN w:val="0"/>
              <w:spacing w:after="0" w:line="240" w:lineRule="auto"/>
              <w:jc w:val="both"/>
              <w:rPr>
                <w:rFonts w:asciiTheme="minorHAnsi" w:eastAsia="Bookman Old Style" w:hAnsiTheme="minorHAnsi" w:cstheme="minorHAnsi"/>
              </w:rPr>
            </w:pPr>
            <w:r w:rsidRPr="008F2A3F">
              <w:rPr>
                <w:rFonts w:asciiTheme="minorHAnsi" w:eastAsia="Bookman Old Style" w:hAnsiTheme="minorHAnsi" w:cstheme="minorHAnsi"/>
                <w:b/>
              </w:rPr>
              <w:t xml:space="preserve">Encuentros Previos con la </w:t>
            </w:r>
            <w:r w:rsidRPr="008F2A3F">
              <w:rPr>
                <w:rFonts w:asciiTheme="minorHAnsi" w:hAnsiTheme="minorHAnsi" w:cstheme="minorHAnsi"/>
                <w:b/>
                <w:i/>
              </w:rPr>
              <w:t>Instancia Especial de Alto Nivel de Pueblos y Comunidades Étnicas –IEANPE</w:t>
            </w:r>
            <w:r w:rsidRPr="008F2A3F">
              <w:rPr>
                <w:rFonts w:asciiTheme="minorHAnsi" w:hAnsiTheme="minorHAnsi" w:cstheme="minorHAnsi"/>
                <w:i/>
              </w:rPr>
              <w:t>-.</w:t>
            </w:r>
          </w:p>
          <w:p w:rsidR="0043013D" w:rsidRPr="008F2A3F" w:rsidRDefault="0043013D" w:rsidP="005B6819">
            <w:pPr>
              <w:pStyle w:val="Prrafodelista"/>
              <w:numPr>
                <w:ilvl w:val="0"/>
                <w:numId w:val="12"/>
              </w:numPr>
              <w:spacing w:after="0" w:line="240" w:lineRule="auto"/>
              <w:jc w:val="both"/>
              <w:rPr>
                <w:rFonts w:asciiTheme="minorHAnsi" w:hAnsiTheme="minorHAnsi" w:cstheme="minorHAnsi"/>
              </w:rPr>
            </w:pPr>
            <w:r w:rsidRPr="008F2A3F">
              <w:rPr>
                <w:rFonts w:asciiTheme="minorHAnsi" w:hAnsiTheme="minorHAnsi" w:cstheme="minorHAnsi"/>
              </w:rPr>
              <w:t>Estos encuentros tuvieron como propósito socializar el contexto de Política Pública en el que surge el Programa de Armonización, sus avances y experiencias significativas que pueden contribuir a su formulación y concertación. Así como recoger recomendaciones generales para los lineamientos del Programa y priorizar los territorios en los que se realizarían los ejercicios piloto de recolección de información.</w:t>
            </w:r>
          </w:p>
          <w:p w:rsidR="0043013D" w:rsidRPr="008F2A3F" w:rsidRDefault="0043013D" w:rsidP="0043013D">
            <w:pPr>
              <w:pStyle w:val="Prrafodelista"/>
              <w:spacing w:after="0" w:line="240" w:lineRule="auto"/>
              <w:ind w:left="1428"/>
              <w:jc w:val="both"/>
              <w:rPr>
                <w:rFonts w:asciiTheme="minorHAnsi" w:eastAsia="Bookman Old Style" w:hAnsiTheme="minorHAnsi" w:cstheme="minorHAnsi"/>
              </w:rPr>
            </w:pPr>
          </w:p>
          <w:p w:rsidR="0043013D" w:rsidRPr="008F2A3F" w:rsidRDefault="0043013D" w:rsidP="005B6819">
            <w:pPr>
              <w:pStyle w:val="Prrafodelista"/>
              <w:numPr>
                <w:ilvl w:val="0"/>
                <w:numId w:val="11"/>
              </w:numPr>
              <w:autoSpaceDE w:val="0"/>
              <w:autoSpaceDN w:val="0"/>
              <w:spacing w:after="0" w:line="240" w:lineRule="auto"/>
              <w:jc w:val="both"/>
              <w:rPr>
                <w:rFonts w:asciiTheme="minorHAnsi" w:eastAsia="Bookman Old Style" w:hAnsiTheme="minorHAnsi" w:cstheme="minorHAnsi"/>
                <w:b/>
              </w:rPr>
            </w:pPr>
            <w:r w:rsidRPr="008F2A3F">
              <w:rPr>
                <w:rFonts w:asciiTheme="minorHAnsi" w:eastAsia="Bookman Old Style" w:hAnsiTheme="minorHAnsi" w:cstheme="minorHAnsi"/>
                <w:b/>
              </w:rPr>
              <w:t>Encuentros de trabajo pilotos con comunidades indígenas y afrocolombianas de los siguientes territorios:</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Norte del Cauca y Buenaventura</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 xml:space="preserve">Quibdó </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Colinas y Charras (Guaviare)</w:t>
            </w:r>
          </w:p>
          <w:p w:rsidR="005B6A35"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Caldono (Cauca)</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Mayasquer (Cumbal, Nariño)</w:t>
            </w:r>
          </w:p>
        </w:tc>
      </w:tr>
      <w:tr w:rsidR="0043013D" w:rsidRPr="008F2A3F" w:rsidTr="00755994">
        <w:tc>
          <w:tcPr>
            <w:tcW w:w="9356" w:type="dxa"/>
            <w:shd w:val="clear" w:color="auto" w:fill="F2F2F2"/>
          </w:tcPr>
          <w:p w:rsidR="0043013D" w:rsidRPr="00307ADC" w:rsidRDefault="0043013D" w:rsidP="00307ADC">
            <w:pPr>
              <w:spacing w:after="0" w:line="240" w:lineRule="auto"/>
              <w:ind w:left="-282" w:right="529" w:firstLine="282"/>
              <w:jc w:val="both"/>
              <w:rPr>
                <w:color w:val="3366CC"/>
                <w:sz w:val="32"/>
                <w:szCs w:val="32"/>
                <w:u w:val="single"/>
              </w:rPr>
            </w:pPr>
            <w:r w:rsidRPr="00307ADC">
              <w:rPr>
                <w:color w:val="3366CC"/>
                <w:sz w:val="32"/>
                <w:szCs w:val="32"/>
                <w:u w:val="single"/>
              </w:rPr>
              <w:t xml:space="preserve">¿Quiénes se beneficiaron? </w:t>
            </w:r>
            <w:r w:rsidRPr="00307ADC">
              <w:rPr>
                <w:noProof/>
                <w:color w:val="3366CC"/>
                <w:sz w:val="32"/>
                <w:szCs w:val="32"/>
                <w:u w:val="single"/>
                <w:lang w:val="es-419" w:eastAsia="es-419"/>
              </w:rPr>
              <w:drawing>
                <wp:anchor distT="0" distB="0" distL="114300" distR="114300" simplePos="0" relativeHeight="251710976" behindDoc="0" locked="0" layoutInCell="1" hidden="0" allowOverlap="1" wp14:anchorId="3D7B3BEC" wp14:editId="3BB6B1D0">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6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43013D">
            <w:pPr>
              <w:spacing w:after="0"/>
              <w:jc w:val="both"/>
              <w:rPr>
                <w:rFonts w:asciiTheme="minorHAnsi" w:hAnsiTheme="minorHAnsi" w:cstheme="minorHAnsi"/>
              </w:rPr>
            </w:pPr>
            <w:r w:rsidRPr="008F2A3F">
              <w:rPr>
                <w:rFonts w:asciiTheme="minorHAnsi" w:hAnsiTheme="minorHAnsi" w:cstheme="minorHAnsi"/>
              </w:rPr>
              <w:t>La población total potencialmente beneficiaria se identificó mediante el Registro Nacional de Reincorporación -RNR-, que a enero de 2019 arrojó un número de 2</w:t>
            </w:r>
            <w:r w:rsidR="006966C6" w:rsidRPr="008F2A3F">
              <w:rPr>
                <w:rFonts w:asciiTheme="minorHAnsi" w:hAnsiTheme="minorHAnsi" w:cstheme="minorHAnsi"/>
              </w:rPr>
              <w:t>.</w:t>
            </w:r>
            <w:r w:rsidRPr="008F2A3F">
              <w:rPr>
                <w:rFonts w:asciiTheme="minorHAnsi" w:hAnsiTheme="minorHAnsi" w:cstheme="minorHAnsi"/>
              </w:rPr>
              <w:t>048 personas auto reconocidas como pertenecientes a algún grupo étnico:</w:t>
            </w:r>
          </w:p>
          <w:p w:rsidR="0043013D" w:rsidRPr="008F2A3F" w:rsidRDefault="0043013D" w:rsidP="0043013D">
            <w:pPr>
              <w:spacing w:after="0"/>
              <w:jc w:val="both"/>
              <w:rPr>
                <w:rFonts w:asciiTheme="minorHAnsi" w:hAnsiTheme="minorHAnsi" w:cstheme="minorHAnsi"/>
              </w:rPr>
            </w:pPr>
          </w:p>
          <w:tbl>
            <w:tblPr>
              <w:tblW w:w="8780" w:type="dxa"/>
              <w:tblLayout w:type="fixed"/>
              <w:tblCellMar>
                <w:left w:w="70" w:type="dxa"/>
                <w:right w:w="70" w:type="dxa"/>
              </w:tblCellMar>
              <w:tblLook w:val="04A0" w:firstRow="1" w:lastRow="0" w:firstColumn="1" w:lastColumn="0" w:noHBand="0" w:noVBand="1"/>
            </w:tblPr>
            <w:tblGrid>
              <w:gridCol w:w="6089"/>
              <w:gridCol w:w="2691"/>
            </w:tblGrid>
            <w:tr w:rsidR="0043013D" w:rsidRPr="008F2A3F" w:rsidTr="0068713B">
              <w:trPr>
                <w:trHeight w:val="268"/>
                <w:tblHeader/>
              </w:trPr>
              <w:tc>
                <w:tcPr>
                  <w:tcW w:w="60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43013D" w:rsidRPr="008F2A3F" w:rsidRDefault="0043013D" w:rsidP="0043013D">
                  <w:pPr>
                    <w:spacing w:after="0" w:line="240" w:lineRule="auto"/>
                    <w:jc w:val="both"/>
                    <w:rPr>
                      <w:rFonts w:asciiTheme="minorHAnsi" w:eastAsia="Times New Roman" w:hAnsiTheme="minorHAnsi" w:cstheme="minorHAnsi"/>
                      <w:b/>
                      <w:bCs/>
                      <w:lang w:eastAsia="es-CO"/>
                    </w:rPr>
                  </w:pPr>
                  <w:r w:rsidRPr="008F2A3F">
                    <w:rPr>
                      <w:rFonts w:asciiTheme="minorHAnsi" w:eastAsia="Times New Roman" w:hAnsiTheme="minorHAnsi" w:cstheme="minorHAnsi"/>
                      <w:b/>
                      <w:bCs/>
                      <w:lang w:eastAsia="es-CO"/>
                    </w:rPr>
                    <w:t>GRUPO ÉTNICO</w:t>
                  </w:r>
                </w:p>
              </w:tc>
              <w:tc>
                <w:tcPr>
                  <w:tcW w:w="269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43013D" w:rsidRPr="008F2A3F" w:rsidRDefault="0043013D" w:rsidP="00E7262E">
                  <w:pPr>
                    <w:spacing w:after="0" w:line="240" w:lineRule="auto"/>
                    <w:jc w:val="center"/>
                    <w:rPr>
                      <w:rFonts w:asciiTheme="minorHAnsi" w:eastAsia="Times New Roman" w:hAnsiTheme="minorHAnsi" w:cstheme="minorHAnsi"/>
                      <w:b/>
                      <w:bCs/>
                      <w:lang w:eastAsia="es-CO"/>
                    </w:rPr>
                  </w:pPr>
                  <w:r w:rsidRPr="008F2A3F">
                    <w:rPr>
                      <w:rFonts w:asciiTheme="minorHAnsi" w:eastAsia="Times New Roman" w:hAnsiTheme="minorHAnsi" w:cstheme="minorHAnsi"/>
                      <w:b/>
                      <w:bCs/>
                      <w:lang w:eastAsia="es-CO"/>
                    </w:rPr>
                    <w:t>P</w:t>
                  </w:r>
                  <w:r w:rsidR="00E7262E">
                    <w:rPr>
                      <w:rFonts w:asciiTheme="minorHAnsi" w:eastAsia="Times New Roman" w:hAnsiTheme="minorHAnsi" w:cstheme="minorHAnsi"/>
                      <w:b/>
                      <w:bCs/>
                      <w:lang w:eastAsia="es-CO"/>
                    </w:rPr>
                    <w:t>ersonas</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884B12">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Gitano o Rom</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Indígena</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1365</w:t>
                  </w:r>
                </w:p>
              </w:tc>
            </w:tr>
            <w:tr w:rsidR="0043013D" w:rsidRPr="008F2A3F" w:rsidTr="0068713B">
              <w:trPr>
                <w:trHeight w:val="536"/>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Negro(A), Mulato(A), Afrocolombiano(A) o Afrodescendiente</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602</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lastRenderedPageBreak/>
                    <w:t>No Aplica</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Palenquero de San Basilio o Descendiente</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14</w:t>
                  </w:r>
                </w:p>
              </w:tc>
            </w:tr>
            <w:tr w:rsidR="0043013D" w:rsidRPr="008F2A3F" w:rsidTr="0068713B">
              <w:trPr>
                <w:trHeight w:val="536"/>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Raizal del Archipiélago de San Andrés, Providencia y Santa Catalina</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No proporciona esta información</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64</w:t>
                  </w:r>
                </w:p>
              </w:tc>
            </w:tr>
            <w:tr w:rsidR="00E1433A" w:rsidRPr="008F2A3F" w:rsidTr="0068713B">
              <w:trPr>
                <w:trHeight w:val="268"/>
              </w:trPr>
              <w:tc>
                <w:tcPr>
                  <w:tcW w:w="6089"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43013D" w:rsidRPr="008F2A3F" w:rsidRDefault="0043013D" w:rsidP="0043013D">
                  <w:pPr>
                    <w:spacing w:after="0" w:line="240" w:lineRule="auto"/>
                    <w:jc w:val="both"/>
                    <w:rPr>
                      <w:rFonts w:asciiTheme="minorHAnsi" w:eastAsia="Times New Roman" w:hAnsiTheme="minorHAnsi" w:cstheme="minorHAnsi"/>
                      <w:b/>
                      <w:lang w:eastAsia="es-CO"/>
                    </w:rPr>
                  </w:pPr>
                  <w:r w:rsidRPr="008F2A3F">
                    <w:rPr>
                      <w:rFonts w:asciiTheme="minorHAnsi" w:eastAsia="Times New Roman" w:hAnsiTheme="minorHAnsi" w:cstheme="minorHAnsi"/>
                      <w:b/>
                      <w:lang w:eastAsia="es-CO"/>
                    </w:rPr>
                    <w:t xml:space="preserve">TOTAL </w:t>
                  </w:r>
                </w:p>
              </w:tc>
              <w:tc>
                <w:tcPr>
                  <w:tcW w:w="2691" w:type="dxa"/>
                  <w:tcBorders>
                    <w:top w:val="nil"/>
                    <w:left w:val="nil"/>
                    <w:bottom w:val="single" w:sz="4" w:space="0" w:color="auto"/>
                    <w:right w:val="single" w:sz="4" w:space="0" w:color="auto"/>
                  </w:tcBorders>
                  <w:shd w:val="clear" w:color="auto" w:fill="A6A6A6" w:themeFill="background1" w:themeFillShade="A6"/>
                  <w:noWrap/>
                  <w:vAlign w:val="bottom"/>
                  <w:hideMark/>
                </w:tcPr>
                <w:p w:rsidR="0043013D" w:rsidRPr="008F2A3F" w:rsidRDefault="0043013D" w:rsidP="00E1433A">
                  <w:pPr>
                    <w:spacing w:after="0" w:line="240" w:lineRule="auto"/>
                    <w:jc w:val="center"/>
                    <w:rPr>
                      <w:rFonts w:asciiTheme="minorHAnsi" w:eastAsia="Times New Roman" w:hAnsiTheme="minorHAnsi" w:cstheme="minorHAnsi"/>
                      <w:b/>
                      <w:lang w:eastAsia="es-CO"/>
                    </w:rPr>
                  </w:pPr>
                  <w:r w:rsidRPr="008F2A3F">
                    <w:rPr>
                      <w:rFonts w:asciiTheme="minorHAnsi" w:eastAsia="Times New Roman" w:hAnsiTheme="minorHAnsi" w:cstheme="minorHAnsi"/>
                      <w:b/>
                      <w:lang w:eastAsia="es-CO"/>
                    </w:rPr>
                    <w:t>2</w:t>
                  </w:r>
                  <w:r w:rsidR="00E1433A">
                    <w:rPr>
                      <w:rFonts w:asciiTheme="minorHAnsi" w:eastAsia="Times New Roman" w:hAnsiTheme="minorHAnsi" w:cstheme="minorHAnsi"/>
                      <w:b/>
                      <w:lang w:eastAsia="es-CO"/>
                    </w:rPr>
                    <w:t>.</w:t>
                  </w:r>
                  <w:r w:rsidRPr="008F2A3F">
                    <w:rPr>
                      <w:rFonts w:asciiTheme="minorHAnsi" w:eastAsia="Times New Roman" w:hAnsiTheme="minorHAnsi" w:cstheme="minorHAnsi"/>
                      <w:b/>
                      <w:lang w:eastAsia="es-CO"/>
                    </w:rPr>
                    <w:t>048</w:t>
                  </w:r>
                </w:p>
              </w:tc>
            </w:tr>
          </w:tbl>
          <w:p w:rsidR="0043013D" w:rsidRPr="008F2A3F" w:rsidRDefault="0043013D" w:rsidP="0043013D">
            <w:pPr>
              <w:spacing w:after="0"/>
              <w:jc w:val="both"/>
              <w:rPr>
                <w:rFonts w:asciiTheme="minorHAnsi" w:hAnsiTheme="minorHAnsi" w:cstheme="minorHAnsi"/>
              </w:rPr>
            </w:pPr>
          </w:p>
          <w:p w:rsidR="0043013D" w:rsidRPr="008F2A3F" w:rsidRDefault="0043013D" w:rsidP="00E73961">
            <w:pPr>
              <w:spacing w:after="0" w:line="240" w:lineRule="auto"/>
              <w:jc w:val="both"/>
              <w:rPr>
                <w:i/>
                <w:sz w:val="24"/>
                <w:szCs w:val="24"/>
              </w:rPr>
            </w:pPr>
          </w:p>
        </w:tc>
      </w:tr>
      <w:tr w:rsidR="0043013D" w:rsidRPr="008F2A3F" w:rsidTr="00755994">
        <w:tc>
          <w:tcPr>
            <w:tcW w:w="9356" w:type="dxa"/>
            <w:shd w:val="clear" w:color="auto" w:fill="F2F2F2"/>
          </w:tcPr>
          <w:tbl>
            <w:tblPr>
              <w:tblW w:w="9514" w:type="dxa"/>
              <w:tblLayout w:type="fixed"/>
              <w:tblLook w:val="0400" w:firstRow="0" w:lastRow="0" w:firstColumn="0" w:lastColumn="0" w:noHBand="0" w:noVBand="1"/>
            </w:tblPr>
            <w:tblGrid>
              <w:gridCol w:w="9243"/>
              <w:gridCol w:w="271"/>
            </w:tblGrid>
            <w:tr w:rsidR="0043013D" w:rsidRPr="008F2A3F" w:rsidTr="0068713B">
              <w:trPr>
                <w:trHeight w:val="400"/>
              </w:trPr>
              <w:tc>
                <w:tcPr>
                  <w:tcW w:w="9243" w:type="dxa"/>
                  <w:shd w:val="clear" w:color="auto" w:fill="auto"/>
                </w:tcPr>
                <w:p w:rsidR="0043013D" w:rsidRPr="00307ADC" w:rsidRDefault="0043013D" w:rsidP="00307ADC">
                  <w:pPr>
                    <w:spacing w:after="0" w:line="240" w:lineRule="auto"/>
                    <w:ind w:left="-282" w:right="529" w:firstLine="282"/>
                    <w:jc w:val="both"/>
                    <w:rPr>
                      <w:color w:val="3366CC"/>
                      <w:sz w:val="32"/>
                      <w:szCs w:val="32"/>
                      <w:u w:val="single"/>
                    </w:rPr>
                  </w:pPr>
                  <w:r w:rsidRPr="00307ADC">
                    <w:rPr>
                      <w:color w:val="3366CC"/>
                      <w:sz w:val="32"/>
                      <w:szCs w:val="32"/>
                      <w:u w:val="single"/>
                    </w:rPr>
                    <w:lastRenderedPageBreak/>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19168" behindDoc="0" locked="0" layoutInCell="1" hidden="0" allowOverlap="1" wp14:anchorId="6AD053AC" wp14:editId="5526E8E4">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478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43013D">
                  <w:pPr>
                    <w:spacing w:after="0" w:line="240" w:lineRule="auto"/>
                    <w:jc w:val="both"/>
                    <w:rPr>
                      <w:i/>
                      <w:sz w:val="24"/>
                      <w:szCs w:val="24"/>
                    </w:rPr>
                  </w:pPr>
                </w:p>
                <w:p w:rsidR="0043013D" w:rsidRPr="008F2A3F" w:rsidRDefault="0043013D" w:rsidP="0043013D">
                  <w:pPr>
                    <w:spacing w:after="0" w:line="240" w:lineRule="auto"/>
                    <w:jc w:val="both"/>
                    <w:rPr>
                      <w:i/>
                      <w:sz w:val="24"/>
                      <w:szCs w:val="24"/>
                    </w:rPr>
                  </w:pPr>
                  <w:r w:rsidRPr="008F2A3F">
                    <w:rPr>
                      <w:i/>
                      <w:sz w:val="24"/>
                      <w:szCs w:val="24"/>
                    </w:rPr>
                    <w:t>2019</w:t>
                  </w:r>
                </w:p>
                <w:p w:rsidR="0043013D" w:rsidRPr="008F2A3F" w:rsidRDefault="0043013D" w:rsidP="0043013D">
                  <w:pPr>
                    <w:spacing w:after="0" w:line="240" w:lineRule="auto"/>
                    <w:jc w:val="both"/>
                    <w:rPr>
                      <w:i/>
                      <w:sz w:val="24"/>
                      <w:szCs w:val="24"/>
                    </w:rPr>
                  </w:pPr>
                </w:p>
                <w:p w:rsidR="0043013D" w:rsidRPr="008F2A3F" w:rsidRDefault="0043013D" w:rsidP="0043013D">
                  <w:pPr>
                    <w:jc w:val="both"/>
                    <w:rPr>
                      <w:rFonts w:asciiTheme="minorHAnsi" w:hAnsiTheme="minorHAnsi" w:cstheme="minorHAnsi"/>
                      <w:lang w:eastAsia="es-MX"/>
                    </w:rPr>
                  </w:pPr>
                  <w:r w:rsidRPr="008F2A3F">
                    <w:rPr>
                      <w:rFonts w:asciiTheme="minorHAnsi" w:hAnsiTheme="minorHAnsi" w:cstheme="minorHAnsi"/>
                      <w:lang w:eastAsia="es-MX"/>
                    </w:rPr>
                    <w:t>Durante la fase de diagnóstico participaron 257 excombatientes (93 mujeres y 164 hombres) en las actividades establecidas en el cronograma del programa:</w:t>
                  </w:r>
                </w:p>
                <w:tbl>
                  <w:tblPr>
                    <w:tblStyle w:val="Tablaconcuadrcula"/>
                    <w:tblW w:w="0" w:type="auto"/>
                    <w:tblLayout w:type="fixed"/>
                    <w:tblLook w:val="04A0" w:firstRow="1" w:lastRow="0" w:firstColumn="1" w:lastColumn="0" w:noHBand="0" w:noVBand="1"/>
                  </w:tblPr>
                  <w:tblGrid>
                    <w:gridCol w:w="1085"/>
                    <w:gridCol w:w="678"/>
                    <w:gridCol w:w="850"/>
                    <w:gridCol w:w="851"/>
                    <w:gridCol w:w="1134"/>
                    <w:gridCol w:w="567"/>
                    <w:gridCol w:w="567"/>
                    <w:gridCol w:w="850"/>
                    <w:gridCol w:w="851"/>
                    <w:gridCol w:w="1555"/>
                  </w:tblGrid>
                  <w:tr w:rsidR="00B94574" w:rsidRPr="008F2A3F" w:rsidTr="0068713B">
                    <w:tc>
                      <w:tcPr>
                        <w:tcW w:w="1085"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43013D">
                        <w:pPr>
                          <w:jc w:val="both"/>
                          <w:rPr>
                            <w:rFonts w:asciiTheme="minorHAnsi" w:hAnsiTheme="minorHAnsi" w:cstheme="minorHAnsi"/>
                            <w:b/>
                            <w:sz w:val="18"/>
                            <w:szCs w:val="18"/>
                            <w:lang w:eastAsia="es-419"/>
                          </w:rPr>
                        </w:pPr>
                        <w:r w:rsidRPr="008F2A3F">
                          <w:rPr>
                            <w:rFonts w:asciiTheme="minorHAnsi" w:hAnsiTheme="minorHAnsi" w:cstheme="minorHAnsi"/>
                            <w:b/>
                            <w:sz w:val="18"/>
                            <w:szCs w:val="18"/>
                          </w:rPr>
                          <w:t>INDICADOR</w:t>
                        </w:r>
                      </w:p>
                    </w:tc>
                    <w:tc>
                      <w:tcPr>
                        <w:tcW w:w="152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Octubre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Noviembre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Diciembre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Total</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43013D">
                        <w:pPr>
                          <w:jc w:val="both"/>
                          <w:rPr>
                            <w:rFonts w:asciiTheme="minorHAnsi" w:hAnsiTheme="minorHAnsi" w:cstheme="minorHAnsi"/>
                            <w:b/>
                            <w:sz w:val="18"/>
                            <w:szCs w:val="18"/>
                          </w:rPr>
                        </w:pPr>
                        <w:r w:rsidRPr="008F2A3F">
                          <w:rPr>
                            <w:rFonts w:asciiTheme="minorHAnsi" w:hAnsiTheme="minorHAnsi" w:cstheme="minorHAnsi"/>
                            <w:b/>
                            <w:sz w:val="18"/>
                            <w:szCs w:val="18"/>
                          </w:rPr>
                          <w:t>AVANCE</w:t>
                        </w:r>
                      </w:p>
                    </w:tc>
                  </w:tr>
                  <w:tr w:rsidR="00711D5C" w:rsidRPr="008F2A3F" w:rsidTr="0068713B">
                    <w:tc>
                      <w:tcPr>
                        <w:tcW w:w="1085" w:type="dxa"/>
                        <w:vMerge/>
                        <w:tcBorders>
                          <w:top w:val="single" w:sz="4" w:space="0" w:color="auto"/>
                          <w:left w:val="single" w:sz="4" w:space="0" w:color="auto"/>
                          <w:bottom w:val="single" w:sz="4" w:space="0" w:color="auto"/>
                          <w:right w:val="single" w:sz="4" w:space="0" w:color="auto"/>
                        </w:tcBorders>
                        <w:vAlign w:val="center"/>
                        <w:hideMark/>
                      </w:tcPr>
                      <w:p w:rsidR="006966C6" w:rsidRPr="008F2A3F" w:rsidRDefault="006966C6" w:rsidP="006966C6">
                        <w:pPr>
                          <w:spacing w:after="0"/>
                          <w:rPr>
                            <w:rFonts w:asciiTheme="minorHAnsi" w:hAnsiTheme="minorHAnsi" w:cstheme="minorHAnsi"/>
                            <w:sz w:val="18"/>
                            <w:szCs w:val="18"/>
                            <w:lang w:eastAsia="es-419"/>
                          </w:rPr>
                        </w:pPr>
                      </w:p>
                    </w:tc>
                    <w:tc>
                      <w:tcPr>
                        <w:tcW w:w="67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85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113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85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6966C6" w:rsidRPr="008F2A3F" w:rsidRDefault="006966C6" w:rsidP="006966C6">
                        <w:pPr>
                          <w:spacing w:after="0"/>
                          <w:rPr>
                            <w:rFonts w:asciiTheme="minorHAnsi" w:hAnsiTheme="minorHAnsi" w:cstheme="minorHAnsi"/>
                            <w:sz w:val="18"/>
                            <w:szCs w:val="18"/>
                            <w:lang w:eastAsia="es-419"/>
                          </w:rPr>
                        </w:pPr>
                      </w:p>
                    </w:tc>
                  </w:tr>
                  <w:tr w:rsidR="00711D5C" w:rsidRPr="008F2A3F" w:rsidTr="0068713B">
                    <w:tc>
                      <w:tcPr>
                        <w:tcW w:w="1085"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both"/>
                          <w:rPr>
                            <w:rFonts w:asciiTheme="minorHAnsi" w:hAnsiTheme="minorHAnsi" w:cstheme="minorHAnsi"/>
                            <w:sz w:val="18"/>
                            <w:szCs w:val="18"/>
                          </w:rPr>
                        </w:pPr>
                        <w:r w:rsidRPr="008F2A3F">
                          <w:rPr>
                            <w:rFonts w:asciiTheme="minorHAnsi" w:hAnsiTheme="minorHAnsi" w:cstheme="minorHAnsi"/>
                            <w:sz w:val="18"/>
                            <w:szCs w:val="18"/>
                          </w:rPr>
                          <w:t>Personas Atendidas</w:t>
                        </w:r>
                      </w:p>
                    </w:tc>
                    <w:tc>
                      <w:tcPr>
                        <w:tcW w:w="678"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18</w:t>
                        </w:r>
                      </w:p>
                    </w:tc>
                    <w:tc>
                      <w:tcPr>
                        <w:tcW w:w="851"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151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151</w:t>
                        </w:r>
                      </w:p>
                    </w:tc>
                    <w:tc>
                      <w:tcPr>
                        <w:tcW w:w="567"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88</w:t>
                        </w:r>
                      </w:p>
                    </w:tc>
                    <w:tc>
                      <w:tcPr>
                        <w:tcW w:w="850"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257</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143%</w:t>
                        </w:r>
                      </w:p>
                    </w:tc>
                  </w:tr>
                  <w:tr w:rsidR="00711D5C" w:rsidRPr="008F2A3F" w:rsidTr="0068713B">
                    <w:tc>
                      <w:tcPr>
                        <w:tcW w:w="1085"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both"/>
                          <w:rPr>
                            <w:rFonts w:asciiTheme="minorHAnsi" w:hAnsiTheme="minorHAnsi" w:cstheme="minorHAnsi"/>
                            <w:sz w:val="18"/>
                            <w:szCs w:val="18"/>
                          </w:rPr>
                        </w:pPr>
                        <w:r w:rsidRPr="008F2A3F">
                          <w:rPr>
                            <w:rFonts w:asciiTheme="minorHAnsi" w:hAnsiTheme="minorHAnsi" w:cstheme="minorHAnsi"/>
                            <w:sz w:val="18"/>
                            <w:szCs w:val="18"/>
                          </w:rPr>
                          <w:t>Talleres Realizados</w:t>
                        </w:r>
                      </w:p>
                    </w:tc>
                    <w:tc>
                      <w:tcPr>
                        <w:tcW w:w="678"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7</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100%</w:t>
                        </w:r>
                      </w:p>
                    </w:tc>
                  </w:tr>
                </w:tbl>
                <w:p w:rsidR="0043013D" w:rsidRPr="008F2A3F" w:rsidRDefault="0043013D" w:rsidP="0043013D">
                  <w:pPr>
                    <w:spacing w:after="0" w:line="240" w:lineRule="auto"/>
                    <w:jc w:val="both"/>
                    <w:rPr>
                      <w:rFonts w:asciiTheme="minorHAnsi" w:hAnsiTheme="minorHAnsi" w:cstheme="minorHAnsi"/>
                    </w:rPr>
                  </w:pPr>
                </w:p>
                <w:p w:rsidR="0043013D" w:rsidRPr="008F2A3F" w:rsidRDefault="0043013D" w:rsidP="0043013D">
                  <w:pPr>
                    <w:spacing w:after="0" w:line="240" w:lineRule="auto"/>
                    <w:jc w:val="both"/>
                    <w:rPr>
                      <w:rFonts w:asciiTheme="minorHAnsi" w:hAnsiTheme="minorHAnsi" w:cstheme="minorHAnsi"/>
                    </w:rPr>
                  </w:pPr>
                  <w:r w:rsidRPr="008F2A3F">
                    <w:rPr>
                      <w:rFonts w:asciiTheme="minorHAnsi" w:hAnsiTheme="minorHAnsi" w:cstheme="minorHAnsi"/>
                    </w:rPr>
                    <w:t xml:space="preserve">Las actividades se desarrollaron en los departamentos de Cauca, Chocó, Guaviare y Nariño, y se lograron atender 77 personas más que las proyectadas al inicio. La sobre ejecución obedece a un mayor esfuerzo en la convocatoria, particularmente en los departamentos de Chocó y Guaviare, que permitieron contar con una mayor participación de personas en reincorporación y reintegración con pertenencia indígena y afrocolombiana. Esta participación significativa permite que los insumos recolectados para la formulación del Programa de Armonización tengan una mayor pertinencia. </w:t>
                  </w:r>
                </w:p>
                <w:p w:rsidR="0043013D" w:rsidRPr="008F2A3F" w:rsidRDefault="0043013D" w:rsidP="0043013D">
                  <w:pPr>
                    <w:spacing w:after="0" w:line="240" w:lineRule="auto"/>
                    <w:jc w:val="both"/>
                    <w:rPr>
                      <w:rFonts w:asciiTheme="minorHAnsi" w:hAnsiTheme="minorHAnsi" w:cstheme="minorHAnsi"/>
                    </w:rPr>
                  </w:pPr>
                </w:p>
                <w:p w:rsidR="0043013D" w:rsidRPr="008F2A3F" w:rsidRDefault="0043013D" w:rsidP="0043013D">
                  <w:pPr>
                    <w:pStyle w:val="NormalWeb"/>
                    <w:jc w:val="both"/>
                    <w:rPr>
                      <w:rStyle w:val="nfasis"/>
                      <w:i w:val="0"/>
                      <w:sz w:val="22"/>
                      <w:szCs w:val="22"/>
                    </w:rPr>
                  </w:pPr>
                  <w:r w:rsidRPr="008F2A3F">
                    <w:rPr>
                      <w:rStyle w:val="nfasis"/>
                      <w:rFonts w:asciiTheme="minorHAnsi" w:hAnsiTheme="minorHAnsi" w:cstheme="minorHAnsi"/>
                      <w:i w:val="0"/>
                      <w:sz w:val="22"/>
                      <w:szCs w:val="22"/>
                    </w:rPr>
                    <w:t xml:space="preserve">Durante la vigencia se resaltan como aspectos positivos la amplia disposición y participación de autoridades indígenas, comunidades y personas en reincorporación en los encuentros realizados tanto en territorio como de apertura y cierre de los pilotos realizados. Estos escenarios permitieron fortalecer relaciones de confianza en la institucionalidad que serán claves para el desarrollo del proceso de consulta previa y fortalecer capacidades de los excombatientes para el reconocimiento y ejercicio de los derechos de las comunidades étnicas en el país. </w:t>
                  </w:r>
                </w:p>
                <w:p w:rsidR="0043013D" w:rsidRPr="008F2A3F" w:rsidRDefault="0043013D" w:rsidP="0043013D">
                  <w:pPr>
                    <w:spacing w:after="0" w:line="240" w:lineRule="auto"/>
                    <w:jc w:val="both"/>
                    <w:rPr>
                      <w:i/>
                      <w:sz w:val="24"/>
                      <w:szCs w:val="24"/>
                    </w:rPr>
                  </w:pPr>
                </w:p>
                <w:p w:rsidR="0043013D" w:rsidRPr="008F2A3F" w:rsidRDefault="0043013D" w:rsidP="00B94574">
                  <w:pPr>
                    <w:spacing w:after="0" w:line="240" w:lineRule="auto"/>
                    <w:jc w:val="both"/>
                    <w:rPr>
                      <w:rFonts w:asciiTheme="minorHAnsi" w:hAnsiTheme="minorHAnsi" w:cstheme="minorHAnsi"/>
                    </w:rPr>
                  </w:pPr>
                  <w:r w:rsidRPr="008F2A3F">
                    <w:rPr>
                      <w:rFonts w:asciiTheme="minorHAnsi" w:hAnsiTheme="minorHAnsi" w:cstheme="minorHAnsi"/>
                      <w:b/>
                      <w:bCs/>
                    </w:rPr>
                    <w:t>E</w:t>
                  </w:r>
                  <w:r w:rsidR="00B94574" w:rsidRPr="008F2A3F">
                    <w:rPr>
                      <w:rFonts w:asciiTheme="minorHAnsi" w:hAnsiTheme="minorHAnsi" w:cstheme="minorHAnsi"/>
                      <w:b/>
                      <w:bCs/>
                    </w:rPr>
                    <w:t xml:space="preserve">squema de Financiación: </w:t>
                  </w:r>
                  <w:r w:rsidRPr="008F2A3F">
                    <w:rPr>
                      <w:rFonts w:asciiTheme="minorHAnsi" w:hAnsiTheme="minorHAnsi" w:cstheme="minorHAnsi"/>
                    </w:rPr>
                    <w:t>Los recursos financieros del proyecto de inversión se ejecutaron a través del contrato de operador logístico con las siguientes especificaciones:</w:t>
                  </w:r>
                </w:p>
                <w:p w:rsidR="00B94574" w:rsidRPr="008F2A3F" w:rsidRDefault="00B94574" w:rsidP="00B94574">
                  <w:pPr>
                    <w:spacing w:after="0" w:line="240" w:lineRule="auto"/>
                    <w:jc w:val="both"/>
                    <w:rPr>
                      <w:rFonts w:asciiTheme="minorHAnsi" w:hAnsiTheme="minorHAnsi" w:cstheme="minorHAnsi"/>
                      <w:b/>
                      <w:bCs/>
                    </w:rPr>
                  </w:pPr>
                </w:p>
                <w:p w:rsidR="0043013D" w:rsidRPr="008F2A3F" w:rsidRDefault="0043013D" w:rsidP="005B6819">
                  <w:pPr>
                    <w:pStyle w:val="Prrafodelista"/>
                    <w:numPr>
                      <w:ilvl w:val="0"/>
                      <w:numId w:val="14"/>
                    </w:numPr>
                    <w:spacing w:after="0" w:line="240" w:lineRule="auto"/>
                    <w:jc w:val="both"/>
                    <w:rPr>
                      <w:rFonts w:asciiTheme="minorHAnsi" w:hAnsiTheme="minorHAnsi" w:cstheme="minorHAnsi"/>
                      <w:b/>
                      <w:bCs/>
                    </w:rPr>
                  </w:pPr>
                  <w:r w:rsidRPr="008F2A3F">
                    <w:rPr>
                      <w:rFonts w:asciiTheme="minorHAnsi" w:hAnsiTheme="minorHAnsi" w:cstheme="minorHAnsi"/>
                      <w:lang w:eastAsia="es-CO"/>
                    </w:rPr>
                    <w:t xml:space="preserve">Código BPIN del proyecto </w:t>
                  </w:r>
                  <w:r w:rsidRPr="008F2A3F">
                    <w:rPr>
                      <w:rFonts w:asciiTheme="minorHAnsi" w:hAnsiTheme="minorHAnsi" w:cstheme="minorHAnsi"/>
                      <w:b/>
                      <w:bCs/>
                    </w:rPr>
                    <w:t>2018011000660</w:t>
                  </w:r>
                </w:p>
                <w:p w:rsidR="0043013D" w:rsidRPr="008F2A3F" w:rsidRDefault="0043013D" w:rsidP="0043013D">
                  <w:pPr>
                    <w:spacing w:after="0" w:line="240" w:lineRule="auto"/>
                    <w:jc w:val="both"/>
                    <w:rPr>
                      <w:rFonts w:asciiTheme="minorHAnsi" w:hAnsiTheme="minorHAnsi" w:cstheme="minorHAnsi"/>
                      <w:b/>
                      <w:bCs/>
                    </w:rPr>
                  </w:pPr>
                </w:p>
                <w:tbl>
                  <w:tblPr>
                    <w:tblW w:w="4654" w:type="pct"/>
                    <w:shd w:val="clear" w:color="auto" w:fill="FFFFFF" w:themeFill="background1"/>
                    <w:tblLayout w:type="fixed"/>
                    <w:tblCellMar>
                      <w:left w:w="70" w:type="dxa"/>
                      <w:right w:w="70" w:type="dxa"/>
                    </w:tblCellMar>
                    <w:tblLook w:val="04A0" w:firstRow="1" w:lastRow="0" w:firstColumn="1" w:lastColumn="0" w:noHBand="0" w:noVBand="1"/>
                  </w:tblPr>
                  <w:tblGrid>
                    <w:gridCol w:w="2009"/>
                    <w:gridCol w:w="1229"/>
                    <w:gridCol w:w="1066"/>
                    <w:gridCol w:w="1281"/>
                    <w:gridCol w:w="1220"/>
                    <w:gridCol w:w="1588"/>
                  </w:tblGrid>
                  <w:tr w:rsidR="0043013D" w:rsidRPr="008F2A3F" w:rsidTr="0068713B">
                    <w:trPr>
                      <w:trHeight w:val="765"/>
                    </w:trPr>
                    <w:tc>
                      <w:tcPr>
                        <w:tcW w:w="119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lastRenderedPageBreak/>
                          <w:t>Observaciones</w:t>
                        </w:r>
                      </w:p>
                    </w:tc>
                    <w:tc>
                      <w:tcPr>
                        <w:tcW w:w="732"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No.  Compromiso</w:t>
                        </w:r>
                      </w:p>
                    </w:tc>
                    <w:tc>
                      <w:tcPr>
                        <w:tcW w:w="635"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Fecha de Registro</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Rubro</w:t>
                        </w:r>
                      </w:p>
                    </w:tc>
                    <w:tc>
                      <w:tcPr>
                        <w:tcW w:w="727"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Valor Inicial</w:t>
                        </w:r>
                      </w:p>
                    </w:tc>
                    <w:tc>
                      <w:tcPr>
                        <w:tcW w:w="947"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Valor actual</w:t>
                        </w:r>
                      </w:p>
                    </w:tc>
                  </w:tr>
                  <w:tr w:rsidR="0043013D" w:rsidRPr="008F2A3F" w:rsidTr="0068713B">
                    <w:trPr>
                      <w:trHeight w:val="1320"/>
                    </w:trPr>
                    <w:tc>
                      <w:tcPr>
                        <w:tcW w:w="1197" w:type="pct"/>
                        <w:tcBorders>
                          <w:top w:val="nil"/>
                          <w:left w:val="single" w:sz="4" w:space="0" w:color="auto"/>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Contratar prestación de servicios de operador logístico para organización, operación y ejecución de eventos institucionales, en cumplimiento de las obligaciones de la ARN, acorde a las especificaciones técnicas del anexo No.1. - DPR</w:t>
                        </w:r>
                      </w:p>
                    </w:tc>
                    <w:tc>
                      <w:tcPr>
                        <w:tcW w:w="732"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742519</w:t>
                        </w:r>
                      </w:p>
                    </w:tc>
                    <w:tc>
                      <w:tcPr>
                        <w:tcW w:w="635"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2019-06-20</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C-0211-1000-4-0-0211022-02</w:t>
                        </w:r>
                      </w:p>
                    </w:tc>
                    <w:tc>
                      <w:tcPr>
                        <w:tcW w:w="727"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      180.000.000</w:t>
                        </w:r>
                      </w:p>
                    </w:tc>
                    <w:tc>
                      <w:tcPr>
                        <w:tcW w:w="947"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      180.000.000</w:t>
                        </w:r>
                      </w:p>
                    </w:tc>
                  </w:tr>
                </w:tbl>
                <w:p w:rsidR="0043013D" w:rsidRPr="008F2A3F" w:rsidRDefault="0043013D" w:rsidP="0043013D">
                  <w:pPr>
                    <w:spacing w:after="0" w:line="240" w:lineRule="auto"/>
                    <w:jc w:val="both"/>
                    <w:rPr>
                      <w:i/>
                      <w:sz w:val="24"/>
                      <w:szCs w:val="24"/>
                    </w:rPr>
                  </w:pPr>
                </w:p>
              </w:tc>
              <w:tc>
                <w:tcPr>
                  <w:tcW w:w="271" w:type="dxa"/>
                  <w:shd w:val="clear" w:color="auto" w:fill="auto"/>
                </w:tcPr>
                <w:p w:rsidR="0043013D" w:rsidRPr="008F2A3F" w:rsidRDefault="0043013D" w:rsidP="0068713B">
                  <w:pPr>
                    <w:spacing w:after="0" w:line="240" w:lineRule="auto"/>
                    <w:ind w:left="-409" w:right="24"/>
                    <w:jc w:val="both"/>
                    <w:rPr>
                      <w:i/>
                      <w:sz w:val="24"/>
                      <w:szCs w:val="24"/>
                    </w:rPr>
                  </w:pPr>
                </w:p>
              </w:tc>
            </w:tr>
          </w:tbl>
          <w:p w:rsidR="0043013D" w:rsidRPr="008F2A3F" w:rsidRDefault="0043013D" w:rsidP="00E73961">
            <w:pPr>
              <w:spacing w:after="0" w:line="240" w:lineRule="auto"/>
              <w:jc w:val="both"/>
              <w:rPr>
                <w:i/>
                <w:sz w:val="24"/>
                <w:szCs w:val="24"/>
              </w:rPr>
            </w:pPr>
          </w:p>
        </w:tc>
      </w:tr>
      <w:tr w:rsidR="0043013D" w:rsidRPr="008F2A3F" w:rsidTr="00755994">
        <w:trPr>
          <w:trHeight w:val="1420"/>
        </w:trPr>
        <w:tc>
          <w:tcPr>
            <w:tcW w:w="9356" w:type="dxa"/>
            <w:shd w:val="clear" w:color="auto" w:fill="F2F2F2"/>
          </w:tcPr>
          <w:p w:rsidR="0043013D" w:rsidRPr="00307ADC" w:rsidRDefault="0043013D" w:rsidP="00E73961">
            <w:pPr>
              <w:spacing w:after="0" w:line="240" w:lineRule="auto"/>
              <w:rPr>
                <w:color w:val="3366CC"/>
                <w:sz w:val="32"/>
                <w:szCs w:val="32"/>
                <w:u w:val="single"/>
              </w:rPr>
            </w:pPr>
            <w:r w:rsidRPr="00307ADC">
              <w:rPr>
                <w:color w:val="3366CC"/>
                <w:sz w:val="32"/>
                <w:szCs w:val="32"/>
                <w:u w:val="single"/>
              </w:rPr>
              <w:lastRenderedPageBreak/>
              <w:t>¿En qué territorios se desarrolló la acción?</w:t>
            </w:r>
            <w:r w:rsidRPr="00307ADC">
              <w:rPr>
                <w:noProof/>
                <w:color w:val="3366CC"/>
                <w:sz w:val="32"/>
                <w:szCs w:val="32"/>
                <w:u w:val="single"/>
                <w:lang w:val="es-419" w:eastAsia="es-419"/>
              </w:rPr>
              <w:drawing>
                <wp:anchor distT="0" distB="0" distL="114300" distR="114300" simplePos="0" relativeHeight="251713024" behindDoc="0" locked="0" layoutInCell="1" hidden="0" allowOverlap="1" wp14:anchorId="50C152F6" wp14:editId="239882EE">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47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43013D">
            <w:pPr>
              <w:pStyle w:val="Prrafodelista"/>
              <w:jc w:val="both"/>
              <w:rPr>
                <w:rFonts w:asciiTheme="minorHAnsi" w:hAnsiTheme="minorHAnsi" w:cstheme="minorHAnsi"/>
              </w:rPr>
            </w:pPr>
            <w:r w:rsidRPr="008F2A3F">
              <w:rPr>
                <w:rFonts w:asciiTheme="minorHAnsi" w:hAnsiTheme="minorHAnsi" w:cstheme="minorHAnsi"/>
                <w:i/>
                <w:lang w:val="es-ES"/>
              </w:rPr>
              <w:t xml:space="preserve">Para la vigencia 2019, la ARN </w:t>
            </w:r>
            <w:r w:rsidRPr="008F2A3F">
              <w:rPr>
                <w:rFonts w:asciiTheme="minorHAnsi" w:eastAsia="Times New Roman" w:hAnsiTheme="minorHAnsi" w:cstheme="minorHAnsi"/>
                <w:lang w:eastAsia="es-CO"/>
              </w:rPr>
              <w:t xml:space="preserve">desarrolló cinco ejercicios piloto en territorio y un encuentro final en el que se </w:t>
            </w:r>
            <w:r w:rsidRPr="008F2A3F">
              <w:rPr>
                <w:rFonts w:asciiTheme="minorHAnsi" w:hAnsiTheme="minorHAnsi" w:cstheme="minorHAnsi"/>
              </w:rPr>
              <w:t>compartieron las experiencias de los territorios adelantadas durante el año y se trabajaron los hallazgos y aspectos clave a tener en cuenta para la orientación del proceso de reincorporación</w:t>
            </w:r>
            <w:r w:rsidRPr="008F2A3F">
              <w:rPr>
                <w:rFonts w:asciiTheme="minorHAnsi" w:hAnsiTheme="minorHAnsi" w:cstheme="minorHAnsi"/>
                <w:sz w:val="24"/>
                <w:szCs w:val="24"/>
              </w:rPr>
              <w:t xml:space="preserve"> </w:t>
            </w:r>
            <w:r w:rsidRPr="008F2A3F">
              <w:rPr>
                <w:rFonts w:asciiTheme="minorHAnsi" w:hAnsiTheme="minorHAnsi" w:cstheme="minorHAnsi"/>
              </w:rPr>
              <w:t xml:space="preserve">en perspectiva étnica y la posterior construcción del Programa Especial de Armonización. Se trabajó en los siguientes territorios: </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i/>
              </w:rPr>
            </w:pPr>
            <w:r w:rsidRPr="008F2A3F">
              <w:rPr>
                <w:rFonts w:asciiTheme="minorHAnsi" w:hAnsiTheme="minorHAnsi" w:cstheme="minorHAnsi"/>
              </w:rPr>
              <w:t>Norte del Cauca y Buenaventura</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 xml:space="preserve">Quibdó </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Colinas y Charras (Guaviare)</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Caldono (Cauca)</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Mayasquer (Cumbal, Nariño)</w:t>
            </w:r>
          </w:p>
        </w:tc>
      </w:tr>
    </w:tbl>
    <w:p w:rsidR="0043013D" w:rsidRPr="008F2A3F" w:rsidRDefault="0043013D" w:rsidP="0043013D">
      <w:pPr>
        <w:spacing w:line="240" w:lineRule="auto"/>
        <w:rPr>
          <w:b/>
          <w:sz w:val="48"/>
          <w:szCs w:val="56"/>
        </w:rPr>
      </w:pPr>
    </w:p>
    <w:p w:rsidR="00892E6F" w:rsidRPr="008F2A3F" w:rsidRDefault="001917F8" w:rsidP="00A91B15">
      <w:pPr>
        <w:jc w:val="both"/>
        <w:rPr>
          <w:rFonts w:cs="Arial"/>
          <w:b/>
          <w:sz w:val="56"/>
          <w:szCs w:val="56"/>
          <w:lang w:val="es-ES_tradnl"/>
        </w:rPr>
      </w:pPr>
      <w:r w:rsidRPr="008F2A3F">
        <w:rPr>
          <w:rFonts w:cs="Arial"/>
          <w:b/>
          <w:sz w:val="56"/>
          <w:szCs w:val="56"/>
          <w:lang w:val="es-ES_tradnl"/>
        </w:rPr>
        <w:t>2</w:t>
      </w:r>
      <w:r w:rsidR="00892E6F" w:rsidRPr="008F2A3F">
        <w:rPr>
          <w:rFonts w:cs="Arial"/>
          <w:b/>
          <w:sz w:val="56"/>
          <w:szCs w:val="56"/>
          <w:lang w:val="es-ES_tradnl"/>
        </w:rPr>
        <w:t>.</w:t>
      </w:r>
    </w:p>
    <w:p w:rsidR="00A91B15" w:rsidRPr="008F2A3F" w:rsidRDefault="00A91B15" w:rsidP="00A91B15">
      <w:pPr>
        <w:jc w:val="both"/>
        <w:rPr>
          <w:rFonts w:cs="Arial"/>
          <w:b/>
          <w:sz w:val="44"/>
          <w:szCs w:val="44"/>
          <w:lang w:val="es-ES_tradnl"/>
        </w:rPr>
      </w:pPr>
      <w:r w:rsidRPr="008F2A3F">
        <w:rPr>
          <w:rFonts w:cs="Arial"/>
          <w:b/>
          <w:sz w:val="44"/>
          <w:szCs w:val="44"/>
          <w:lang w:val="es-ES_tradnl"/>
        </w:rPr>
        <w:t xml:space="preserve">Acciones que se derivan del cumplimiento de </w:t>
      </w:r>
      <w:r w:rsidRPr="008F2A3F">
        <w:rPr>
          <w:rFonts w:cs="Arial"/>
          <w:b/>
          <w:sz w:val="54"/>
          <w:szCs w:val="54"/>
          <w:u w:val="thick"/>
          <w:lang w:val="es-ES_tradnl"/>
        </w:rPr>
        <w:t>instrumentos normativos</w:t>
      </w:r>
      <w:r w:rsidR="00744AE4" w:rsidRPr="008F2A3F">
        <w:rPr>
          <w:rFonts w:cs="Arial"/>
          <w:sz w:val="54"/>
          <w:szCs w:val="54"/>
          <w:lang w:val="es-ES_tradnl"/>
        </w:rPr>
        <w:t xml:space="preserve"> y</w:t>
      </w:r>
      <w:r w:rsidR="00744AE4" w:rsidRPr="008F2A3F">
        <w:rPr>
          <w:rFonts w:cs="Arial"/>
          <w:b/>
          <w:sz w:val="54"/>
          <w:szCs w:val="54"/>
          <w:lang w:val="es-ES_tradnl"/>
        </w:rPr>
        <w:t xml:space="preserve"> </w:t>
      </w:r>
      <w:r w:rsidR="00744AE4" w:rsidRPr="008F2A3F">
        <w:rPr>
          <w:rFonts w:cs="Arial"/>
          <w:b/>
          <w:sz w:val="54"/>
          <w:szCs w:val="54"/>
          <w:u w:val="thick"/>
          <w:lang w:val="es-ES_tradnl"/>
        </w:rPr>
        <w:t>otras acciones</w:t>
      </w:r>
      <w:r w:rsidR="00744AE4" w:rsidRPr="008F2A3F">
        <w:rPr>
          <w:rFonts w:cs="Arial"/>
          <w:b/>
          <w:sz w:val="54"/>
          <w:szCs w:val="54"/>
          <w:lang w:val="es-ES_tradnl"/>
        </w:rPr>
        <w:t xml:space="preserve"> </w:t>
      </w:r>
      <w:r w:rsidRPr="008F2A3F">
        <w:rPr>
          <w:rFonts w:cs="Arial"/>
          <w:b/>
          <w:sz w:val="44"/>
          <w:szCs w:val="44"/>
          <w:lang w:val="es-ES_tradnl"/>
        </w:rPr>
        <w:t>que se han expedido con posterioridad a la firma del Acuerdo de Paz</w:t>
      </w:r>
    </w:p>
    <w:p w:rsidR="00CC5ABC" w:rsidRPr="008F2A3F" w:rsidRDefault="00CC5ABC" w:rsidP="00A91B15">
      <w:pPr>
        <w:jc w:val="both"/>
        <w:rPr>
          <w:rFonts w:cs="Arial"/>
          <w:sz w:val="24"/>
          <w:szCs w:val="24"/>
          <w:lang w:val="es-ES_tradnl"/>
        </w:rPr>
      </w:pPr>
      <w:r w:rsidRPr="008F2A3F">
        <w:rPr>
          <w:rFonts w:cs="Arial"/>
          <w:sz w:val="24"/>
          <w:szCs w:val="24"/>
          <w:lang w:val="es-ES_tradnl"/>
        </w:rPr>
        <w:t xml:space="preserve">A continuación, encuentra el avance de las acciones que ha desarrollado esta entidad en cumplimiento de normatividad derivada de la implementación del Acuerdo de Paz que no </w:t>
      </w:r>
      <w:r w:rsidR="0020441F" w:rsidRPr="008F2A3F">
        <w:rPr>
          <w:rFonts w:cs="Arial"/>
          <w:sz w:val="24"/>
          <w:szCs w:val="24"/>
          <w:lang w:val="es-ES_tradnl"/>
        </w:rPr>
        <w:t>están directamente relacionadas con</w:t>
      </w:r>
      <w:r w:rsidRPr="008F2A3F">
        <w:rPr>
          <w:rFonts w:cs="Arial"/>
          <w:sz w:val="24"/>
          <w:szCs w:val="24"/>
          <w:lang w:val="es-ES_tradnl"/>
        </w:rPr>
        <w:t xml:space="preserve"> un producto e indicador asociado a PMI; y aquellas </w:t>
      </w:r>
      <w:r w:rsidRPr="008F2A3F">
        <w:rPr>
          <w:rFonts w:cs="Arial"/>
          <w:sz w:val="24"/>
          <w:szCs w:val="24"/>
          <w:lang w:val="es-ES_tradnl"/>
        </w:rPr>
        <w:lastRenderedPageBreak/>
        <w:t xml:space="preserve">acciones que, en cumplimiento de las funciones propias de la entidad, se desarrollaron para cumplir lo acordado. </w:t>
      </w:r>
    </w:p>
    <w:p w:rsidR="005D00CF" w:rsidRPr="008F2A3F" w:rsidRDefault="005D00CF" w:rsidP="00A91B15">
      <w:pPr>
        <w:jc w:val="both"/>
        <w:rPr>
          <w:rFonts w:cs="Arial"/>
          <w:sz w:val="24"/>
          <w:szCs w:val="24"/>
          <w:lang w:val="es-ES_tradnl"/>
        </w:rPr>
      </w:pPr>
    </w:p>
    <w:p w:rsidR="00744AE4" w:rsidRPr="008F2A3F" w:rsidRDefault="00744AE4" w:rsidP="00453B6A">
      <w:pPr>
        <w:pStyle w:val="Prrafodelista"/>
        <w:numPr>
          <w:ilvl w:val="0"/>
          <w:numId w:val="1"/>
        </w:numPr>
        <w:jc w:val="both"/>
        <w:rPr>
          <w:rFonts w:cs="Arial"/>
          <w:b/>
          <w:sz w:val="44"/>
          <w:szCs w:val="44"/>
          <w:lang w:val="es-ES_tradnl"/>
        </w:rPr>
      </w:pPr>
      <w:r w:rsidRPr="008F2A3F">
        <w:rPr>
          <w:rFonts w:cs="Arial"/>
          <w:b/>
          <w:sz w:val="44"/>
          <w:szCs w:val="44"/>
          <w:lang w:val="es-ES_tradnl"/>
        </w:rPr>
        <w:t>Instrumentos normativos</w:t>
      </w:r>
    </w:p>
    <w:p w:rsidR="00A91B15" w:rsidRPr="008F2A3F" w:rsidRDefault="00A91B15" w:rsidP="0043013D">
      <w:pPr>
        <w:jc w:val="both"/>
        <w:rPr>
          <w:rFonts w:cs="Arial"/>
          <w:sz w:val="24"/>
          <w:szCs w:val="24"/>
          <w:lang w:val="es-ES_tradnl"/>
        </w:rPr>
      </w:pPr>
      <w:r w:rsidRPr="008F2A3F">
        <w:rPr>
          <w:rFonts w:cs="Arial"/>
          <w:sz w:val="24"/>
          <w:szCs w:val="24"/>
          <w:lang w:val="es-ES_tradnl"/>
        </w:rPr>
        <w:t xml:space="preserve">En esta sección encuentra la información sobre </w:t>
      </w:r>
      <w:r w:rsidR="008617B4" w:rsidRPr="008F2A3F">
        <w:rPr>
          <w:rFonts w:cs="Arial"/>
          <w:sz w:val="24"/>
          <w:szCs w:val="24"/>
          <w:lang w:val="es-ES_tradnl"/>
        </w:rPr>
        <w:t xml:space="preserve">otras </w:t>
      </w:r>
      <w:r w:rsidRPr="008F2A3F">
        <w:rPr>
          <w:rFonts w:cs="Arial"/>
          <w:sz w:val="24"/>
          <w:szCs w:val="24"/>
          <w:lang w:val="es-ES_tradnl"/>
        </w:rPr>
        <w:t>acciones que viene desarrollando esta entidad para dar cumplimiento a decretos o leyes que se han expedidos con posteriorida</w:t>
      </w:r>
      <w:r w:rsidR="00C34401" w:rsidRPr="008F2A3F">
        <w:rPr>
          <w:rFonts w:cs="Arial"/>
          <w:sz w:val="24"/>
          <w:szCs w:val="24"/>
          <w:lang w:val="es-ES_tradnl"/>
        </w:rPr>
        <w:t xml:space="preserve">d a la firma del Acuerdo de Paz, </w:t>
      </w:r>
      <w:r w:rsidRPr="008F2A3F">
        <w:rPr>
          <w:rFonts w:cs="Arial"/>
          <w:sz w:val="24"/>
          <w:szCs w:val="24"/>
          <w:lang w:val="es-ES_tradnl"/>
        </w:rPr>
        <w:t xml:space="preserve">las cuales están </w:t>
      </w:r>
      <w:r w:rsidR="00C34401" w:rsidRPr="008F2A3F">
        <w:rPr>
          <w:rFonts w:cs="Arial"/>
          <w:sz w:val="24"/>
          <w:szCs w:val="24"/>
          <w:lang w:val="es-ES_tradnl"/>
        </w:rPr>
        <w:t>organizadas</w:t>
      </w:r>
      <w:r w:rsidRPr="008F2A3F">
        <w:rPr>
          <w:rFonts w:cs="Arial"/>
          <w:sz w:val="24"/>
          <w:szCs w:val="24"/>
          <w:lang w:val="es-ES_tradnl"/>
        </w:rPr>
        <w:t xml:space="preserve"> por cada uno d</w:t>
      </w:r>
      <w:r w:rsidR="00C34401" w:rsidRPr="008F2A3F">
        <w:rPr>
          <w:rFonts w:cs="Arial"/>
          <w:sz w:val="24"/>
          <w:szCs w:val="24"/>
          <w:lang w:val="es-ES_tradnl"/>
        </w:rPr>
        <w:t xml:space="preserve">e los Puntos del Acuerdo: </w:t>
      </w:r>
      <w:r w:rsidR="0043013D" w:rsidRPr="008F2A3F">
        <w:rPr>
          <w:rFonts w:cs="Arial"/>
          <w:sz w:val="24"/>
          <w:szCs w:val="24"/>
          <w:u w:val="single"/>
        </w:rPr>
        <w:t>Punto 3 del acuerdo, Fin del conflicto.</w:t>
      </w:r>
    </w:p>
    <w:p w:rsidR="0043013D" w:rsidRPr="008F2A3F" w:rsidRDefault="0043013D" w:rsidP="0043013D">
      <w:pPr>
        <w:ind w:left="708"/>
        <w:jc w:val="both"/>
        <w:rPr>
          <w:sz w:val="24"/>
          <w:szCs w:val="24"/>
        </w:rPr>
      </w:pPr>
      <w:r w:rsidRPr="008F2A3F">
        <w:rPr>
          <w:noProof/>
          <w:sz w:val="20"/>
          <w:szCs w:val="20"/>
          <w:lang w:val="es-419" w:eastAsia="es-419"/>
        </w:rPr>
        <w:drawing>
          <wp:inline distT="0" distB="0" distL="0" distR="0" wp14:anchorId="2CE3BCF4" wp14:editId="37D4A3F9">
            <wp:extent cx="914400" cy="850900"/>
            <wp:effectExtent l="0" t="0" r="0" b="6350"/>
            <wp:docPr id="14787"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rsidR="00307ADC" w:rsidRDefault="00307ADC" w:rsidP="00307ADC">
      <w:pPr>
        <w:spacing w:line="240" w:lineRule="auto"/>
        <w:ind w:left="96"/>
        <w:rPr>
          <w:b/>
          <w:color w:val="3366CC"/>
          <w:sz w:val="44"/>
          <w:szCs w:val="44"/>
          <w:u w:val="single"/>
        </w:rPr>
      </w:pPr>
      <w:r>
        <w:rPr>
          <w:color w:val="3366CC"/>
          <w:sz w:val="36"/>
          <w:szCs w:val="36"/>
        </w:rPr>
        <w:t>Punto 3 del Acuerdo</w:t>
      </w:r>
    </w:p>
    <w:p w:rsidR="00307ADC" w:rsidRPr="00D50B09" w:rsidRDefault="00307ADC" w:rsidP="00307ADC">
      <w:pPr>
        <w:spacing w:line="240" w:lineRule="auto"/>
        <w:rPr>
          <w:color w:val="3366CC"/>
          <w:sz w:val="28"/>
          <w:szCs w:val="28"/>
        </w:rPr>
      </w:pPr>
      <w:r>
        <w:rPr>
          <w:b/>
          <w:color w:val="3366CC"/>
          <w:sz w:val="44"/>
          <w:szCs w:val="44"/>
          <w:u w:val="single"/>
        </w:rPr>
        <w:t>FIN DEL CONFLICTO:</w:t>
      </w:r>
    </w:p>
    <w:p w:rsidR="0043013D" w:rsidRPr="008F2A3F" w:rsidRDefault="0043013D" w:rsidP="0043013D">
      <w:pPr>
        <w:spacing w:line="240" w:lineRule="auto"/>
        <w:ind w:left="108"/>
        <w:rPr>
          <w:rFonts w:cs="Arial"/>
          <w:b/>
          <w:sz w:val="36"/>
          <w:szCs w:val="36"/>
          <w:lang w:val="es-ES_tradnl"/>
        </w:rPr>
      </w:pPr>
      <w:r w:rsidRPr="008F2A3F">
        <w:rPr>
          <w:rFonts w:cs="Arial"/>
          <w:i/>
          <w:sz w:val="28"/>
          <w:szCs w:val="28"/>
          <w:lang w:val="es-ES_tradnl"/>
        </w:rPr>
        <w:t>Acción 1.</w:t>
      </w:r>
      <w:r w:rsidRPr="008F2A3F">
        <w:rPr>
          <w:rFonts w:cs="Arial"/>
          <w:b/>
          <w:sz w:val="36"/>
          <w:szCs w:val="36"/>
          <w:lang w:val="es-ES_tradnl"/>
        </w:rPr>
        <w:t xml:space="preserve"> </w:t>
      </w:r>
      <w:r w:rsidRPr="008F2A3F">
        <w:rPr>
          <w:rFonts w:cs="Arial"/>
          <w:b/>
          <w:sz w:val="36"/>
          <w:szCs w:val="36"/>
          <w:lang w:val="es-ES_tradnl"/>
        </w:rPr>
        <w:br/>
      </w:r>
      <w:r w:rsidRPr="008F2A3F">
        <w:rPr>
          <w:rFonts w:cs="Arial"/>
          <w:b/>
          <w:sz w:val="40"/>
          <w:szCs w:val="36"/>
          <w:lang w:val="es-ES_tradnl"/>
        </w:rPr>
        <w:t>Decreto 2027 de 2016</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1267"/>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rFonts w:cs="Arial"/>
                <w:sz w:val="24"/>
                <w:szCs w:val="24"/>
                <w:lang w:val="es-ES_tradnl"/>
              </w:rPr>
            </w:pPr>
            <w:r w:rsidRPr="008F2A3F">
              <w:rPr>
                <w:rFonts w:cs="Arial"/>
                <w:sz w:val="24"/>
                <w:szCs w:val="24"/>
                <w:lang w:val="es-ES_tradnl"/>
              </w:rPr>
              <w:t>Creación del Consejo Nacional de la Reincorporación</w:t>
            </w:r>
          </w:p>
        </w:tc>
      </w:tr>
    </w:tbl>
    <w:p w:rsidR="0043013D" w:rsidRPr="00307ADC" w:rsidRDefault="0043013D" w:rsidP="0043013D">
      <w:pPr>
        <w:spacing w:line="240" w:lineRule="auto"/>
        <w:jc w:val="both"/>
        <w:rPr>
          <w:color w:val="3366CC"/>
          <w:sz w:val="32"/>
          <w:szCs w:val="32"/>
          <w:u w:val="single"/>
        </w:rPr>
      </w:pPr>
      <w:r w:rsidRPr="00307ADC">
        <w:rPr>
          <w:color w:val="3366CC"/>
          <w:sz w:val="32"/>
          <w:szCs w:val="32"/>
          <w:u w:val="single"/>
        </w:rPr>
        <w:t>Productos e indicadores a los que aporta esta acción</w:t>
      </w:r>
    </w:p>
    <w:tbl>
      <w:tblPr>
        <w:tblW w:w="4989" w:type="pct"/>
        <w:tblInd w:w="10" w:type="dxa"/>
        <w:tblLook w:val="04A0" w:firstRow="1" w:lastRow="0" w:firstColumn="1" w:lastColumn="0" w:noHBand="0" w:noVBand="1"/>
      </w:tblPr>
      <w:tblGrid>
        <w:gridCol w:w="2706"/>
        <w:gridCol w:w="2143"/>
        <w:gridCol w:w="1966"/>
        <w:gridCol w:w="1073"/>
        <w:gridCol w:w="1071"/>
      </w:tblGrid>
      <w:tr w:rsidR="00867506" w:rsidRPr="008F2A3F" w:rsidTr="00E73961">
        <w:trPr>
          <w:trHeight w:val="400"/>
        </w:trPr>
        <w:tc>
          <w:tcPr>
            <w:tcW w:w="1510" w:type="pct"/>
            <w:shd w:val="clear" w:color="auto" w:fill="A6A6A6" w:themeFill="background1" w:themeFillShade="A6"/>
          </w:tcPr>
          <w:p w:rsidR="00867506" w:rsidRPr="008F2A3F" w:rsidRDefault="00867506" w:rsidP="00E73961">
            <w:pPr>
              <w:spacing w:after="0" w:line="240" w:lineRule="auto"/>
              <w:jc w:val="center"/>
            </w:pPr>
            <w:r w:rsidRPr="008F2A3F">
              <w:t>PRODUCTO</w:t>
            </w:r>
          </w:p>
        </w:tc>
        <w:tc>
          <w:tcPr>
            <w:tcW w:w="1196" w:type="pct"/>
            <w:shd w:val="clear" w:color="auto" w:fill="A6A6A6" w:themeFill="background1" w:themeFillShade="A6"/>
          </w:tcPr>
          <w:p w:rsidR="00867506" w:rsidRPr="008F2A3F" w:rsidRDefault="00867506" w:rsidP="00E73961">
            <w:pPr>
              <w:spacing w:after="0" w:line="240" w:lineRule="auto"/>
              <w:jc w:val="center"/>
            </w:pPr>
            <w:r w:rsidRPr="008F2A3F">
              <w:t>INDICADOR</w:t>
            </w:r>
          </w:p>
        </w:tc>
        <w:tc>
          <w:tcPr>
            <w:tcW w:w="1097" w:type="pct"/>
            <w:shd w:val="clear" w:color="auto" w:fill="A6A6A6" w:themeFill="background1" w:themeFillShade="A6"/>
          </w:tcPr>
          <w:p w:rsidR="00867506" w:rsidRPr="008F2A3F" w:rsidRDefault="00867506" w:rsidP="00E73961">
            <w:pPr>
              <w:spacing w:after="0" w:line="240" w:lineRule="auto"/>
              <w:jc w:val="center"/>
            </w:pPr>
            <w:r w:rsidRPr="008F2A3F">
              <w:t xml:space="preserve">SECTOR </w:t>
            </w:r>
          </w:p>
          <w:p w:rsidR="00867506" w:rsidRPr="008F2A3F" w:rsidRDefault="00867506" w:rsidP="00E73961">
            <w:pPr>
              <w:spacing w:after="0" w:line="240" w:lineRule="auto"/>
              <w:jc w:val="center"/>
            </w:pPr>
            <w:r w:rsidRPr="008F2A3F">
              <w:t xml:space="preserve">RESPONSABLE </w:t>
            </w:r>
          </w:p>
        </w:tc>
        <w:tc>
          <w:tcPr>
            <w:tcW w:w="599" w:type="pct"/>
            <w:shd w:val="clear" w:color="auto" w:fill="A6A6A6" w:themeFill="background1" w:themeFillShade="A6"/>
          </w:tcPr>
          <w:p w:rsidR="00867506" w:rsidRPr="008F2A3F" w:rsidRDefault="00867506" w:rsidP="00E73961">
            <w:pPr>
              <w:spacing w:after="0" w:line="240" w:lineRule="auto"/>
              <w:jc w:val="center"/>
            </w:pPr>
            <w:r w:rsidRPr="008F2A3F">
              <w:t>AÑO</w:t>
            </w:r>
          </w:p>
          <w:p w:rsidR="00867506" w:rsidRPr="008F2A3F" w:rsidRDefault="00867506" w:rsidP="00E73961">
            <w:pPr>
              <w:spacing w:after="0" w:line="240" w:lineRule="auto"/>
              <w:jc w:val="center"/>
            </w:pPr>
            <w:r w:rsidRPr="008F2A3F">
              <w:t>INICIO</w:t>
            </w:r>
          </w:p>
        </w:tc>
        <w:tc>
          <w:tcPr>
            <w:tcW w:w="598" w:type="pct"/>
            <w:shd w:val="clear" w:color="auto" w:fill="A6A6A6" w:themeFill="background1" w:themeFillShade="A6"/>
          </w:tcPr>
          <w:p w:rsidR="00867506" w:rsidRPr="008F2A3F" w:rsidRDefault="00867506" w:rsidP="00E73961">
            <w:pPr>
              <w:spacing w:after="0" w:line="240" w:lineRule="auto"/>
              <w:jc w:val="center"/>
            </w:pPr>
            <w:r w:rsidRPr="008F2A3F">
              <w:t xml:space="preserve">AÑO </w:t>
            </w:r>
          </w:p>
          <w:p w:rsidR="00867506" w:rsidRPr="008F2A3F" w:rsidRDefault="00867506" w:rsidP="00E73961">
            <w:pPr>
              <w:spacing w:after="0" w:line="240" w:lineRule="auto"/>
              <w:jc w:val="center"/>
            </w:pPr>
            <w:r w:rsidRPr="008F2A3F">
              <w:t>FIN</w:t>
            </w:r>
          </w:p>
        </w:tc>
      </w:tr>
      <w:tr w:rsidR="00867506" w:rsidRPr="008F2A3F" w:rsidTr="00867506">
        <w:tblPrEx>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Ex>
        <w:trPr>
          <w:trHeight w:val="400"/>
        </w:trPr>
        <w:tc>
          <w:tcPr>
            <w:tcW w:w="1510" w:type="pct"/>
            <w:shd w:val="clear" w:color="auto" w:fill="FFFFFF" w:themeFill="background1"/>
          </w:tcPr>
          <w:p w:rsidR="00867506" w:rsidRPr="008F2A3F" w:rsidRDefault="00867506" w:rsidP="00E73961">
            <w:pPr>
              <w:spacing w:after="0" w:line="240" w:lineRule="auto"/>
              <w:rPr>
                <w:rFonts w:cs="Arial"/>
                <w:lang w:val="es-ES_tradnl"/>
              </w:rPr>
            </w:pPr>
            <w:r w:rsidRPr="008F2A3F">
              <w:rPr>
                <w:rFonts w:cs="Arial"/>
                <w:lang w:val="es-ES_tradnl"/>
              </w:rPr>
              <w:t>Consejo Nacional de Reincorporación</w:t>
            </w:r>
          </w:p>
        </w:tc>
        <w:tc>
          <w:tcPr>
            <w:tcW w:w="1196" w:type="pct"/>
            <w:shd w:val="clear" w:color="auto" w:fill="FFFFFF" w:themeFill="background1"/>
          </w:tcPr>
          <w:p w:rsidR="00867506" w:rsidRPr="008F2A3F" w:rsidRDefault="00484642" w:rsidP="00E73961">
            <w:pPr>
              <w:spacing w:after="0" w:line="240" w:lineRule="auto"/>
              <w:rPr>
                <w:rFonts w:cs="Arial"/>
                <w:lang w:val="es-ES_tradnl"/>
              </w:rPr>
            </w:pPr>
            <w:r w:rsidRPr="008F2A3F">
              <w:rPr>
                <w:rFonts w:cs="Arial"/>
                <w:lang w:val="es-ES_tradnl"/>
              </w:rPr>
              <w:t>Consejo Nacional de Reincorporación creado y en funcionamiento</w:t>
            </w:r>
          </w:p>
        </w:tc>
        <w:tc>
          <w:tcPr>
            <w:tcW w:w="1097" w:type="pct"/>
            <w:shd w:val="clear" w:color="auto" w:fill="FFFFFF" w:themeFill="background1"/>
          </w:tcPr>
          <w:p w:rsidR="00867506" w:rsidRPr="008F2A3F" w:rsidRDefault="00867506" w:rsidP="00E73961">
            <w:pPr>
              <w:spacing w:after="0" w:line="240" w:lineRule="auto"/>
            </w:pPr>
            <w:r w:rsidRPr="008F2A3F">
              <w:t xml:space="preserve">Presidencia </w:t>
            </w:r>
          </w:p>
        </w:tc>
        <w:tc>
          <w:tcPr>
            <w:tcW w:w="599" w:type="pct"/>
            <w:shd w:val="clear" w:color="auto" w:fill="FFFFFF" w:themeFill="background1"/>
          </w:tcPr>
          <w:p w:rsidR="00867506" w:rsidRPr="008F2A3F" w:rsidRDefault="00867506" w:rsidP="00E73961">
            <w:pPr>
              <w:spacing w:after="0" w:line="240" w:lineRule="auto"/>
            </w:pPr>
            <w:r w:rsidRPr="008F2A3F">
              <w:t>2017</w:t>
            </w:r>
          </w:p>
        </w:tc>
        <w:tc>
          <w:tcPr>
            <w:tcW w:w="598" w:type="pct"/>
            <w:shd w:val="clear" w:color="auto" w:fill="FFFFFF" w:themeFill="background1"/>
          </w:tcPr>
          <w:p w:rsidR="00867506" w:rsidRPr="008F2A3F" w:rsidRDefault="00867506" w:rsidP="00E73961">
            <w:pPr>
              <w:spacing w:after="0" w:line="240" w:lineRule="auto"/>
            </w:pPr>
            <w:r w:rsidRPr="008F2A3F">
              <w:t>2017</w:t>
            </w:r>
          </w:p>
        </w:tc>
      </w:tr>
    </w:tbl>
    <w:p w:rsidR="00903C7C" w:rsidRPr="008F2A3F" w:rsidRDefault="00903C7C" w:rsidP="00A91B15">
      <w:pPr>
        <w:spacing w:line="240" w:lineRule="auto"/>
        <w:jc w:val="both"/>
        <w:rPr>
          <w:rFonts w:cs="Arial"/>
          <w:sz w:val="32"/>
          <w:szCs w:val="32"/>
          <w:u w:val="thick"/>
          <w:lang w:val="es-ES_tradnl"/>
        </w:rPr>
      </w:pPr>
    </w:p>
    <w:p w:rsidR="00A91B15" w:rsidRPr="00307ADC" w:rsidRDefault="00A91B15" w:rsidP="00A91B15">
      <w:pPr>
        <w:spacing w:line="240" w:lineRule="auto"/>
        <w:jc w:val="both"/>
        <w:rPr>
          <w:color w:val="3366CC"/>
          <w:sz w:val="32"/>
          <w:szCs w:val="32"/>
          <w:u w:val="single"/>
        </w:rPr>
      </w:pPr>
      <w:r w:rsidRPr="00307ADC">
        <w:rPr>
          <w:color w:val="3366CC"/>
          <w:sz w:val="32"/>
          <w:szCs w:val="32"/>
          <w:u w:val="single"/>
        </w:rPr>
        <w:t>Actividades que se desarrollaron:</w:t>
      </w:r>
    </w:p>
    <w:tbl>
      <w:tblPr>
        <w:tblW w:w="9072" w:type="dxa"/>
        <w:jc w:val="center"/>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8F2A3F" w:rsidTr="002A1AB6">
        <w:trPr>
          <w:trHeight w:val="394"/>
          <w:jc w:val="center"/>
        </w:trPr>
        <w:tc>
          <w:tcPr>
            <w:tcW w:w="2411" w:type="dxa"/>
            <w:tcBorders>
              <w:top w:val="single" w:sz="8" w:space="0" w:color="BBBBBB"/>
              <w:left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AÑO</w:t>
            </w:r>
          </w:p>
        </w:tc>
        <w:tc>
          <w:tcPr>
            <w:tcW w:w="6661" w:type="dxa"/>
            <w:tcBorders>
              <w:top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NOMBRE DE ACTIVIDADES DESARROLLADAS</w:t>
            </w:r>
          </w:p>
        </w:tc>
      </w:tr>
      <w:tr w:rsidR="00A91B15" w:rsidRPr="008F2A3F" w:rsidTr="002A1AB6">
        <w:trPr>
          <w:trHeight w:val="394"/>
          <w:jc w:val="center"/>
        </w:trPr>
        <w:tc>
          <w:tcPr>
            <w:tcW w:w="2411" w:type="dxa"/>
            <w:tcBorders>
              <w:right w:val="nil"/>
            </w:tcBorders>
            <w:shd w:val="clear" w:color="auto" w:fill="auto"/>
          </w:tcPr>
          <w:p w:rsidR="00A91B15" w:rsidRPr="008F2A3F" w:rsidRDefault="00A91B15" w:rsidP="00731437">
            <w:pPr>
              <w:spacing w:after="0" w:line="240" w:lineRule="auto"/>
              <w:rPr>
                <w:rFonts w:cs="Arial"/>
                <w:b/>
                <w:bCs/>
                <w:lang w:val="es-ES_tradnl"/>
              </w:rPr>
            </w:pPr>
            <w:r w:rsidRPr="008F2A3F">
              <w:rPr>
                <w:rFonts w:cs="Arial"/>
                <w:b/>
                <w:bCs/>
                <w:lang w:val="es-ES_tradnl"/>
              </w:rPr>
              <w:t>201</w:t>
            </w:r>
            <w:r w:rsidR="00892E6F" w:rsidRPr="008F2A3F">
              <w:rPr>
                <w:rFonts w:cs="Arial"/>
                <w:b/>
                <w:bCs/>
                <w:lang w:val="es-ES_tradnl"/>
              </w:rPr>
              <w:t>9</w:t>
            </w:r>
          </w:p>
        </w:tc>
        <w:tc>
          <w:tcPr>
            <w:tcW w:w="6661" w:type="dxa"/>
            <w:tcBorders>
              <w:left w:val="nil"/>
              <w:right w:val="nil"/>
            </w:tcBorders>
            <w:shd w:val="clear" w:color="auto" w:fill="auto"/>
          </w:tcPr>
          <w:p w:rsidR="00A91B15" w:rsidRPr="00EC0339" w:rsidRDefault="00867506" w:rsidP="00EC0339">
            <w:pPr>
              <w:pStyle w:val="Prrafodelista"/>
              <w:numPr>
                <w:ilvl w:val="3"/>
                <w:numId w:val="16"/>
              </w:numPr>
              <w:spacing w:after="0" w:line="240" w:lineRule="auto"/>
            </w:pPr>
            <w:r w:rsidRPr="008F2A3F">
              <w:t>Sesiones CNR</w:t>
            </w:r>
          </w:p>
        </w:tc>
      </w:tr>
    </w:tbl>
    <w:p w:rsidR="00A91B15" w:rsidRPr="008F2A3F" w:rsidRDefault="00A91B15" w:rsidP="00A91B15">
      <w:pPr>
        <w:spacing w:line="240" w:lineRule="auto"/>
        <w:jc w:val="both"/>
        <w:rPr>
          <w:rFonts w:cs="Arial"/>
          <w:sz w:val="32"/>
          <w:szCs w:val="32"/>
          <w:u w:val="thick"/>
          <w:lang w:val="es-ES_tradnl"/>
        </w:rPr>
      </w:pPr>
    </w:p>
    <w:tbl>
      <w:tblPr>
        <w:tblW w:w="9356"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356"/>
      </w:tblGrid>
      <w:tr w:rsidR="00867506" w:rsidRPr="008F2A3F" w:rsidTr="00755994">
        <w:trPr>
          <w:jc w:val="center"/>
        </w:trPr>
        <w:tc>
          <w:tcPr>
            <w:tcW w:w="9356" w:type="dxa"/>
            <w:shd w:val="clear" w:color="auto" w:fill="F2F2F2"/>
          </w:tcPr>
          <w:p w:rsidR="00867506" w:rsidRPr="00307ADC" w:rsidRDefault="00867506" w:rsidP="00867506">
            <w:pPr>
              <w:spacing w:after="0" w:line="240" w:lineRule="auto"/>
              <w:ind w:left="-282" w:right="529" w:firstLine="282"/>
              <w:jc w:val="both"/>
              <w:rPr>
                <w:color w:val="3366CC"/>
                <w:sz w:val="32"/>
                <w:szCs w:val="32"/>
                <w:u w:val="single"/>
              </w:rPr>
            </w:pPr>
            <w:r w:rsidRPr="00307ADC">
              <w:rPr>
                <w:color w:val="3366CC"/>
                <w:sz w:val="32"/>
                <w:szCs w:val="32"/>
                <w:u w:val="single"/>
              </w:rPr>
              <w:lastRenderedPageBreak/>
              <w:t>¿Cómo se hizo?</w:t>
            </w:r>
            <w:r w:rsidRPr="00307ADC">
              <w:rPr>
                <w:noProof/>
                <w:color w:val="3366CC"/>
                <w:sz w:val="32"/>
                <w:szCs w:val="32"/>
                <w:u w:val="single"/>
                <w:lang w:val="es-419" w:eastAsia="es-419"/>
              </w:rPr>
              <w:drawing>
                <wp:anchor distT="0" distB="0" distL="114300" distR="114300" simplePos="0" relativeHeight="251724288" behindDoc="0" locked="0" layoutInCell="1" hidden="0" allowOverlap="1" wp14:anchorId="73A35E4C" wp14:editId="5D657774">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867506" w:rsidRPr="008F2A3F" w:rsidRDefault="00867506" w:rsidP="00867506">
            <w:pPr>
              <w:spacing w:after="0" w:line="240" w:lineRule="auto"/>
              <w:jc w:val="both"/>
              <w:rPr>
                <w:rFonts w:asciiTheme="minorHAnsi" w:hAnsiTheme="minorHAnsi"/>
                <w:i/>
              </w:rPr>
            </w:pPr>
            <w:r w:rsidRPr="008F2A3F">
              <w:rPr>
                <w:rFonts w:asciiTheme="minorHAnsi" w:hAnsiTheme="minorHAnsi"/>
                <w:i/>
              </w:rPr>
              <w:t>2019</w:t>
            </w:r>
          </w:p>
          <w:p w:rsidR="00867506" w:rsidRPr="008F2A3F" w:rsidRDefault="00867506" w:rsidP="00867506">
            <w:pPr>
              <w:spacing w:after="0" w:line="240" w:lineRule="auto"/>
              <w:jc w:val="both"/>
              <w:rPr>
                <w:rFonts w:asciiTheme="minorHAnsi" w:hAnsiTheme="minorHAnsi" w:cs="Arial"/>
                <w:i/>
                <w:lang w:val="es-ES_tradnl"/>
              </w:rPr>
            </w:pPr>
          </w:p>
          <w:p w:rsidR="00867506" w:rsidRPr="008F2A3F" w:rsidRDefault="00867506" w:rsidP="00867506">
            <w:pPr>
              <w:pStyle w:val="Prrafodelista"/>
              <w:spacing w:after="0" w:line="240" w:lineRule="auto"/>
              <w:ind w:left="1593"/>
              <w:jc w:val="both"/>
              <w:rPr>
                <w:rFonts w:asciiTheme="minorHAnsi" w:hAnsiTheme="minorHAnsi"/>
              </w:rPr>
            </w:pPr>
            <w:r w:rsidRPr="008F2A3F">
              <w:rPr>
                <w:rFonts w:asciiTheme="minorHAnsi" w:hAnsiTheme="minorHAnsi"/>
              </w:rPr>
              <w:t>A partir del Decreto 2027 de 2016 se crea el C</w:t>
            </w:r>
            <w:r w:rsidR="00903C7C" w:rsidRPr="008F2A3F">
              <w:rPr>
                <w:rFonts w:asciiTheme="minorHAnsi" w:hAnsiTheme="minorHAnsi"/>
              </w:rPr>
              <w:t xml:space="preserve">onsejo </w:t>
            </w:r>
            <w:r w:rsidRPr="008F2A3F">
              <w:rPr>
                <w:rFonts w:asciiTheme="minorHAnsi" w:hAnsiTheme="minorHAnsi"/>
              </w:rPr>
              <w:t>N</w:t>
            </w:r>
            <w:r w:rsidR="00903C7C" w:rsidRPr="008F2A3F">
              <w:rPr>
                <w:rFonts w:asciiTheme="minorHAnsi" w:hAnsiTheme="minorHAnsi"/>
              </w:rPr>
              <w:t xml:space="preserve">acional de </w:t>
            </w:r>
            <w:r w:rsidRPr="008F2A3F">
              <w:rPr>
                <w:rFonts w:asciiTheme="minorHAnsi" w:hAnsiTheme="minorHAnsi"/>
              </w:rPr>
              <w:t>R</w:t>
            </w:r>
            <w:r w:rsidR="00903C7C" w:rsidRPr="008F2A3F">
              <w:rPr>
                <w:rFonts w:asciiTheme="minorHAnsi" w:hAnsiTheme="minorHAnsi"/>
              </w:rPr>
              <w:t>eincorporación</w:t>
            </w:r>
            <w:r w:rsidRPr="008F2A3F">
              <w:rPr>
                <w:rFonts w:asciiTheme="minorHAnsi" w:hAnsiTheme="minorHAnsi"/>
              </w:rPr>
              <w:t>, se define el objeto</w:t>
            </w:r>
            <w:r w:rsidR="00903C7C" w:rsidRPr="008F2A3F">
              <w:rPr>
                <w:rFonts w:asciiTheme="minorHAnsi" w:hAnsiTheme="minorHAnsi"/>
              </w:rPr>
              <w:t>,</w:t>
            </w:r>
            <w:r w:rsidRPr="008F2A3F">
              <w:rPr>
                <w:rFonts w:asciiTheme="minorHAnsi" w:hAnsiTheme="minorHAnsi"/>
              </w:rPr>
              <w:t xml:space="preserve"> la composición y funciones de esta instancia, integrada por dos representantes del Gobierno Nacional</w:t>
            </w:r>
            <w:r w:rsidR="00903C7C" w:rsidRPr="008F2A3F">
              <w:rPr>
                <w:rFonts w:asciiTheme="minorHAnsi" w:hAnsiTheme="minorHAnsi"/>
              </w:rPr>
              <w:t>:</w:t>
            </w:r>
            <w:r w:rsidRPr="008F2A3F">
              <w:rPr>
                <w:rFonts w:asciiTheme="minorHAnsi" w:hAnsiTheme="minorHAnsi"/>
              </w:rPr>
              <w:t xml:space="preserve"> </w:t>
            </w:r>
            <w:r w:rsidR="00903C7C" w:rsidRPr="008F2A3F">
              <w:rPr>
                <w:rFonts w:asciiTheme="minorHAnsi" w:hAnsiTheme="minorHAnsi"/>
              </w:rPr>
              <w:t>el</w:t>
            </w:r>
            <w:r w:rsidRPr="008F2A3F">
              <w:rPr>
                <w:rFonts w:asciiTheme="minorHAnsi" w:hAnsiTheme="minorHAnsi"/>
              </w:rPr>
              <w:t xml:space="preserve"> Consejero para la Estabilización y la Consolidación y </w:t>
            </w:r>
            <w:r w:rsidR="00903C7C" w:rsidRPr="008F2A3F">
              <w:rPr>
                <w:rFonts w:asciiTheme="minorHAnsi" w:hAnsiTheme="minorHAnsi"/>
              </w:rPr>
              <w:t>el</w:t>
            </w:r>
            <w:r w:rsidRPr="008F2A3F">
              <w:rPr>
                <w:rFonts w:asciiTheme="minorHAnsi" w:hAnsiTheme="minorHAnsi"/>
              </w:rPr>
              <w:t xml:space="preserve"> Director General</w:t>
            </w:r>
            <w:r w:rsidR="00903C7C" w:rsidRPr="008F2A3F">
              <w:rPr>
                <w:rFonts w:asciiTheme="minorHAnsi" w:hAnsiTheme="minorHAnsi"/>
              </w:rPr>
              <w:t xml:space="preserve"> </w:t>
            </w:r>
            <w:r w:rsidRPr="008F2A3F">
              <w:rPr>
                <w:rFonts w:asciiTheme="minorHAnsi" w:hAnsiTheme="minorHAnsi"/>
              </w:rPr>
              <w:t>de la Agencia para la Reincorporación y la Normalización (ARN); dos representantes del colectivo FARC: Pastor Alape y Luis René Medina.</w:t>
            </w:r>
          </w:p>
          <w:p w:rsidR="00867506" w:rsidRPr="008F2A3F" w:rsidRDefault="00867506" w:rsidP="00867506">
            <w:pPr>
              <w:pStyle w:val="Prrafodelista"/>
              <w:spacing w:after="0" w:line="240" w:lineRule="auto"/>
              <w:ind w:left="1593"/>
              <w:jc w:val="both"/>
              <w:rPr>
                <w:rFonts w:asciiTheme="minorHAnsi" w:hAnsiTheme="minorHAnsi" w:cs="Arial"/>
                <w:lang w:val="es-ES"/>
              </w:rPr>
            </w:pPr>
          </w:p>
          <w:p w:rsidR="00867506" w:rsidRPr="008F2A3F" w:rsidRDefault="00867506" w:rsidP="00867506">
            <w:pPr>
              <w:spacing w:after="0" w:line="240" w:lineRule="auto"/>
              <w:ind w:left="601"/>
              <w:jc w:val="both"/>
              <w:rPr>
                <w:rFonts w:asciiTheme="minorHAnsi" w:hAnsiTheme="minorHAnsi" w:cs="Arial"/>
                <w:lang w:val="es-ES"/>
              </w:rPr>
            </w:pPr>
            <w:r w:rsidRPr="008F2A3F">
              <w:rPr>
                <w:rFonts w:asciiTheme="minorHAnsi" w:hAnsiTheme="minorHAnsi" w:cs="Arial"/>
                <w:lang w:val="es-ES"/>
              </w:rPr>
              <w:t xml:space="preserve">Se realizaron 13 sesiones el CNR entre el 01 de enero y el 31 de diciembre, en las cuales se destacan los siguientes logros:  </w:t>
            </w:r>
          </w:p>
          <w:p w:rsidR="00867506" w:rsidRPr="008F2A3F" w:rsidRDefault="00867506" w:rsidP="00867506">
            <w:pPr>
              <w:spacing w:after="0" w:line="240" w:lineRule="auto"/>
              <w:jc w:val="both"/>
              <w:rPr>
                <w:rFonts w:asciiTheme="minorHAnsi" w:hAnsiTheme="minorHAnsi" w:cs="Arial"/>
                <w:lang w:val="es-ES"/>
              </w:rPr>
            </w:pPr>
          </w:p>
          <w:p w:rsidR="00867506" w:rsidRPr="008F2A3F" w:rsidRDefault="00867506" w:rsidP="005B6819">
            <w:pPr>
              <w:numPr>
                <w:ilvl w:val="0"/>
                <w:numId w:val="18"/>
              </w:numPr>
              <w:spacing w:line="252" w:lineRule="auto"/>
              <w:jc w:val="both"/>
              <w:rPr>
                <w:rFonts w:asciiTheme="minorHAnsi" w:hAnsiTheme="minorHAnsi"/>
              </w:rPr>
            </w:pPr>
            <w:r w:rsidRPr="008F2A3F">
              <w:rPr>
                <w:rFonts w:asciiTheme="minorHAnsi" w:hAnsiTheme="minorHAnsi"/>
              </w:rPr>
              <w:t>En la sesión 98 se presentó un balance del programa Camino Diferencial de Vida y transición del programa a la ARN.</w:t>
            </w:r>
          </w:p>
          <w:p w:rsidR="00867506" w:rsidRPr="008F2A3F" w:rsidRDefault="00867506" w:rsidP="005B6819">
            <w:pPr>
              <w:numPr>
                <w:ilvl w:val="0"/>
                <w:numId w:val="18"/>
              </w:numPr>
              <w:spacing w:line="252" w:lineRule="auto"/>
              <w:jc w:val="both"/>
              <w:rPr>
                <w:rFonts w:asciiTheme="minorHAnsi" w:hAnsiTheme="minorHAnsi"/>
              </w:rPr>
            </w:pPr>
            <w:r w:rsidRPr="008F2A3F">
              <w:rPr>
                <w:rFonts w:asciiTheme="minorHAnsi" w:hAnsiTheme="minorHAnsi"/>
              </w:rPr>
              <w:t>En la sesión 99 se presentaron los resultados de la aplicación del Registro Nacional de Reincorporación.</w:t>
            </w:r>
          </w:p>
          <w:p w:rsidR="00867506" w:rsidRPr="008F2A3F" w:rsidRDefault="00867506" w:rsidP="005B6819">
            <w:pPr>
              <w:numPr>
                <w:ilvl w:val="0"/>
                <w:numId w:val="19"/>
              </w:numPr>
              <w:spacing w:line="252" w:lineRule="auto"/>
              <w:ind w:left="1134" w:hanging="436"/>
              <w:jc w:val="both"/>
              <w:rPr>
                <w:rFonts w:asciiTheme="minorHAnsi" w:hAnsiTheme="minorHAnsi"/>
              </w:rPr>
            </w:pPr>
            <w:r w:rsidRPr="008F2A3F">
              <w:rPr>
                <w:rFonts w:asciiTheme="minorHAnsi" w:hAnsiTheme="minorHAnsi"/>
              </w:rPr>
              <w:t>En la sesión 100 se expuso la encuesta para la identificación de Estigmatización.</w:t>
            </w:r>
          </w:p>
          <w:p w:rsidR="00867506" w:rsidRPr="008F2A3F" w:rsidRDefault="00867506" w:rsidP="005B6819">
            <w:pPr>
              <w:numPr>
                <w:ilvl w:val="0"/>
                <w:numId w:val="19"/>
              </w:numPr>
              <w:spacing w:line="252" w:lineRule="auto"/>
              <w:ind w:left="1134" w:hanging="436"/>
              <w:jc w:val="both"/>
              <w:rPr>
                <w:rFonts w:asciiTheme="minorHAnsi" w:hAnsiTheme="minorHAnsi"/>
              </w:rPr>
            </w:pPr>
            <w:r w:rsidRPr="008F2A3F">
              <w:rPr>
                <w:rFonts w:asciiTheme="minorHAnsi" w:hAnsiTheme="minorHAnsi"/>
                <w:lang w:val="es-MX"/>
              </w:rPr>
              <w:t xml:space="preserve">En la sesión 101 se presentó (i) la metodología y cronograma para la socialización de la estrategia de Estabilización de los ETCR y consolidación territorial; (ii) </w:t>
            </w:r>
            <w:r w:rsidRPr="008F2A3F">
              <w:rPr>
                <w:rFonts w:asciiTheme="minorHAnsi" w:hAnsiTheme="minorHAnsi"/>
              </w:rPr>
              <w:t>se realizaron ajustes a la propuesta de prevención de estigmatización y (iii) se definió la coordinación de la Unidad Técnica de Reincorporación.</w:t>
            </w:r>
          </w:p>
          <w:p w:rsidR="00867506" w:rsidRPr="008F2A3F" w:rsidRDefault="00867506" w:rsidP="005B6819">
            <w:pPr>
              <w:numPr>
                <w:ilvl w:val="0"/>
                <w:numId w:val="19"/>
              </w:numPr>
              <w:spacing w:line="252" w:lineRule="auto"/>
              <w:ind w:left="1134" w:hanging="436"/>
              <w:jc w:val="both"/>
              <w:rPr>
                <w:rFonts w:asciiTheme="minorHAnsi" w:hAnsiTheme="minorHAnsi"/>
              </w:rPr>
            </w:pPr>
            <w:r w:rsidRPr="008F2A3F">
              <w:rPr>
                <w:rFonts w:asciiTheme="minorHAnsi" w:hAnsiTheme="minorHAnsi"/>
              </w:rPr>
              <w:t>En la sesión 102, se presentaron (i) los lineamientos para la ruta de reincorporación y la posterior expedición de la resolución que la reglamenta; (ii) se aprueba la prórroga del esquema de salud en lo</w:t>
            </w:r>
            <w:r w:rsidR="003712ED" w:rsidRPr="008F2A3F">
              <w:rPr>
                <w:rFonts w:asciiTheme="minorHAnsi" w:hAnsiTheme="minorHAnsi"/>
              </w:rPr>
              <w:t>s</w:t>
            </w:r>
            <w:r w:rsidR="00FF3FF5" w:rsidRPr="008F2A3F">
              <w:rPr>
                <w:rFonts w:asciiTheme="minorHAnsi" w:hAnsiTheme="minorHAnsi"/>
              </w:rPr>
              <w:t xml:space="preserve"> antiguos</w:t>
            </w:r>
            <w:r w:rsidRPr="008F2A3F">
              <w:rPr>
                <w:rFonts w:asciiTheme="minorHAnsi" w:hAnsiTheme="minorHAnsi"/>
              </w:rPr>
              <w:t xml:space="preserve"> E</w:t>
            </w:r>
            <w:r w:rsidR="003712ED" w:rsidRPr="008F2A3F">
              <w:rPr>
                <w:rFonts w:asciiTheme="minorHAnsi" w:hAnsiTheme="minorHAnsi"/>
              </w:rPr>
              <w:t xml:space="preserve">spacios </w:t>
            </w:r>
            <w:r w:rsidRPr="008F2A3F">
              <w:rPr>
                <w:rFonts w:asciiTheme="minorHAnsi" w:hAnsiTheme="minorHAnsi"/>
              </w:rPr>
              <w:t>T</w:t>
            </w:r>
            <w:r w:rsidR="003712ED" w:rsidRPr="008F2A3F">
              <w:rPr>
                <w:rFonts w:asciiTheme="minorHAnsi" w:hAnsiTheme="minorHAnsi"/>
              </w:rPr>
              <w:t xml:space="preserve">erritoriales de Capacitación y </w:t>
            </w:r>
            <w:r w:rsidRPr="008F2A3F">
              <w:rPr>
                <w:rFonts w:asciiTheme="minorHAnsi" w:hAnsiTheme="minorHAnsi"/>
              </w:rPr>
              <w:t>R</w:t>
            </w:r>
            <w:r w:rsidR="003712ED" w:rsidRPr="008F2A3F">
              <w:rPr>
                <w:rFonts w:asciiTheme="minorHAnsi" w:hAnsiTheme="minorHAnsi"/>
              </w:rPr>
              <w:t>eincorporación-ETCR</w:t>
            </w:r>
            <w:r w:rsidRPr="008F2A3F">
              <w:rPr>
                <w:rFonts w:asciiTheme="minorHAnsi" w:hAnsiTheme="minorHAnsi"/>
              </w:rPr>
              <w:t xml:space="preserve"> a 31 de diciembre de 2019. El esquema contempla tres días mensuales de atención presencial en los ETCR: dos días de consulta y un día para fortalecimiento de actividades pedagógicas, promoción y prevención, gestión comunitaria en salud en todos los ETCR. Así mismo, la ubicación de ambulancias permanentes y al llamado y, (iii) se aprueba el ajuste al proyecto productivo Granja Integral que se desarrolla en el ETCR de Miravalle, en este sentido, se modifica la línea avícola y se valida la destinación de un apoyo presupuestal por parte del PNUD</w:t>
            </w:r>
            <w:r w:rsidR="003712ED" w:rsidRPr="008F2A3F">
              <w:rPr>
                <w:rStyle w:val="Refdenotaalpie"/>
                <w:rFonts w:asciiTheme="minorHAnsi" w:hAnsiTheme="minorHAnsi"/>
              </w:rPr>
              <w:footnoteReference w:id="8"/>
            </w:r>
            <w:r w:rsidRPr="008F2A3F">
              <w:rPr>
                <w:rFonts w:asciiTheme="minorHAnsi" w:hAnsiTheme="minorHAnsi"/>
              </w:rPr>
              <w:t xml:space="preserve"> para la adquisición de un camión de 5 toneladas para el transporte de productos.</w:t>
            </w:r>
          </w:p>
          <w:p w:rsidR="00867506" w:rsidRPr="008F2A3F" w:rsidRDefault="00867506" w:rsidP="005B6819">
            <w:pPr>
              <w:numPr>
                <w:ilvl w:val="0"/>
                <w:numId w:val="19"/>
              </w:numPr>
              <w:spacing w:line="252" w:lineRule="auto"/>
              <w:ind w:left="1134"/>
              <w:jc w:val="both"/>
              <w:rPr>
                <w:rFonts w:asciiTheme="minorHAnsi" w:hAnsiTheme="minorHAnsi"/>
              </w:rPr>
            </w:pPr>
            <w:r w:rsidRPr="008F2A3F">
              <w:rPr>
                <w:rFonts w:asciiTheme="minorHAnsi" w:hAnsiTheme="minorHAnsi"/>
              </w:rPr>
              <w:t xml:space="preserve">En la sesión 104 se aprobó la Cartilla de Herramientas para la inclusión de enfoque de género en procesos de reincorporación económica, elaborada por el equipo que integra la mesa técnica de género del CNR, ONU Mujeres y el PNUD. </w:t>
            </w:r>
          </w:p>
          <w:p w:rsidR="00867506" w:rsidRPr="008F2A3F" w:rsidRDefault="00867506" w:rsidP="005B6819">
            <w:pPr>
              <w:numPr>
                <w:ilvl w:val="0"/>
                <w:numId w:val="19"/>
              </w:numPr>
              <w:spacing w:line="252" w:lineRule="auto"/>
              <w:ind w:left="1134"/>
              <w:jc w:val="both"/>
              <w:rPr>
                <w:rFonts w:asciiTheme="minorHAnsi" w:hAnsiTheme="minorHAnsi"/>
              </w:rPr>
            </w:pPr>
            <w:r w:rsidRPr="008F2A3F">
              <w:rPr>
                <w:rFonts w:asciiTheme="minorHAnsi" w:hAnsiTheme="minorHAnsi"/>
              </w:rPr>
              <w:t xml:space="preserve">En la Sesión 105 se aprueban los criterios de cumplimiento de la ruta y los elementos de segundo nivel que refieren a las gestiones y esfuerzos de gobierno que aporten al fortalecimiento de sus capacidades y ampliación de la oferta pública en el territorio, se plantea que  la ruta de reincorporación tendrá un carácter integral, deberá incluir en su desarrollo normativo y metodológico los enfoques y principios desarrollados en el CONPES </w:t>
            </w:r>
            <w:r w:rsidRPr="008F2A3F">
              <w:rPr>
                <w:rFonts w:asciiTheme="minorHAnsi" w:hAnsiTheme="minorHAnsi"/>
              </w:rPr>
              <w:lastRenderedPageBreak/>
              <w:t xml:space="preserve">3931 y el Acuerdo final, de forma posterior se elaborará resolución  para la reglamentación de la ruta aprobada. </w:t>
            </w:r>
          </w:p>
          <w:p w:rsidR="00867506" w:rsidRPr="008F2A3F" w:rsidRDefault="00867506" w:rsidP="005B6819">
            <w:pPr>
              <w:numPr>
                <w:ilvl w:val="0"/>
                <w:numId w:val="19"/>
              </w:numPr>
              <w:spacing w:line="252" w:lineRule="auto"/>
              <w:jc w:val="both"/>
              <w:rPr>
                <w:rFonts w:asciiTheme="minorHAnsi" w:hAnsiTheme="minorHAnsi"/>
              </w:rPr>
            </w:pPr>
            <w:r w:rsidRPr="008F2A3F">
              <w:rPr>
                <w:rFonts w:asciiTheme="minorHAnsi" w:hAnsiTheme="minorHAnsi"/>
              </w:rPr>
              <w:t xml:space="preserve">Durante la sesión 106, se aprobó el esquema de salud que se implementará en los antiguos ETCR sobre la base de un análisis técnico elaborado por la mesa técnica de salud, asimismo, se aprueba la definición de estigmatización de excombatientes y las líneas de la estrategia de prevención y superación de la estigmatización. </w:t>
            </w:r>
          </w:p>
          <w:p w:rsidR="00867506" w:rsidRPr="008F2A3F" w:rsidRDefault="00867506" w:rsidP="005B6819">
            <w:pPr>
              <w:numPr>
                <w:ilvl w:val="0"/>
                <w:numId w:val="19"/>
              </w:numPr>
              <w:spacing w:line="252" w:lineRule="auto"/>
              <w:jc w:val="both"/>
              <w:rPr>
                <w:rFonts w:asciiTheme="minorHAnsi" w:hAnsiTheme="minorHAnsi"/>
              </w:rPr>
            </w:pPr>
            <w:r w:rsidRPr="008F2A3F">
              <w:rPr>
                <w:rFonts w:asciiTheme="minorHAnsi" w:hAnsiTheme="minorHAnsi"/>
              </w:rPr>
              <w:t xml:space="preserve">Durante el año 2019 se aprobó un total de 45 proyectos productivos. </w:t>
            </w:r>
          </w:p>
          <w:p w:rsidR="00867506" w:rsidRPr="008F2A3F" w:rsidRDefault="00867506" w:rsidP="00867506">
            <w:pPr>
              <w:spacing w:after="0" w:line="240" w:lineRule="auto"/>
              <w:jc w:val="both"/>
              <w:rPr>
                <w:rFonts w:cs="Arial"/>
                <w:i/>
                <w:sz w:val="24"/>
                <w:szCs w:val="24"/>
                <w:lang w:val="es-ES_tradnl"/>
              </w:rPr>
            </w:pPr>
          </w:p>
        </w:tc>
      </w:tr>
      <w:tr w:rsidR="00867506" w:rsidRPr="008F2A3F" w:rsidTr="00755994">
        <w:trPr>
          <w:jc w:val="center"/>
        </w:trPr>
        <w:tc>
          <w:tcPr>
            <w:tcW w:w="9356" w:type="dxa"/>
            <w:shd w:val="clear" w:color="auto" w:fill="F2F2F2"/>
          </w:tcPr>
          <w:p w:rsidR="00867506" w:rsidRPr="00307ADC" w:rsidRDefault="00867506" w:rsidP="00867506">
            <w:pPr>
              <w:spacing w:after="0" w:line="240" w:lineRule="auto"/>
              <w:jc w:val="both"/>
              <w:rPr>
                <w:color w:val="3366CC"/>
                <w:sz w:val="32"/>
                <w:szCs w:val="32"/>
                <w:u w:val="single"/>
              </w:rPr>
            </w:pPr>
            <w:r w:rsidRPr="00307ADC">
              <w:rPr>
                <w:color w:val="3366CC"/>
                <w:sz w:val="32"/>
                <w:szCs w:val="32"/>
                <w:u w:val="single"/>
              </w:rPr>
              <w:lastRenderedPageBreak/>
              <w:t>¿Quiénes se beneficiaron?</w:t>
            </w:r>
            <w:r w:rsidRPr="00307ADC">
              <w:rPr>
                <w:noProof/>
                <w:color w:val="3366CC"/>
                <w:sz w:val="32"/>
                <w:szCs w:val="32"/>
                <w:u w:val="single"/>
                <w:lang w:val="es-419" w:eastAsia="es-419"/>
              </w:rPr>
              <w:drawing>
                <wp:anchor distT="0" distB="0" distL="114300" distR="114300" simplePos="0" relativeHeight="251721216" behindDoc="0" locked="0" layoutInCell="1" allowOverlap="1" wp14:anchorId="18A48212" wp14:editId="7A1EB9B6">
                  <wp:simplePos x="0" y="0"/>
                  <wp:positionH relativeFrom="column">
                    <wp:posOffset>7620</wp:posOffset>
                  </wp:positionH>
                  <wp:positionV relativeFrom="paragraph">
                    <wp:posOffset>56515</wp:posOffset>
                  </wp:positionV>
                  <wp:extent cx="925830" cy="800100"/>
                  <wp:effectExtent l="0" t="0" r="0" b="0"/>
                  <wp:wrapSquare wrapText="bothSides"/>
                  <wp:docPr id="2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 xml:space="preserve"> </w:t>
            </w:r>
          </w:p>
          <w:p w:rsidR="00867506" w:rsidRPr="008F2A3F" w:rsidRDefault="00867506" w:rsidP="00867506">
            <w:pPr>
              <w:spacing w:after="0" w:line="240" w:lineRule="auto"/>
              <w:jc w:val="both"/>
              <w:rPr>
                <w:rFonts w:cs="Arial"/>
                <w:i/>
                <w:sz w:val="24"/>
                <w:szCs w:val="24"/>
                <w:lang w:val="es-ES_tradnl"/>
              </w:rPr>
            </w:pPr>
            <w:r w:rsidRPr="008F2A3F">
              <w:rPr>
                <w:rFonts w:cs="Arial"/>
                <w:i/>
                <w:sz w:val="24"/>
                <w:szCs w:val="24"/>
                <w:lang w:val="es-ES_tradnl"/>
              </w:rPr>
              <w:t>2019</w:t>
            </w:r>
          </w:p>
          <w:p w:rsidR="00867506" w:rsidRPr="008F2A3F" w:rsidRDefault="00867506" w:rsidP="00867506">
            <w:pPr>
              <w:spacing w:after="0" w:line="240" w:lineRule="auto"/>
              <w:jc w:val="both"/>
              <w:rPr>
                <w:rFonts w:cs="Arial"/>
                <w:sz w:val="24"/>
                <w:szCs w:val="24"/>
              </w:rPr>
            </w:pPr>
            <w:r w:rsidRPr="008F2A3F">
              <w:rPr>
                <w:rFonts w:cs="Arial"/>
                <w:sz w:val="24"/>
                <w:szCs w:val="24"/>
              </w:rPr>
              <w:t>13.202 personas acreditadas por la O</w:t>
            </w:r>
            <w:r w:rsidR="0000638D" w:rsidRPr="008F2A3F">
              <w:rPr>
                <w:rFonts w:cs="Arial"/>
                <w:sz w:val="24"/>
                <w:szCs w:val="24"/>
              </w:rPr>
              <w:t xml:space="preserve">ficina del </w:t>
            </w:r>
            <w:r w:rsidRPr="008F2A3F">
              <w:rPr>
                <w:rFonts w:cs="Arial"/>
                <w:sz w:val="24"/>
                <w:szCs w:val="24"/>
              </w:rPr>
              <w:t>A</w:t>
            </w:r>
            <w:r w:rsidR="0000638D" w:rsidRPr="008F2A3F">
              <w:rPr>
                <w:rFonts w:cs="Arial"/>
                <w:sz w:val="24"/>
                <w:szCs w:val="24"/>
              </w:rPr>
              <w:t xml:space="preserve">lto </w:t>
            </w:r>
            <w:r w:rsidRPr="008F2A3F">
              <w:rPr>
                <w:rFonts w:cs="Arial"/>
                <w:sz w:val="24"/>
                <w:szCs w:val="24"/>
              </w:rPr>
              <w:t>C</w:t>
            </w:r>
            <w:r w:rsidR="0000638D" w:rsidRPr="008F2A3F">
              <w:rPr>
                <w:rFonts w:cs="Arial"/>
                <w:sz w:val="24"/>
                <w:szCs w:val="24"/>
              </w:rPr>
              <w:t xml:space="preserve">omisionado para la </w:t>
            </w:r>
            <w:r w:rsidRPr="008F2A3F">
              <w:rPr>
                <w:rFonts w:cs="Arial"/>
                <w:sz w:val="24"/>
                <w:szCs w:val="24"/>
              </w:rPr>
              <w:t>P</w:t>
            </w:r>
            <w:r w:rsidR="0000638D" w:rsidRPr="008F2A3F">
              <w:rPr>
                <w:rFonts w:cs="Arial"/>
                <w:sz w:val="24"/>
                <w:szCs w:val="24"/>
              </w:rPr>
              <w:t>az,</w:t>
            </w:r>
            <w:r w:rsidRPr="008F2A3F">
              <w:rPr>
                <w:rFonts w:cs="Arial"/>
                <w:sz w:val="24"/>
                <w:szCs w:val="24"/>
              </w:rPr>
              <w:t xml:space="preserve"> como ex integrantes de FARC-EP.</w:t>
            </w:r>
          </w:p>
          <w:p w:rsidR="00867506" w:rsidRPr="008F2A3F" w:rsidRDefault="00867506" w:rsidP="00867506">
            <w:pPr>
              <w:spacing w:after="0" w:line="240" w:lineRule="auto"/>
              <w:jc w:val="both"/>
              <w:rPr>
                <w:rFonts w:cs="Arial"/>
                <w:i/>
                <w:sz w:val="24"/>
                <w:szCs w:val="24"/>
                <w:lang w:val="es-ES_tradnl"/>
              </w:rPr>
            </w:pPr>
          </w:p>
        </w:tc>
      </w:tr>
      <w:tr w:rsidR="00867506" w:rsidRPr="008F2A3F" w:rsidTr="00755994">
        <w:trPr>
          <w:jc w:val="center"/>
        </w:trPr>
        <w:tc>
          <w:tcPr>
            <w:tcW w:w="9356" w:type="dxa"/>
            <w:shd w:val="clear" w:color="auto" w:fill="F2F2F2"/>
          </w:tcPr>
          <w:p w:rsidR="00867506" w:rsidRPr="00307ADC" w:rsidRDefault="00867506" w:rsidP="00307ADC">
            <w:pPr>
              <w:spacing w:after="0" w:line="240" w:lineRule="auto"/>
              <w:jc w:val="both"/>
              <w:rPr>
                <w:color w:val="3366CC"/>
                <w:sz w:val="32"/>
                <w:szCs w:val="32"/>
                <w:u w:val="single"/>
              </w:rPr>
            </w:pPr>
            <w:r w:rsidRPr="00307ADC">
              <w:rPr>
                <w:noProof/>
                <w:color w:val="3366CC"/>
                <w:sz w:val="32"/>
                <w:szCs w:val="32"/>
                <w:u w:val="single"/>
                <w:lang w:val="es-419" w:eastAsia="es-419"/>
              </w:rPr>
              <w:drawing>
                <wp:anchor distT="0" distB="0" distL="114300" distR="114300" simplePos="0" relativeHeight="251722240" behindDoc="0" locked="0" layoutInCell="1" allowOverlap="1" wp14:anchorId="07C77EC5" wp14:editId="0B570497">
                  <wp:simplePos x="0" y="0"/>
                  <wp:positionH relativeFrom="column">
                    <wp:posOffset>-85725</wp:posOffset>
                  </wp:positionH>
                  <wp:positionV relativeFrom="paragraph">
                    <wp:posOffset>0</wp:posOffset>
                  </wp:positionV>
                  <wp:extent cx="958850" cy="861695"/>
                  <wp:effectExtent l="0" t="0" r="0" b="0"/>
                  <wp:wrapSquare wrapText="bothSides"/>
                  <wp:docPr id="2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 xml:space="preserve">¿Quiénes participaron en esta acción y cómo se promovió el control social? </w:t>
            </w:r>
          </w:p>
          <w:p w:rsidR="00867506" w:rsidRPr="008F2A3F" w:rsidRDefault="00867506" w:rsidP="00867506">
            <w:pPr>
              <w:spacing w:after="0" w:line="240" w:lineRule="auto"/>
              <w:jc w:val="both"/>
              <w:rPr>
                <w:rFonts w:cs="Arial"/>
                <w:i/>
                <w:sz w:val="24"/>
                <w:szCs w:val="24"/>
                <w:lang w:val="es-ES_tradnl"/>
              </w:rPr>
            </w:pPr>
            <w:r w:rsidRPr="008F2A3F">
              <w:rPr>
                <w:rFonts w:cs="Arial"/>
                <w:i/>
                <w:sz w:val="24"/>
                <w:szCs w:val="24"/>
                <w:lang w:val="es-ES_tradnl"/>
              </w:rPr>
              <w:t>2019</w:t>
            </w:r>
          </w:p>
          <w:p w:rsidR="00A677FB" w:rsidRPr="008F2A3F" w:rsidRDefault="00A677FB" w:rsidP="0000638D">
            <w:pPr>
              <w:spacing w:after="0" w:line="240" w:lineRule="auto"/>
              <w:rPr>
                <w:rFonts w:cs="Arial"/>
                <w:szCs w:val="24"/>
              </w:rPr>
            </w:pPr>
          </w:p>
          <w:p w:rsidR="00755994" w:rsidRPr="008F2A3F" w:rsidRDefault="00755994" w:rsidP="00755994">
            <w:pPr>
              <w:spacing w:after="0" w:line="240" w:lineRule="auto"/>
              <w:jc w:val="both"/>
              <w:rPr>
                <w:sz w:val="24"/>
                <w:szCs w:val="24"/>
              </w:rPr>
            </w:pPr>
            <w:r w:rsidRPr="008F2A3F">
              <w:rPr>
                <w:sz w:val="24"/>
                <w:szCs w:val="24"/>
              </w:rPr>
              <w:t xml:space="preserve">Lo invitamos  a hacer control social a los contratos que se celebran por parte de las entidades públicas en el portal de Colombia Compra Eficiente </w:t>
            </w:r>
            <w:hyperlink r:id="rId56" w:history="1">
              <w:r w:rsidR="00B94748" w:rsidRPr="00693E84">
                <w:rPr>
                  <w:rStyle w:val="Hipervnculo"/>
                  <w:sz w:val="24"/>
                  <w:szCs w:val="24"/>
                </w:rPr>
                <w:t>www.colombiacompra.gov.co</w:t>
              </w:r>
            </w:hyperlink>
            <w:r w:rsidR="00B94748">
              <w:rPr>
                <w:sz w:val="24"/>
                <w:szCs w:val="24"/>
                <w:u w:val="single"/>
              </w:rPr>
              <w:t xml:space="preserve"> </w:t>
            </w:r>
            <w:r w:rsidRPr="008F2A3F">
              <w:rPr>
                <w:sz w:val="24"/>
                <w:szCs w:val="24"/>
              </w:rPr>
              <w:t xml:space="preserve"> </w:t>
            </w:r>
          </w:p>
          <w:p w:rsidR="00755994" w:rsidRPr="008F2A3F" w:rsidRDefault="00755994" w:rsidP="00755994">
            <w:pPr>
              <w:spacing w:after="0" w:line="240" w:lineRule="auto"/>
              <w:rPr>
                <w:sz w:val="24"/>
                <w:szCs w:val="24"/>
              </w:rPr>
            </w:pPr>
          </w:p>
          <w:p w:rsidR="00755994" w:rsidRPr="008F2A3F" w:rsidRDefault="00755994" w:rsidP="00755994">
            <w:pPr>
              <w:spacing w:after="0" w:line="240" w:lineRule="auto"/>
              <w:jc w:val="both"/>
              <w:rPr>
                <w:sz w:val="24"/>
                <w:szCs w:val="24"/>
              </w:rPr>
            </w:pPr>
            <w:r w:rsidRPr="008F2A3F">
              <w:rPr>
                <w:sz w:val="24"/>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755994" w:rsidRPr="008F2A3F" w:rsidRDefault="00755994" w:rsidP="00755994">
            <w:pPr>
              <w:spacing w:after="0" w:line="240" w:lineRule="auto"/>
              <w:jc w:val="both"/>
              <w:rPr>
                <w:sz w:val="24"/>
                <w:szCs w:val="24"/>
              </w:rPr>
            </w:pPr>
          </w:p>
          <w:p w:rsidR="00755994" w:rsidRPr="008F2A3F" w:rsidRDefault="009B7621" w:rsidP="00755994">
            <w:pPr>
              <w:spacing w:after="0" w:line="240" w:lineRule="auto"/>
              <w:rPr>
                <w:sz w:val="24"/>
                <w:szCs w:val="24"/>
              </w:rPr>
            </w:pPr>
            <w:hyperlink r:id="rId57" w:history="1">
              <w:r w:rsidR="00B94748" w:rsidRPr="00693E84">
                <w:rPr>
                  <w:rStyle w:val="Hipervnculo"/>
                  <w:sz w:val="24"/>
                  <w:szCs w:val="24"/>
                </w:rPr>
                <w:t>https://www.colombiacompra.gov.co/secop/busqueda-de-procesos-de-contratacion</w:t>
              </w:r>
            </w:hyperlink>
            <w:r w:rsidR="00B94748">
              <w:rPr>
                <w:sz w:val="24"/>
                <w:szCs w:val="24"/>
                <w:u w:val="single"/>
              </w:rPr>
              <w:t xml:space="preserve"> </w:t>
            </w:r>
            <w:r w:rsidR="00755994" w:rsidRPr="008F2A3F">
              <w:rPr>
                <w:sz w:val="24"/>
                <w:szCs w:val="24"/>
              </w:rPr>
              <w:t xml:space="preserve"> </w:t>
            </w:r>
          </w:p>
          <w:p w:rsidR="00755994" w:rsidRPr="008F2A3F" w:rsidRDefault="009B7621" w:rsidP="00755994">
            <w:pPr>
              <w:spacing w:after="0" w:line="240" w:lineRule="auto"/>
              <w:rPr>
                <w:sz w:val="24"/>
                <w:szCs w:val="24"/>
              </w:rPr>
            </w:pPr>
            <w:hyperlink r:id="rId58" w:history="1">
              <w:r w:rsidR="00B94748" w:rsidRPr="00693E84">
                <w:rPr>
                  <w:rStyle w:val="Hipervnculo"/>
                  <w:sz w:val="24"/>
                  <w:szCs w:val="24"/>
                </w:rPr>
                <w:t>https://www.contratos.gov.co/consultas/inicioConsulta.do</w:t>
              </w:r>
            </w:hyperlink>
            <w:r w:rsidR="00B94748">
              <w:rPr>
                <w:sz w:val="24"/>
                <w:szCs w:val="24"/>
                <w:u w:val="single"/>
              </w:rPr>
              <w:t xml:space="preserve"> </w:t>
            </w:r>
            <w:r w:rsidR="00755994" w:rsidRPr="008F2A3F">
              <w:rPr>
                <w:sz w:val="24"/>
                <w:szCs w:val="24"/>
              </w:rPr>
              <w:t xml:space="preserve">  </w:t>
            </w:r>
          </w:p>
          <w:p w:rsidR="00755994" w:rsidRPr="008F2A3F" w:rsidRDefault="00755994" w:rsidP="00755994">
            <w:pPr>
              <w:spacing w:after="0" w:line="240" w:lineRule="auto"/>
              <w:rPr>
                <w:sz w:val="24"/>
                <w:szCs w:val="24"/>
              </w:rPr>
            </w:pPr>
          </w:p>
          <w:p w:rsidR="00755994" w:rsidRPr="008F2A3F" w:rsidRDefault="00755994" w:rsidP="00755994">
            <w:pPr>
              <w:spacing w:after="0" w:line="240" w:lineRule="auto"/>
              <w:jc w:val="both"/>
              <w:rPr>
                <w:sz w:val="24"/>
                <w:szCs w:val="24"/>
              </w:rPr>
            </w:pPr>
            <w:r w:rsidRPr="008F2A3F">
              <w:rPr>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rsidR="00755994" w:rsidRPr="008F2A3F" w:rsidRDefault="00755994" w:rsidP="00755994">
            <w:pPr>
              <w:spacing w:after="0" w:line="240" w:lineRule="auto"/>
              <w:jc w:val="both"/>
              <w:rPr>
                <w:i/>
                <w:sz w:val="24"/>
                <w:szCs w:val="24"/>
              </w:rPr>
            </w:pPr>
          </w:p>
          <w:tbl>
            <w:tblPr>
              <w:tblW w:w="9604" w:type="dxa"/>
              <w:tblLayout w:type="fixed"/>
              <w:tblLook w:val="0400" w:firstRow="0" w:lastRow="0" w:firstColumn="0" w:lastColumn="0" w:noHBand="0" w:noVBand="1"/>
            </w:tblPr>
            <w:tblGrid>
              <w:gridCol w:w="2160"/>
              <w:gridCol w:w="7444"/>
            </w:tblGrid>
            <w:tr w:rsidR="00755994" w:rsidRPr="008F2A3F" w:rsidTr="00755994">
              <w:trPr>
                <w:trHeight w:val="400"/>
              </w:trPr>
              <w:tc>
                <w:tcPr>
                  <w:tcW w:w="2160" w:type="dxa"/>
                  <w:shd w:val="clear" w:color="auto" w:fill="A6A6A6"/>
                </w:tcPr>
                <w:p w:rsidR="00755994" w:rsidRPr="008F2A3F" w:rsidRDefault="00755994" w:rsidP="00755994">
                  <w:pPr>
                    <w:spacing w:after="0" w:line="240" w:lineRule="auto"/>
                    <w:jc w:val="both"/>
                    <w:rPr>
                      <w:i/>
                      <w:sz w:val="24"/>
                      <w:szCs w:val="24"/>
                    </w:rPr>
                  </w:pPr>
                  <w:r w:rsidRPr="008F2A3F">
                    <w:rPr>
                      <w:i/>
                      <w:sz w:val="24"/>
                      <w:szCs w:val="24"/>
                    </w:rPr>
                    <w:t xml:space="preserve">Número de Contrato/Año </w:t>
                  </w:r>
                </w:p>
              </w:tc>
              <w:tc>
                <w:tcPr>
                  <w:tcW w:w="7444" w:type="dxa"/>
                  <w:shd w:val="clear" w:color="auto" w:fill="A6A6A6"/>
                </w:tcPr>
                <w:p w:rsidR="00755994" w:rsidRPr="008F2A3F" w:rsidRDefault="00755994" w:rsidP="00755994">
                  <w:pPr>
                    <w:spacing w:after="0" w:line="240" w:lineRule="auto"/>
                    <w:jc w:val="both"/>
                    <w:rPr>
                      <w:i/>
                      <w:sz w:val="24"/>
                      <w:szCs w:val="24"/>
                    </w:rPr>
                  </w:pPr>
                  <w:r w:rsidRPr="008F2A3F">
                    <w:rPr>
                      <w:i/>
                      <w:sz w:val="24"/>
                      <w:szCs w:val="24"/>
                    </w:rPr>
                    <w:t>Informe de supervisión o interventoría</w:t>
                  </w:r>
                </w:p>
                <w:p w:rsidR="00755994" w:rsidRPr="008F2A3F" w:rsidRDefault="00755994" w:rsidP="00755994">
                  <w:pPr>
                    <w:spacing w:after="0" w:line="240" w:lineRule="auto"/>
                    <w:jc w:val="both"/>
                    <w:rPr>
                      <w:i/>
                      <w:sz w:val="20"/>
                      <w:szCs w:val="20"/>
                    </w:rPr>
                  </w:pPr>
                  <w:r w:rsidRPr="008F2A3F">
                    <w:rPr>
                      <w:i/>
                      <w:sz w:val="20"/>
                      <w:szCs w:val="20"/>
                    </w:rPr>
                    <w:t>Conozca el informe del interventor o el supervisor aquí</w:t>
                  </w:r>
                </w:p>
              </w:tc>
            </w:tr>
            <w:tr w:rsidR="00755994" w:rsidRPr="008F2A3F" w:rsidTr="00755994">
              <w:trPr>
                <w:trHeight w:val="400"/>
              </w:trPr>
              <w:tc>
                <w:tcPr>
                  <w:tcW w:w="2160" w:type="dxa"/>
                  <w:shd w:val="clear" w:color="auto" w:fill="auto"/>
                </w:tcPr>
                <w:p w:rsidR="00755994" w:rsidRPr="00A71DC5" w:rsidRDefault="00755994" w:rsidP="00755994">
                  <w:pPr>
                    <w:spacing w:before="100" w:beforeAutospacing="1" w:after="100" w:afterAutospacing="1" w:line="240" w:lineRule="auto"/>
                    <w:rPr>
                      <w:rFonts w:asciiTheme="minorHAnsi" w:hAnsiTheme="minorHAnsi" w:cstheme="minorHAnsi"/>
                      <w:i/>
                      <w:sz w:val="24"/>
                      <w:szCs w:val="24"/>
                    </w:rPr>
                  </w:pPr>
                  <w:r w:rsidRPr="00A71DC5">
                    <w:rPr>
                      <w:rFonts w:asciiTheme="minorHAnsi" w:eastAsia="Times New Roman" w:hAnsiTheme="minorHAnsi" w:cstheme="minorHAnsi"/>
                      <w:i/>
                      <w:iCs/>
                      <w:sz w:val="24"/>
                      <w:szCs w:val="24"/>
                      <w:lang w:eastAsia="es-419"/>
                    </w:rPr>
                    <w:t>6 Profesionales con la aprobación de 7 contratos y 3 personas para apoyo técnico con la aprobación de 3 contratos</w:t>
                  </w:r>
                </w:p>
              </w:tc>
              <w:tc>
                <w:tcPr>
                  <w:tcW w:w="7444" w:type="dxa"/>
                  <w:shd w:val="clear" w:color="auto" w:fill="auto"/>
                </w:tcPr>
                <w:p w:rsidR="00755994" w:rsidRPr="00B94748" w:rsidRDefault="009B7621" w:rsidP="00755994">
                  <w:pPr>
                    <w:spacing w:after="0" w:line="240" w:lineRule="auto"/>
                    <w:jc w:val="both"/>
                    <w:rPr>
                      <w:szCs w:val="24"/>
                      <w:u w:val="single"/>
                    </w:rPr>
                  </w:pPr>
                  <w:hyperlink r:id="rId59" w:history="1">
                    <w:r w:rsidR="00B94748" w:rsidRPr="00B94748">
                      <w:rPr>
                        <w:rStyle w:val="Hipervnculo"/>
                        <w:szCs w:val="24"/>
                      </w:rPr>
                      <w:t>https://www.contratos.gov.co/consultas/inicioConsulta.do</w:t>
                    </w:r>
                  </w:hyperlink>
                  <w:r w:rsidR="00B94748" w:rsidRPr="00B94748">
                    <w:rPr>
                      <w:szCs w:val="24"/>
                      <w:u w:val="single"/>
                    </w:rPr>
                    <w:t xml:space="preserve"> </w:t>
                  </w:r>
                </w:p>
                <w:p w:rsidR="00755994" w:rsidRPr="008F2A3F" w:rsidRDefault="00755994" w:rsidP="00755994"/>
                <w:p w:rsidR="00755994" w:rsidRPr="008F2A3F" w:rsidRDefault="009B7621" w:rsidP="00B94748">
                  <w:hyperlink r:id="rId60" w:history="1">
                    <w:r w:rsidR="00B94748" w:rsidRPr="00693E84">
                      <w:rPr>
                        <w:rStyle w:val="Hipervnculo"/>
                      </w:rPr>
                      <w:t>https://www.contratos.gov.co/consultas/detalleProceso.do?numConstancia=18-12-7733056</w:t>
                    </w:r>
                  </w:hyperlink>
                  <w:r w:rsidR="00B94748">
                    <w:rPr>
                      <w:rStyle w:val="Hipervnculo"/>
                      <w:color w:val="auto"/>
                    </w:rPr>
                    <w:t xml:space="preserve"> </w:t>
                  </w:r>
                </w:p>
              </w:tc>
            </w:tr>
          </w:tbl>
          <w:p w:rsidR="003434BB" w:rsidRPr="008F2A3F" w:rsidRDefault="003434BB" w:rsidP="003434BB">
            <w:pPr>
              <w:spacing w:after="0" w:line="240" w:lineRule="auto"/>
              <w:rPr>
                <w:rFonts w:cs="Arial"/>
                <w:szCs w:val="24"/>
              </w:rPr>
            </w:pPr>
          </w:p>
        </w:tc>
      </w:tr>
      <w:tr w:rsidR="00867506" w:rsidRPr="008F2A3F" w:rsidTr="00755994">
        <w:trPr>
          <w:trHeight w:val="731"/>
          <w:jc w:val="center"/>
        </w:trPr>
        <w:tc>
          <w:tcPr>
            <w:tcW w:w="9356" w:type="dxa"/>
            <w:shd w:val="clear" w:color="auto" w:fill="F2F2F2"/>
          </w:tcPr>
          <w:p w:rsidR="00867506" w:rsidRPr="00307ADC" w:rsidRDefault="00867506" w:rsidP="00867506">
            <w:pPr>
              <w:spacing w:after="0" w:line="240" w:lineRule="auto"/>
              <w:rPr>
                <w:color w:val="3366CC"/>
                <w:sz w:val="32"/>
                <w:szCs w:val="32"/>
                <w:u w:val="single"/>
              </w:rPr>
            </w:pPr>
            <w:r w:rsidRPr="00307ADC">
              <w:rPr>
                <w:noProof/>
                <w:color w:val="3366CC"/>
                <w:sz w:val="32"/>
                <w:szCs w:val="32"/>
                <w:u w:val="single"/>
                <w:lang w:val="es-419" w:eastAsia="es-419"/>
              </w:rPr>
              <w:lastRenderedPageBreak/>
              <w:drawing>
                <wp:anchor distT="0" distB="0" distL="114300" distR="114300" simplePos="0" relativeHeight="251723264" behindDoc="0" locked="0" layoutInCell="1" allowOverlap="1" wp14:anchorId="2457D11A" wp14:editId="57FD876B">
                  <wp:simplePos x="0" y="0"/>
                  <wp:positionH relativeFrom="column">
                    <wp:posOffset>-85725</wp:posOffset>
                  </wp:positionH>
                  <wp:positionV relativeFrom="paragraph">
                    <wp:posOffset>8255</wp:posOffset>
                  </wp:positionV>
                  <wp:extent cx="938530" cy="842645"/>
                  <wp:effectExtent l="0" t="0" r="0" b="0"/>
                  <wp:wrapSquare wrapText="bothSides"/>
                  <wp:docPr id="2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¿En qué territorios se desarrolló la acción?</w:t>
            </w:r>
          </w:p>
          <w:p w:rsidR="00867506" w:rsidRPr="008F2A3F" w:rsidRDefault="00867506" w:rsidP="00867506">
            <w:pPr>
              <w:spacing w:after="0" w:line="240" w:lineRule="auto"/>
              <w:jc w:val="both"/>
              <w:rPr>
                <w:rFonts w:cs="Arial"/>
                <w:i/>
                <w:sz w:val="24"/>
                <w:szCs w:val="24"/>
                <w:lang w:val="es-ES_tradnl"/>
              </w:rPr>
            </w:pPr>
            <w:r w:rsidRPr="008F2A3F">
              <w:rPr>
                <w:rFonts w:cs="Arial"/>
                <w:i/>
                <w:sz w:val="24"/>
                <w:szCs w:val="24"/>
                <w:lang w:val="es-ES_tradnl"/>
              </w:rPr>
              <w:t>2019</w:t>
            </w:r>
          </w:p>
          <w:p w:rsidR="00867506" w:rsidRPr="008F2A3F" w:rsidRDefault="00867506" w:rsidP="00293FFC">
            <w:pPr>
              <w:rPr>
                <w:lang w:val="es-ES_tradnl"/>
              </w:rPr>
            </w:pPr>
            <w:r w:rsidRPr="008F2A3F">
              <w:rPr>
                <w:sz w:val="24"/>
                <w:szCs w:val="24"/>
              </w:rPr>
              <w:t xml:space="preserve">Las acciones durante el 2019 se han desarrollado en los 24 </w:t>
            </w:r>
            <w:r w:rsidR="003E39EC" w:rsidRPr="008F2A3F">
              <w:rPr>
                <w:sz w:val="24"/>
                <w:szCs w:val="24"/>
              </w:rPr>
              <w:t xml:space="preserve">antiguos </w:t>
            </w:r>
            <w:r w:rsidRPr="008F2A3F">
              <w:rPr>
                <w:sz w:val="24"/>
                <w:szCs w:val="24"/>
              </w:rPr>
              <w:t>Espacios de Capacitación y Reincorporación donde se encuentran ubicados los EX INTEGRANTES - FARC, así como en cualquier parte del país donde se encuentre ubicada la población beneficiaria</w:t>
            </w:r>
            <w:r w:rsidR="00C854CB" w:rsidRPr="008F2A3F">
              <w:rPr>
                <w:sz w:val="24"/>
                <w:szCs w:val="24"/>
              </w:rPr>
              <w:t>.</w:t>
            </w:r>
          </w:p>
        </w:tc>
      </w:tr>
    </w:tbl>
    <w:p w:rsidR="000D7462" w:rsidRPr="008F2A3F" w:rsidRDefault="000D7462" w:rsidP="000D7462">
      <w:pPr>
        <w:spacing w:line="240" w:lineRule="auto"/>
        <w:ind w:left="108"/>
        <w:rPr>
          <w:rFonts w:cs="Arial"/>
          <w:b/>
          <w:sz w:val="36"/>
          <w:szCs w:val="36"/>
          <w:lang w:val="es-ES_tradnl"/>
        </w:rPr>
      </w:pPr>
      <w:r w:rsidRPr="008F2A3F">
        <w:rPr>
          <w:rFonts w:cs="Arial"/>
          <w:i/>
          <w:sz w:val="28"/>
          <w:szCs w:val="28"/>
          <w:lang w:val="es-ES_tradnl"/>
        </w:rPr>
        <w:t>Acción 2.</w:t>
      </w:r>
      <w:r w:rsidRPr="008F2A3F">
        <w:rPr>
          <w:rFonts w:cs="Arial"/>
          <w:b/>
          <w:sz w:val="36"/>
          <w:szCs w:val="36"/>
          <w:lang w:val="es-ES_tradnl"/>
        </w:rPr>
        <w:t xml:space="preserve"> </w:t>
      </w:r>
      <w:r w:rsidRPr="008F2A3F">
        <w:rPr>
          <w:rFonts w:cs="Arial"/>
          <w:b/>
          <w:sz w:val="36"/>
          <w:szCs w:val="36"/>
          <w:lang w:val="es-ES_tradnl"/>
        </w:rPr>
        <w:br/>
      </w:r>
      <w:r w:rsidRPr="008F2A3F">
        <w:rPr>
          <w:rFonts w:cs="Arial"/>
          <w:b/>
          <w:sz w:val="40"/>
          <w:szCs w:val="36"/>
          <w:lang w:val="es-ES_tradnl"/>
        </w:rPr>
        <w:t>Documento CONPES 3931 de 2018, Política Nacional para la Reincorporación Social y Económica de Exintegrantes de FARC-EP</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0D7462" w:rsidRPr="008F2A3F" w:rsidTr="00E73961">
        <w:trPr>
          <w:trHeight w:val="1432"/>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0D7462" w:rsidRPr="008F2A3F" w:rsidRDefault="000D7462"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0D7462" w:rsidRPr="008F2A3F" w:rsidRDefault="000D7462" w:rsidP="00E73961">
            <w:pPr>
              <w:spacing w:after="0" w:line="240" w:lineRule="auto"/>
              <w:rPr>
                <w:sz w:val="24"/>
                <w:szCs w:val="24"/>
              </w:rPr>
            </w:pPr>
            <w:r w:rsidRPr="008F2A3F">
              <w:rPr>
                <w:rFonts w:cs="Arial"/>
                <w:sz w:val="24"/>
                <w:szCs w:val="24"/>
                <w:lang w:val="es-ES_tradnl"/>
              </w:rPr>
              <w:t>Planes y programas identificados de acuerdo a los resultados del censo socioeconómico.</w:t>
            </w:r>
          </w:p>
        </w:tc>
      </w:tr>
    </w:tbl>
    <w:p w:rsidR="00E1433A" w:rsidRPr="008F2A3F" w:rsidRDefault="00E1433A" w:rsidP="000D7462">
      <w:pPr>
        <w:spacing w:line="240" w:lineRule="auto"/>
        <w:jc w:val="both"/>
        <w:rPr>
          <w:sz w:val="32"/>
          <w:szCs w:val="32"/>
          <w:u w:val="single"/>
        </w:rPr>
      </w:pPr>
    </w:p>
    <w:tbl>
      <w:tblPr>
        <w:tblW w:w="9075"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2"/>
        <w:gridCol w:w="6663"/>
      </w:tblGrid>
      <w:tr w:rsidR="000D7462" w:rsidRPr="008F2A3F" w:rsidTr="00E73961">
        <w:trPr>
          <w:trHeight w:val="380"/>
        </w:trPr>
        <w:tc>
          <w:tcPr>
            <w:tcW w:w="2411" w:type="dxa"/>
            <w:tcBorders>
              <w:top w:val="single" w:sz="8" w:space="0" w:color="BBBBBB"/>
              <w:left w:val="single" w:sz="8" w:space="0" w:color="BBBBBB"/>
              <w:bottom w:val="single" w:sz="8" w:space="0" w:color="BBBBBB"/>
              <w:right w:val="nil"/>
            </w:tcBorders>
            <w:shd w:val="clear" w:color="auto" w:fill="A5A5A5"/>
            <w:hideMark/>
          </w:tcPr>
          <w:p w:rsidR="000D7462" w:rsidRPr="008F2A3F" w:rsidRDefault="000D7462" w:rsidP="00E73961">
            <w:pPr>
              <w:spacing w:after="0" w:line="240" w:lineRule="auto"/>
              <w:jc w:val="center"/>
            </w:pPr>
            <w:r w:rsidRPr="008F2A3F">
              <w:t>AÑO</w:t>
            </w:r>
          </w:p>
        </w:tc>
        <w:tc>
          <w:tcPr>
            <w:tcW w:w="6661" w:type="dxa"/>
            <w:tcBorders>
              <w:top w:val="single" w:sz="8" w:space="0" w:color="BBBBBB"/>
              <w:left w:val="nil"/>
              <w:bottom w:val="single" w:sz="8" w:space="0" w:color="BBBBBB"/>
              <w:right w:val="single" w:sz="8" w:space="0" w:color="BBBBBB"/>
            </w:tcBorders>
            <w:shd w:val="clear" w:color="auto" w:fill="A5A5A5"/>
            <w:hideMark/>
          </w:tcPr>
          <w:p w:rsidR="000D7462" w:rsidRPr="008F2A3F" w:rsidRDefault="000D7462" w:rsidP="00E73961">
            <w:pPr>
              <w:spacing w:after="0" w:line="240" w:lineRule="auto"/>
              <w:jc w:val="center"/>
            </w:pPr>
            <w:r w:rsidRPr="008F2A3F">
              <w:t>NOMBRE DE ACTIVIDADES DESARROLLADAS</w:t>
            </w:r>
          </w:p>
        </w:tc>
      </w:tr>
      <w:tr w:rsidR="000D7462" w:rsidRPr="008F2A3F" w:rsidTr="00E73961">
        <w:trPr>
          <w:trHeight w:val="380"/>
        </w:trPr>
        <w:tc>
          <w:tcPr>
            <w:tcW w:w="2411" w:type="dxa"/>
            <w:tcBorders>
              <w:top w:val="single" w:sz="8" w:space="0" w:color="BBBBBB"/>
              <w:left w:val="single" w:sz="8" w:space="0" w:color="BBBBBB"/>
              <w:bottom w:val="single" w:sz="8" w:space="0" w:color="BBBBBB"/>
              <w:right w:val="nil"/>
            </w:tcBorders>
            <w:hideMark/>
          </w:tcPr>
          <w:p w:rsidR="000D7462" w:rsidRPr="008F2A3F" w:rsidRDefault="000D7462" w:rsidP="00E73961">
            <w:pPr>
              <w:spacing w:after="0" w:line="240" w:lineRule="auto"/>
              <w:rPr>
                <w:b/>
              </w:rPr>
            </w:pPr>
            <w:r w:rsidRPr="008F2A3F">
              <w:rPr>
                <w:b/>
              </w:rPr>
              <w:t>2019</w:t>
            </w:r>
          </w:p>
        </w:tc>
        <w:tc>
          <w:tcPr>
            <w:tcW w:w="6661" w:type="dxa"/>
            <w:tcBorders>
              <w:top w:val="single" w:sz="8" w:space="0" w:color="BBBBBB"/>
              <w:left w:val="nil"/>
              <w:bottom w:val="single" w:sz="8" w:space="0" w:color="BBBBBB"/>
              <w:right w:val="nil"/>
            </w:tcBorders>
            <w:hideMark/>
          </w:tcPr>
          <w:p w:rsidR="000D7462" w:rsidRPr="008F2A3F" w:rsidRDefault="000D7462" w:rsidP="00E73961">
            <w:pPr>
              <w:spacing w:after="0" w:line="240" w:lineRule="auto"/>
              <w:rPr>
                <w:rFonts w:asciiTheme="minorHAnsi" w:hAnsiTheme="minorHAnsi" w:cstheme="minorHAnsi"/>
              </w:rPr>
            </w:pPr>
            <w:r w:rsidRPr="008F2A3F">
              <w:t>1.</w:t>
            </w:r>
            <w:r w:rsidRPr="008F2A3F">
              <w:rPr>
                <w:rFonts w:asciiTheme="minorHAnsi" w:hAnsiTheme="minorHAnsi" w:cstheme="minorHAnsi"/>
                <w:lang w:eastAsia="es-419"/>
              </w:rPr>
              <w:t xml:space="preserve"> Implementación de las acciones correspondientes a los cuatro objetivos del CONPES 3931 de 2018 - </w:t>
            </w:r>
            <w:r w:rsidRPr="008F2A3F">
              <w:rPr>
                <w:rFonts w:asciiTheme="minorHAnsi" w:hAnsiTheme="minorHAnsi" w:cstheme="minorHAnsi"/>
              </w:rPr>
              <w:t>Política Nacional para la Reincorporación Social y Económica de Exintegrantes de FARC-EP.</w:t>
            </w:r>
          </w:p>
          <w:p w:rsidR="000D7462" w:rsidRPr="008F2A3F" w:rsidRDefault="000D7462" w:rsidP="00E73961">
            <w:pPr>
              <w:spacing w:after="0" w:line="240" w:lineRule="auto"/>
              <w:rPr>
                <w:rFonts w:asciiTheme="minorHAnsi" w:hAnsiTheme="minorHAnsi" w:cstheme="minorHAnsi"/>
              </w:rPr>
            </w:pPr>
          </w:p>
          <w:p w:rsidR="000D7462" w:rsidRPr="008F2A3F" w:rsidRDefault="000D7462" w:rsidP="00E73961">
            <w:pPr>
              <w:spacing w:after="0" w:line="240" w:lineRule="auto"/>
              <w:rPr>
                <w:rFonts w:asciiTheme="minorHAnsi" w:hAnsiTheme="minorHAnsi" w:cstheme="minorHAnsi"/>
              </w:rPr>
            </w:pPr>
          </w:p>
        </w:tc>
      </w:tr>
    </w:tbl>
    <w:p w:rsidR="000D7462" w:rsidRPr="008F2A3F" w:rsidRDefault="000D7462" w:rsidP="000D7462">
      <w:pPr>
        <w:spacing w:line="240" w:lineRule="auto"/>
        <w:jc w:val="both"/>
        <w:rPr>
          <w:sz w:val="32"/>
          <w:szCs w:val="32"/>
          <w:u w:val="single"/>
        </w:rPr>
      </w:pP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0D7462"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E73961">
            <w:pPr>
              <w:spacing w:after="0" w:line="240" w:lineRule="auto"/>
              <w:ind w:left="-282" w:right="529" w:firstLine="282"/>
              <w:jc w:val="both"/>
              <w:rPr>
                <w:color w:val="3366CC"/>
                <w:sz w:val="32"/>
                <w:szCs w:val="32"/>
                <w:u w:val="single"/>
              </w:rPr>
            </w:pPr>
            <w:r w:rsidRPr="00307ADC">
              <w:rPr>
                <w:color w:val="3366CC"/>
                <w:sz w:val="32"/>
                <w:szCs w:val="32"/>
                <w:u w:val="single"/>
              </w:rPr>
              <w:t>¿Cómo se hizo?</w:t>
            </w:r>
            <w:r w:rsidRPr="00307ADC">
              <w:rPr>
                <w:noProof/>
                <w:color w:val="3366CC"/>
                <w:sz w:val="32"/>
                <w:szCs w:val="32"/>
                <w:u w:val="single"/>
                <w:lang w:val="es-419" w:eastAsia="es-419"/>
              </w:rPr>
              <w:drawing>
                <wp:anchor distT="0" distB="0" distL="114300" distR="114300" simplePos="0" relativeHeight="251729408" behindDoc="0" locked="0" layoutInCell="1" allowOverlap="1" wp14:anchorId="3440FDD2" wp14:editId="3C5634FC">
                  <wp:simplePos x="0" y="0"/>
                  <wp:positionH relativeFrom="column">
                    <wp:posOffset>121920</wp:posOffset>
                  </wp:positionH>
                  <wp:positionV relativeFrom="paragraph">
                    <wp:posOffset>-16510</wp:posOffset>
                  </wp:positionV>
                  <wp:extent cx="775335" cy="937260"/>
                  <wp:effectExtent l="0" t="0" r="0" b="0"/>
                  <wp:wrapSquare wrapText="bothSides"/>
                  <wp:docPr id="14788" name="Imagen 1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rPr>
            </w:pPr>
            <w:r w:rsidRPr="008F2A3F">
              <w:rPr>
                <w:i/>
              </w:rPr>
              <w:t>2019</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rFonts w:asciiTheme="minorHAnsi" w:hAnsiTheme="minorHAnsi" w:cstheme="minorHAnsi"/>
                <w:highlight w:val="yellow"/>
              </w:rPr>
            </w:pPr>
            <w:r w:rsidRPr="008F2A3F">
              <w:rPr>
                <w:rFonts w:asciiTheme="minorHAnsi" w:hAnsiTheme="minorHAnsi" w:cstheme="minorHAnsi"/>
                <w:b/>
              </w:rPr>
              <w:t xml:space="preserve">El OE 1: </w:t>
            </w:r>
            <w:r w:rsidRPr="008F2A3F">
              <w:rPr>
                <w:b/>
                <w:i/>
              </w:rPr>
              <w:t>Fortalecer la articulación y planificación entre los actores involucrados en el proceso de reincorporación integral de los exintegrantes de FARC-EP y sus familias</w:t>
            </w:r>
          </w:p>
          <w:p w:rsidR="000D7462" w:rsidRPr="008F2A3F" w:rsidRDefault="000D7462" w:rsidP="00E73961">
            <w:pPr>
              <w:spacing w:after="0" w:line="240" w:lineRule="auto"/>
              <w:jc w:val="both"/>
              <w:rPr>
                <w:rFonts w:asciiTheme="minorHAnsi" w:hAnsiTheme="minorHAnsi" w:cstheme="minorHAnsi"/>
                <w:highlight w:val="yellow"/>
              </w:rPr>
            </w:pPr>
          </w:p>
          <w:p w:rsidR="000D7462" w:rsidRPr="008F2A3F" w:rsidRDefault="000D7462" w:rsidP="00E73961">
            <w:pPr>
              <w:spacing w:after="0" w:line="240" w:lineRule="auto"/>
              <w:jc w:val="both"/>
              <w:rPr>
                <w:b/>
                <w:i/>
              </w:rPr>
            </w:pPr>
            <w:r w:rsidRPr="008F2A3F">
              <w:t>Durante la vigencia 2019 para este objetivo se avanzó en:</w:t>
            </w:r>
          </w:p>
          <w:p w:rsidR="000D7462" w:rsidRPr="008F2A3F" w:rsidRDefault="000D7462" w:rsidP="00E73961">
            <w:pPr>
              <w:spacing w:after="0" w:line="240" w:lineRule="auto"/>
              <w:jc w:val="both"/>
              <w:rPr>
                <w:rFonts w:asciiTheme="minorHAnsi" w:hAnsiTheme="minorHAnsi" w:cstheme="minorHAnsi"/>
                <w:highlight w:val="yellow"/>
              </w:rPr>
            </w:pPr>
          </w:p>
          <w:p w:rsidR="002B291D" w:rsidRPr="008F2A3F" w:rsidRDefault="000D7462" w:rsidP="005B6819">
            <w:pPr>
              <w:pStyle w:val="Prrafodelista"/>
              <w:numPr>
                <w:ilvl w:val="6"/>
                <w:numId w:val="16"/>
              </w:numPr>
              <w:ind w:left="316"/>
              <w:jc w:val="both"/>
            </w:pPr>
            <w:r w:rsidRPr="008F2A3F">
              <w:t xml:space="preserve">Se logró vincular a las instituciones priorizadas para articulación al proceso de reincorporación durante la vigencia 2019, este proceso de articulación estuvo relacionado con el diseño y puesta en marcha del plan de acción intersectorial para el desarrollo de la estrategia de estabilización y consolidación de los </w:t>
            </w:r>
            <w:r w:rsidR="00F90227" w:rsidRPr="008F2A3F">
              <w:t xml:space="preserve">antiguos </w:t>
            </w:r>
            <w:r w:rsidRPr="008F2A3F">
              <w:t xml:space="preserve">Espacios Territoriales de Capacitación y Reincorporación (ETCR). Se tuvieron reuniones de articulación con las siguientes entidades: el Ministerio de Agricultura y Desarrollo Rural, el Ministerio de Ambiente y Desarrollo Sostenible, la Agencia Nacional de Tierras </w:t>
            </w:r>
            <w:r w:rsidRPr="008F2A3F">
              <w:lastRenderedPageBreak/>
              <w:t>y la Agencia de Renovación del Territorio, en el marco de la ejecución de la Estrategia de Consolidación de los antiguos ETCR.</w:t>
            </w:r>
          </w:p>
          <w:p w:rsidR="002B291D" w:rsidRPr="008F2A3F" w:rsidRDefault="002B291D" w:rsidP="002B291D">
            <w:pPr>
              <w:pStyle w:val="Prrafodelista"/>
              <w:ind w:left="316"/>
              <w:jc w:val="both"/>
            </w:pPr>
          </w:p>
          <w:p w:rsidR="002B291D" w:rsidRPr="008F2A3F" w:rsidRDefault="000D7462" w:rsidP="005B6819">
            <w:pPr>
              <w:pStyle w:val="Prrafodelista"/>
              <w:numPr>
                <w:ilvl w:val="6"/>
                <w:numId w:val="16"/>
              </w:numPr>
              <w:ind w:left="316"/>
              <w:jc w:val="both"/>
            </w:pPr>
            <w:r w:rsidRPr="008F2A3F">
              <w:rPr>
                <w:rFonts w:asciiTheme="minorHAnsi" w:hAnsiTheme="minorHAnsi" w:cstheme="minorBidi"/>
              </w:rPr>
              <w:t xml:space="preserve">Se define </w:t>
            </w:r>
            <w:r w:rsidRPr="008F2A3F">
              <w:t>el protocolo de acompañamiento integral para el acceso a la oferta, en los términos y condiciones definidos por esta política, para promover la reincorporación de exintegrantes de las FARC-EP y sus familias en todo el territorio nacional</w:t>
            </w:r>
            <w:r w:rsidRPr="008F2A3F">
              <w:rPr>
                <w:rFonts w:asciiTheme="minorHAnsi" w:hAnsiTheme="minorHAnsi" w:cstheme="minorBidi"/>
              </w:rPr>
              <w:t>, a través de la ruta de reincorporación concertada con el componente CNR FARC, aprobada por el Consejo Nacional de Reincorporación, y establecida en la resolución 4309 del 24 de diciembre del 2019. Esta constituye la estructura con la cual se implementará la reincorporación a largo plazo a partir de la definición de los componentes de la ruta, los criterios de salida de los mismos y el instrumento a partir del cual se operativizará; establece las disposiciones generales para el acceso a los beneficios económicos, las limitantes para el reconocimiento de los beneficios de la ruta de reincorporación y las disposiciones generales para la finalización de la ruta de reincorporación.</w:t>
            </w:r>
          </w:p>
          <w:p w:rsidR="002B291D" w:rsidRPr="008F2A3F" w:rsidRDefault="002B291D" w:rsidP="002B291D">
            <w:pPr>
              <w:pStyle w:val="Prrafodelista"/>
            </w:pPr>
          </w:p>
          <w:p w:rsidR="000D7462" w:rsidRPr="008F2A3F" w:rsidRDefault="000D7462" w:rsidP="005B6819">
            <w:pPr>
              <w:pStyle w:val="Prrafodelista"/>
              <w:numPr>
                <w:ilvl w:val="6"/>
                <w:numId w:val="16"/>
              </w:numPr>
              <w:ind w:left="316"/>
              <w:jc w:val="both"/>
            </w:pPr>
            <w:r w:rsidRPr="008F2A3F">
              <w:t>Durante este año la Entidad y en el marco del trabajo de la Mesa Técnica del CNR y con la vinculación de la Consejería para la Estabilización, se articularon esfuerzos para movilizar las acciones de género del CONPES e iniciar el proceso para que las Entidades a nivel nacional y territorial incorporen los enfoques diferenciales y de género; se citaron a reuniones a todas las Entidades involucradas, se construyeron y actualizaron módulos y herramientas metodológicas formativas, se elaboró un documento de apoyo para la transversalización del Enfoque de Género en los CTR y se inició el proceso de entrenamiento con la ARN tanto a nivel nacional como territorial.</w:t>
            </w:r>
          </w:p>
          <w:p w:rsidR="000D7462" w:rsidRPr="008F2A3F" w:rsidRDefault="000D7462" w:rsidP="00E73961">
            <w:pPr>
              <w:spacing w:after="0" w:line="240" w:lineRule="auto"/>
              <w:jc w:val="both"/>
              <w:rPr>
                <w:b/>
                <w:i/>
              </w:rPr>
            </w:pPr>
            <w:r w:rsidRPr="008F2A3F">
              <w:rPr>
                <w:b/>
                <w:i/>
              </w:rPr>
              <w:t>El OE 2 Promover la reincorporación comunitaria en el territorio, orientada al fortalecimiento del tejido social, la convivencia y la reconciliación.</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b/>
                <w:i/>
              </w:rPr>
            </w:pPr>
            <w:r w:rsidRPr="008F2A3F">
              <w:t>Durante la vigencia 2019 para este objetivo se avanzó en:</w:t>
            </w:r>
          </w:p>
          <w:p w:rsidR="000D7462" w:rsidRPr="008F2A3F" w:rsidRDefault="000D7462" w:rsidP="00E73961">
            <w:pPr>
              <w:spacing w:after="0" w:line="240" w:lineRule="auto"/>
              <w:jc w:val="both"/>
              <w:rPr>
                <w:b/>
                <w:i/>
              </w:rPr>
            </w:pPr>
          </w:p>
          <w:p w:rsidR="000D7462" w:rsidRPr="008F2A3F" w:rsidRDefault="000D7462" w:rsidP="005B6819">
            <w:pPr>
              <w:pStyle w:val="Prrafodelista"/>
              <w:numPr>
                <w:ilvl w:val="0"/>
                <w:numId w:val="26"/>
              </w:numPr>
              <w:spacing w:after="0" w:line="240" w:lineRule="auto"/>
              <w:ind w:left="316"/>
              <w:jc w:val="both"/>
            </w:pPr>
            <w:r w:rsidRPr="008F2A3F">
              <w:t>Identificación de lecciones aprendidas del Piloto Acciones comunitarias para la reconciliación en escenarios de reincorporación (Contrato 1641 de 2018)</w:t>
            </w:r>
          </w:p>
          <w:p w:rsidR="000D7462" w:rsidRPr="008F2A3F" w:rsidRDefault="000D7462" w:rsidP="005B6819">
            <w:pPr>
              <w:pStyle w:val="Prrafodelista"/>
              <w:numPr>
                <w:ilvl w:val="0"/>
                <w:numId w:val="26"/>
              </w:numPr>
              <w:spacing w:after="0" w:line="240" w:lineRule="auto"/>
              <w:ind w:left="316"/>
              <w:jc w:val="both"/>
            </w:pPr>
            <w:r w:rsidRPr="008F2A3F">
              <w:t xml:space="preserve">Definición técnica de estrategias de Fortalecimiento Comunitario y de promoción de la convivencia. </w:t>
            </w:r>
          </w:p>
          <w:p w:rsidR="000D7462" w:rsidRPr="008F2A3F" w:rsidRDefault="000D7462" w:rsidP="005B6819">
            <w:pPr>
              <w:pStyle w:val="Prrafodelista"/>
              <w:numPr>
                <w:ilvl w:val="0"/>
                <w:numId w:val="26"/>
              </w:numPr>
              <w:spacing w:after="0" w:line="240" w:lineRule="auto"/>
              <w:ind w:left="316"/>
              <w:jc w:val="both"/>
            </w:pPr>
            <w:r w:rsidRPr="008F2A3F">
              <w:t>Suscripción de una alianza entre ARN y el British Council para la implementación de una estrategia comunitaria con enfoque de género en 10 escenarios de reincorporación dirigidas a beneficiar a 300 mujeres exintegrantes FARC-EP y de las comunidades</w:t>
            </w:r>
          </w:p>
          <w:p w:rsidR="000D7462" w:rsidRPr="008F2A3F" w:rsidRDefault="000D7462" w:rsidP="005B6819">
            <w:pPr>
              <w:pStyle w:val="Prrafodelista"/>
              <w:numPr>
                <w:ilvl w:val="0"/>
                <w:numId w:val="26"/>
              </w:numPr>
              <w:spacing w:after="0" w:line="240" w:lineRule="auto"/>
              <w:ind w:left="316"/>
              <w:jc w:val="both"/>
            </w:pPr>
            <w:r w:rsidRPr="008F2A3F">
              <w:t xml:space="preserve">Realización de nueve jornadas de sensibilización sobre derechos sexuales y reproductivos liderados por mujeres exintegrantes FARC-EP y otras mujeres de las comunidades. Estas jornadas han contribuido a la formulación de acciones afirmativas con enfoque de género y a la visibilización de riesgos y violencias basadas en género en los territorios. </w:t>
            </w:r>
          </w:p>
          <w:p w:rsidR="000D7462" w:rsidRPr="008F2A3F" w:rsidRDefault="000D7462" w:rsidP="005B6819">
            <w:pPr>
              <w:pStyle w:val="Prrafodelista"/>
              <w:numPr>
                <w:ilvl w:val="0"/>
                <w:numId w:val="26"/>
              </w:numPr>
              <w:spacing w:after="0" w:line="240" w:lineRule="auto"/>
              <w:ind w:left="316"/>
              <w:jc w:val="both"/>
            </w:pPr>
            <w:r w:rsidRPr="008F2A3F">
              <w:t>Suscripción de los contratos para la implementación de 62 procesos comunitarios. Dichos procesos tienen como propósito promover la participación de personas en reincorporación, otros miembros de las comunidades y la institucionalidad local.</w:t>
            </w:r>
          </w:p>
          <w:p w:rsidR="000D7462" w:rsidRPr="008F2A3F" w:rsidRDefault="000D7462" w:rsidP="005B6819">
            <w:pPr>
              <w:pStyle w:val="Prrafodelista"/>
              <w:numPr>
                <w:ilvl w:val="0"/>
                <w:numId w:val="26"/>
              </w:numPr>
              <w:spacing w:after="0" w:line="240" w:lineRule="auto"/>
              <w:ind w:left="316"/>
              <w:jc w:val="both"/>
            </w:pPr>
            <w:r w:rsidRPr="008F2A3F">
              <w:t>Realización de jornadas de divulgación de los procesos comunitarios territoriales con la institucionalidad local, socios implementadores y oficinas territoriales de la Agencia de Renovación del Territorio en Bogotá, Medellín, Cali, Barranquilla, Cúcuta y Florencia.</w:t>
            </w:r>
          </w:p>
          <w:p w:rsidR="000D7462" w:rsidRPr="008F2A3F" w:rsidRDefault="000D7462" w:rsidP="005B6819">
            <w:pPr>
              <w:pStyle w:val="Prrafodelista"/>
              <w:numPr>
                <w:ilvl w:val="0"/>
                <w:numId w:val="26"/>
              </w:numPr>
              <w:spacing w:after="0" w:line="240" w:lineRule="auto"/>
              <w:ind w:left="316"/>
              <w:jc w:val="both"/>
            </w:pPr>
            <w:r w:rsidRPr="008F2A3F">
              <w:t>Identificación de oportunidades de articulación y sinergia de la Fase de Fortalecimiento Comunitario de los procesos con Iniciativas PDET del Pilar de Reconciliación, Convivencia y Construcción de paz.</w:t>
            </w:r>
          </w:p>
          <w:p w:rsidR="000D7462" w:rsidRPr="008F2A3F" w:rsidRDefault="000D7462" w:rsidP="005B6819">
            <w:pPr>
              <w:pStyle w:val="Prrafodelista"/>
              <w:numPr>
                <w:ilvl w:val="0"/>
                <w:numId w:val="26"/>
              </w:numPr>
              <w:spacing w:after="0" w:line="240" w:lineRule="auto"/>
              <w:ind w:left="316"/>
              <w:jc w:val="both"/>
            </w:pPr>
            <w:r w:rsidRPr="008F2A3F">
              <w:t>Realización de las fases de alistamiento y lectura de territorio en cada municipio, con el fin de realizar un reconocimiento de dinámicas comunitarias para la formulación de un plan de fortalecimiento comunitario.</w:t>
            </w:r>
          </w:p>
          <w:p w:rsidR="000D7462" w:rsidRPr="008F2A3F" w:rsidRDefault="000D7462" w:rsidP="00E73961">
            <w:pPr>
              <w:pStyle w:val="Prrafodelista"/>
              <w:spacing w:after="0" w:line="240" w:lineRule="auto"/>
              <w:ind w:left="825"/>
              <w:jc w:val="both"/>
            </w:pPr>
          </w:p>
          <w:p w:rsidR="000D7462" w:rsidRPr="008F2A3F" w:rsidRDefault="000D7462" w:rsidP="00E73961">
            <w:pPr>
              <w:spacing w:after="0" w:line="240" w:lineRule="auto"/>
              <w:jc w:val="both"/>
              <w:rPr>
                <w:b/>
                <w:i/>
              </w:rPr>
            </w:pPr>
            <w:r w:rsidRPr="008F2A3F">
              <w:rPr>
                <w:b/>
                <w:i/>
              </w:rPr>
              <w:t>El OE 3 Generar condiciones para el acceso a mecanismos y recursos necesarios para la estabilización y proyección económica de exintegrantes de las FARC-EP y sus familias, de acuerdo con sus intereses, necesidades y potenciales.</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pPr>
            <w:r w:rsidRPr="008F2A3F">
              <w:t>A partir de los resultados del Registro Nacional de Reincorporación, se llevó a cabo el levantamiento y análisis de una Línea Base para  dar cuenta de la situación socioeconómica de la población exintegrante FARC-EP, sus condiciones, necesidades y expectativas, y a partir de allí derivar la información necesaria para la construcción de planes, programas y proyectos que garantizarán su tránsito a la vida civil en concordancia con lo establecido en el Acuerdo Final, los decretos ley que regulan la reincorporación, el Plan Marco de Implementación, así como las acciones dispuestas en el CONPES 3931.</w:t>
            </w:r>
          </w:p>
          <w:p w:rsidR="000D7462" w:rsidRPr="008F2A3F" w:rsidRDefault="000D7462" w:rsidP="00E73961">
            <w:pPr>
              <w:spacing w:after="0" w:line="240" w:lineRule="auto"/>
              <w:jc w:val="both"/>
            </w:pPr>
          </w:p>
          <w:p w:rsidR="000D7462" w:rsidRPr="008F2A3F" w:rsidRDefault="000D7462" w:rsidP="00E73961">
            <w:pPr>
              <w:spacing w:after="0" w:line="240" w:lineRule="auto"/>
              <w:jc w:val="both"/>
            </w:pPr>
            <w:r w:rsidRPr="008F2A3F">
              <w:t xml:space="preserve">Durante el segundo y tercer trimestre, y partiendo de la información aportada por el RNR, se realizó la revisión y análisis de la herramienta de caracterización ocupacional socializada por la subdirección de Análisis del Ministerio de Trabajo, con el fin de realizar el diseño e implementación de una herramienta complementaria para la caracterización socio-laboral de los exintegrantes FARC-EP, que permita la identificación de su situación de ocupación y su interés en el empleo, periódicamente. </w:t>
            </w:r>
          </w:p>
          <w:p w:rsidR="000D7462" w:rsidRPr="008F2A3F" w:rsidRDefault="000D7462" w:rsidP="00E73961">
            <w:pPr>
              <w:spacing w:after="0" w:line="240" w:lineRule="auto"/>
              <w:jc w:val="both"/>
            </w:pPr>
          </w:p>
          <w:p w:rsidR="000D7462" w:rsidRPr="008F2A3F" w:rsidRDefault="000D7462" w:rsidP="00E73961">
            <w:pPr>
              <w:spacing w:after="0" w:line="240" w:lineRule="auto"/>
              <w:jc w:val="both"/>
            </w:pPr>
            <w:r w:rsidRPr="008F2A3F">
              <w:t>Adicionalmente, se realizaron diferentes articulaciones en el proceso de acceso a los servicios de desarrollo empresarial no agropecuario:</w:t>
            </w:r>
          </w:p>
          <w:p w:rsidR="000D7462" w:rsidRPr="008F2A3F" w:rsidRDefault="000D7462" w:rsidP="00E73961">
            <w:pPr>
              <w:spacing w:after="0" w:line="240" w:lineRule="auto"/>
              <w:jc w:val="both"/>
            </w:pPr>
          </w:p>
          <w:p w:rsidR="000D7462" w:rsidRPr="008F2A3F" w:rsidRDefault="000D7462" w:rsidP="005B6819">
            <w:pPr>
              <w:pStyle w:val="Prrafodelista"/>
              <w:numPr>
                <w:ilvl w:val="0"/>
                <w:numId w:val="27"/>
              </w:numPr>
              <w:spacing w:after="0" w:line="240" w:lineRule="auto"/>
              <w:jc w:val="both"/>
            </w:pPr>
            <w:r w:rsidRPr="008F2A3F">
              <w:t>Mesa de Asociatividad Conpes 3931: participaron el Ministerio de Agricultura, las Agencia de Desarrollo Rural y de Renovación del Territorio, la Unidad Administrativa Especial de Organizaciones Solidarias UAEOS y La ARN. En la reunión de noviembre de 2019 se socializó el diagnóstico desarrollado con la matriz de la UAEOS y se acordó una ruta de trabajo para dinamizar en el 2020 la implementación de las acciones de fomento y fortalecimiento a las formas asociativas orientadas por el Conpes 3931.</w:t>
            </w:r>
          </w:p>
          <w:p w:rsidR="000D7462" w:rsidRPr="008F2A3F" w:rsidRDefault="000D7462" w:rsidP="005B6819">
            <w:pPr>
              <w:pStyle w:val="Prrafodelista"/>
              <w:numPr>
                <w:ilvl w:val="0"/>
                <w:numId w:val="27"/>
              </w:numPr>
              <w:spacing w:after="0" w:line="240" w:lineRule="auto"/>
              <w:jc w:val="both"/>
            </w:pPr>
            <w:r w:rsidRPr="008F2A3F">
              <w:t xml:space="preserve"> Articulación con la Unidad Administrativa Especial de Organizaciones Solidarias(UAEOS) para la sistematización de los diagnósticos socioempresariales, la preparación y la convocatoria para llevar a cabo la Mesa de Asociatividad, la realización de 20 cursos básicos de Economía Solidaria y el curso virtual de “Reactivando el Territorio: Asociatividad Solidaria”.</w:t>
            </w:r>
          </w:p>
          <w:p w:rsidR="000D7462" w:rsidRPr="008F2A3F" w:rsidRDefault="000D7462" w:rsidP="005B6819">
            <w:pPr>
              <w:pStyle w:val="Prrafodelista"/>
              <w:numPr>
                <w:ilvl w:val="0"/>
                <w:numId w:val="27"/>
              </w:numPr>
              <w:spacing w:after="0" w:line="240" w:lineRule="auto"/>
              <w:jc w:val="both"/>
            </w:pPr>
            <w:r w:rsidRPr="008F2A3F">
              <w:t>Articulación con la Superintendencia de Economía Solidaria para el trámite de control de legalidad de las Cooperativas multiactivas; se realizó un taller de socialización de los requisitos y de la normatividad de Economía Solidaria el 24 de noviembre, con proyectos productivos aprobados por el CNR y se constituyó una Mesa Jurídica con la UAEOS y la ARN para revisar los vacíos normativos y las necesidades de reglamentación.</w:t>
            </w:r>
          </w:p>
          <w:p w:rsidR="000D7462" w:rsidRPr="008F2A3F" w:rsidRDefault="000D7462" w:rsidP="005B6819">
            <w:pPr>
              <w:pStyle w:val="Prrafodelista"/>
              <w:numPr>
                <w:ilvl w:val="0"/>
                <w:numId w:val="27"/>
              </w:numPr>
              <w:spacing w:after="0" w:line="240" w:lineRule="auto"/>
              <w:jc w:val="both"/>
            </w:pPr>
            <w:r w:rsidRPr="008F2A3F">
              <w:t xml:space="preserve"> Articulación con la Mesa Nacional de Compras Públicas Locales para la identificación y acceso a mercados locales por parte de las formas asociativas de reincorporados En las mesas territoriales también se han socializado y articulado acciones con el Ministerio de Agricultura y Desarrollo Rural para el programa “Coseche y venda a la fija” (Agricultura por Contrato) y con la Alta Consejería para la Estabilización para el programa Catatumbo Sostenible y la participación de la ARN en la Mesa Técnica del Plan Nacional de Comercialización de la Agricultura Campesina Familiar y Comunitaria.</w:t>
            </w:r>
          </w:p>
          <w:p w:rsidR="000D7462" w:rsidRPr="008F2A3F" w:rsidRDefault="000D7462" w:rsidP="005B6819">
            <w:pPr>
              <w:pStyle w:val="Prrafodelista"/>
              <w:numPr>
                <w:ilvl w:val="0"/>
                <w:numId w:val="27"/>
              </w:numPr>
              <w:spacing w:after="0" w:line="240" w:lineRule="auto"/>
              <w:jc w:val="both"/>
            </w:pPr>
            <w:r w:rsidRPr="008F2A3F">
              <w:t xml:space="preserve">En articulación con la Misión de Naciones Unidas y ECOMÚN, se conformó una Mesa Técnica para la Gestión de Información e integración de los datos de las formas asociativas provenientes de la matriz tripartita, ECOMÚN y de los grupos territoriales de la ARN. También se inició la formulación del proyecto REDCOMÚN para construir una Plataforma que permita la captura y análisis de los datos de las formas asociativas y su intercambio con otras entidades. Se </w:t>
            </w:r>
            <w:r w:rsidRPr="008F2A3F">
              <w:lastRenderedPageBreak/>
              <w:t>realizaron 2 reuniones de la Mesa y se presentó el proyecto REDCOMUN en los Encuentros Regionales del Sur y de la Costa.</w:t>
            </w:r>
          </w:p>
          <w:p w:rsidR="000D7462" w:rsidRPr="008F2A3F" w:rsidRDefault="000D7462" w:rsidP="005B6819">
            <w:pPr>
              <w:pStyle w:val="Prrafodelista"/>
              <w:numPr>
                <w:ilvl w:val="0"/>
                <w:numId w:val="27"/>
              </w:numPr>
              <w:spacing w:after="0" w:line="240" w:lineRule="auto"/>
              <w:jc w:val="both"/>
            </w:pPr>
            <w:r w:rsidRPr="008F2A3F">
              <w:t xml:space="preserve"> Articulación con el Ministerio de las Tecnologías de la Información y las Comunicaciones: se ha coordinado, para el 2020, garantizar el acceso de las formas asociativas y sus asociados a los programas de Ciudadano Digital, Empresarios Digitales e Inteligencia Artificial en el Análisis de Suelos</w:t>
            </w:r>
          </w:p>
          <w:p w:rsidR="000D7462" w:rsidRPr="008F2A3F" w:rsidRDefault="000D7462" w:rsidP="0020090B">
            <w:pPr>
              <w:spacing w:after="0" w:line="240" w:lineRule="auto"/>
              <w:jc w:val="both"/>
              <w:rPr>
                <w:i/>
              </w:rPr>
            </w:pPr>
          </w:p>
          <w:p w:rsidR="000D7462" w:rsidRPr="008F2A3F" w:rsidRDefault="000D7462" w:rsidP="00E73961">
            <w:pPr>
              <w:spacing w:after="0" w:line="240" w:lineRule="auto"/>
              <w:jc w:val="both"/>
              <w:rPr>
                <w:b/>
                <w:i/>
              </w:rPr>
            </w:pPr>
            <w:r w:rsidRPr="008F2A3F">
              <w:rPr>
                <w:b/>
                <w:i/>
              </w:rPr>
              <w:t>El OE 4 Generar condiciones para el acceso y la atención de los derechos fundamentales e integrales de exintegrantes de las FARC - EP y sus familias.</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b/>
                <w:i/>
              </w:rPr>
            </w:pPr>
            <w:r w:rsidRPr="008F2A3F">
              <w:t>Durante la vigencia 2019 para este objetivo se avanzó en:</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b/>
                <w:i/>
              </w:rPr>
            </w:pPr>
            <w:r w:rsidRPr="008F2A3F">
              <w:rPr>
                <w:b/>
                <w:i/>
              </w:rPr>
              <w:t>SALUD</w:t>
            </w:r>
          </w:p>
          <w:p w:rsidR="000D7462" w:rsidRPr="008F2A3F" w:rsidRDefault="000D7462" w:rsidP="00E73961">
            <w:pPr>
              <w:spacing w:after="0" w:line="240" w:lineRule="auto"/>
              <w:jc w:val="both"/>
            </w:pPr>
            <w:r w:rsidRPr="008F2A3F">
              <w:t xml:space="preserve">A través del trabajo articulado en la mesa técnica de salud del CNR, se establecieron 8 estrategias pedagógicas que fueron implementadas y apoyadas por entidades como Supersalud, Nueva eps, Minsalud y la Cruz Roja.  </w:t>
            </w:r>
          </w:p>
          <w:p w:rsidR="000D7462" w:rsidRPr="008F2A3F" w:rsidRDefault="000D7462" w:rsidP="00E73961">
            <w:pPr>
              <w:spacing w:after="0" w:line="240" w:lineRule="auto"/>
              <w:jc w:val="both"/>
              <w:rPr>
                <w:b/>
              </w:rPr>
            </w:pPr>
          </w:p>
          <w:p w:rsidR="000D7462" w:rsidRPr="008F2A3F" w:rsidRDefault="000D7462" w:rsidP="00E73961">
            <w:pPr>
              <w:jc w:val="both"/>
            </w:pPr>
            <w:r w:rsidRPr="008F2A3F">
              <w:t xml:space="preserve">Se desarrollaron actividades alrededor de la promoción y prevención en derechos sexuales y reproductivos para las mujeres exintegrantes de FARC-EP, logrando el diseño y la implementación de un módulo formativo sobre Derechos Sexuales y Derechos Reproductivos </w:t>
            </w:r>
            <w:r w:rsidRPr="008F2A3F">
              <w:rPr>
                <w:i/>
              </w:rPr>
              <w:t>“Tú y yo: diálogo intercultural</w:t>
            </w:r>
            <w:r w:rsidRPr="008F2A3F">
              <w:t xml:space="preserve">”, realizando (10) jornadas formativas, una por cada territorio priorizado en el marco del </w:t>
            </w:r>
            <w:r w:rsidRPr="008F2A3F">
              <w:rPr>
                <w:b/>
              </w:rPr>
              <w:t>convenio 1167 del 2019</w:t>
            </w:r>
            <w:r w:rsidRPr="008F2A3F">
              <w:t>.</w:t>
            </w:r>
            <w:r w:rsidR="00E1433A">
              <w:t xml:space="preserve"> Se </w:t>
            </w:r>
            <w:r w:rsidR="00705A9F">
              <w:t>tiene un 99</w:t>
            </w:r>
            <w:r w:rsidR="00E1433A">
              <w:t xml:space="preserve">% de personas afiliadas a salud </w:t>
            </w:r>
            <w:r w:rsidR="00705A9F">
              <w:t xml:space="preserve">corresponden a </w:t>
            </w:r>
            <w:r w:rsidR="00705A9F" w:rsidRPr="008F2A3F">
              <w:rPr>
                <w:rFonts w:asciiTheme="minorHAnsi" w:hAnsiTheme="minorHAnsi" w:cs="Arial"/>
                <w:lang w:eastAsia="es-CO"/>
              </w:rPr>
              <w:t>13.009</w:t>
            </w:r>
            <w:r w:rsidR="00705A9F">
              <w:rPr>
                <w:rFonts w:asciiTheme="minorHAnsi" w:hAnsiTheme="minorHAnsi" w:cs="Arial"/>
                <w:lang w:eastAsia="es-CO"/>
              </w:rPr>
              <w:t xml:space="preserve"> personas</w:t>
            </w:r>
            <w:r w:rsidR="00705A9F" w:rsidRPr="008F2A3F">
              <w:rPr>
                <w:rFonts w:asciiTheme="minorHAnsi" w:hAnsiTheme="minorHAnsi" w:cs="Arial"/>
                <w:lang w:eastAsia="es-CO"/>
              </w:rPr>
              <w:t>, de los cuales 12.480 personas han accedido a los servicios de salud: 10.873 a régimen subsidiado, 1.572 a régimen contributivo y 35 en régimen de excepción o especial</w:t>
            </w:r>
            <w:r w:rsidR="00705A9F">
              <w:rPr>
                <w:rFonts w:asciiTheme="minorHAnsi" w:hAnsiTheme="minorHAnsi" w:cs="Arial"/>
                <w:lang w:eastAsia="es-CO"/>
              </w:rPr>
              <w:t>.</w:t>
            </w:r>
          </w:p>
          <w:p w:rsidR="000D7462" w:rsidRPr="008F2A3F" w:rsidRDefault="000D7462" w:rsidP="00E73961">
            <w:pPr>
              <w:spacing w:after="0" w:line="240" w:lineRule="auto"/>
              <w:jc w:val="both"/>
              <w:rPr>
                <w:b/>
                <w:i/>
              </w:rPr>
            </w:pPr>
            <w:r w:rsidRPr="008F2A3F">
              <w:rPr>
                <w:b/>
                <w:i/>
              </w:rPr>
              <w:t>ENFOQUE DIFERENCIAL</w:t>
            </w:r>
          </w:p>
          <w:p w:rsidR="000D7462" w:rsidRPr="008F2A3F" w:rsidRDefault="006966C6" w:rsidP="00E73961">
            <w:pPr>
              <w:spacing w:after="0" w:line="240" w:lineRule="auto"/>
              <w:jc w:val="both"/>
              <w:rPr>
                <w:i/>
              </w:rPr>
            </w:pPr>
            <w:r w:rsidRPr="008F2A3F">
              <w:t>La ARN</w:t>
            </w:r>
            <w:r w:rsidR="000D7462" w:rsidRPr="008F2A3F">
              <w:t xml:space="preserve"> logró para el 2019 la creación de dos (2) programas en pro </w:t>
            </w:r>
            <w:r w:rsidR="000D7462" w:rsidRPr="008F2A3F">
              <w:rPr>
                <w:i/>
              </w:rPr>
              <w:t xml:space="preserve">Generar condiciones para el acceso y la atención de los derechos fundamentales e integrales de exintegrantes de las FARC - EP y sus familias, con enfoque diferencial. </w:t>
            </w:r>
          </w:p>
          <w:p w:rsidR="000D7462" w:rsidRPr="008F2A3F" w:rsidRDefault="000D7462" w:rsidP="00E73961">
            <w:pPr>
              <w:spacing w:after="0" w:line="240" w:lineRule="auto"/>
              <w:jc w:val="both"/>
            </w:pPr>
            <w:r w:rsidRPr="008F2A3F">
              <w:t xml:space="preserve"> </w:t>
            </w:r>
          </w:p>
          <w:p w:rsidR="000D7462" w:rsidRPr="008F2A3F" w:rsidRDefault="000D7462" w:rsidP="00E73961">
            <w:pPr>
              <w:spacing w:line="240" w:lineRule="auto"/>
              <w:jc w:val="both"/>
            </w:pPr>
            <w:r w:rsidRPr="008F2A3F">
              <w:rPr>
                <w:b/>
              </w:rPr>
              <w:t>1</w:t>
            </w:r>
            <w:r w:rsidRPr="008F2A3F">
              <w:t>. Programa</w:t>
            </w:r>
            <w:r w:rsidRPr="008F2A3F">
              <w:rPr>
                <w:b/>
              </w:rPr>
              <w:t xml:space="preserve"> “CAPAZCIDADES</w:t>
            </w:r>
            <w:r w:rsidRPr="008F2A3F">
              <w:t>” que permite atender las necesidades específicas de los exintegrantes de las FARC- EP lisiados del conflicto, con discapacidad permanente y adultos mayores de conformidad con lo dispuesto en el numeral 8 y el 13 del Decreto 899 de 2017.</w:t>
            </w:r>
          </w:p>
          <w:p w:rsidR="000D7462" w:rsidRPr="008F2A3F" w:rsidRDefault="000D7462" w:rsidP="00E73961">
            <w:pPr>
              <w:jc w:val="both"/>
            </w:pPr>
            <w:r w:rsidRPr="008F2A3F">
              <w:rPr>
                <w:b/>
              </w:rPr>
              <w:t xml:space="preserve">2.  </w:t>
            </w:r>
            <w:r w:rsidRPr="008F2A3F">
              <w:t xml:space="preserve">Programa </w:t>
            </w:r>
            <w:r w:rsidRPr="008F2A3F">
              <w:rPr>
                <w:b/>
              </w:rPr>
              <w:t>Acompañamiento psicosocial con enfoque de género, derechos de las mujeres, territorial y étnico</w:t>
            </w:r>
            <w:r w:rsidRPr="008F2A3F">
              <w:t xml:space="preserve"> que permite atender las necesidades de exintegrantes de las FARC-EP y sus familias este programa contribuye con el bienestar emocional personal, familiar y colectivo, la reincorporación comunitaria y el fortalecimiento de la agencia colectiva, se planteó un proceso de construcción participativo y de análisis cualitativo.</w:t>
            </w:r>
          </w:p>
          <w:p w:rsidR="000D7462" w:rsidRPr="008F2A3F" w:rsidRDefault="000D7462" w:rsidP="00E73961">
            <w:pPr>
              <w:jc w:val="both"/>
            </w:pPr>
            <w:r w:rsidRPr="008F2A3F">
              <w:t>Durante el 2019 la ARN brindó acompañamiento a exintegrantes FARC - EP en condición de discapacidad que han iniciado su proceso de rehabilitación con el fin de promover su adherencia al proceso y adecuado uso de las prótesis y ayudas técnicas. Logrando el cumplimiento del 100% de la meta proyectada para el 2019, lo anterior fue posible mediante las siguientes acciones:</w:t>
            </w:r>
          </w:p>
          <w:p w:rsidR="000D7462" w:rsidRPr="008F2A3F" w:rsidRDefault="000D7462" w:rsidP="005B6819">
            <w:pPr>
              <w:pStyle w:val="Prrafodelista"/>
              <w:numPr>
                <w:ilvl w:val="0"/>
                <w:numId w:val="21"/>
              </w:numPr>
              <w:jc w:val="both"/>
            </w:pPr>
            <w:r w:rsidRPr="008F2A3F">
              <w:t>Articulación con la Cruz Roja Internacional logrando la entrega de productos de apoyo a un total de 115 personas exintegrantes FARC, en el periodo comprendido de 1 de enero a 30 de diciembre de 2019.</w:t>
            </w:r>
          </w:p>
          <w:p w:rsidR="000D7462" w:rsidRPr="008F2A3F" w:rsidRDefault="000D7462" w:rsidP="005B6819">
            <w:pPr>
              <w:pStyle w:val="Prrafodelista"/>
              <w:numPr>
                <w:ilvl w:val="0"/>
                <w:numId w:val="20"/>
              </w:numPr>
              <w:jc w:val="both"/>
            </w:pPr>
            <w:r w:rsidRPr="008F2A3F">
              <w:lastRenderedPageBreak/>
              <w:t xml:space="preserve"> Acompañamiento AL 100% de las personas que requirieron acompañamiento en el proceso en su proceso de rehabilitación, siendo atendidas por parte de los equipos territoriales de la ARN un total de 110 personas.</w:t>
            </w:r>
          </w:p>
          <w:p w:rsidR="000D7462" w:rsidRPr="008F2A3F" w:rsidRDefault="000D7462" w:rsidP="005B6819">
            <w:pPr>
              <w:pStyle w:val="Prrafodelista"/>
              <w:numPr>
                <w:ilvl w:val="0"/>
                <w:numId w:val="20"/>
              </w:numPr>
              <w:jc w:val="both"/>
            </w:pPr>
            <w:r w:rsidRPr="008F2A3F">
              <w:t xml:space="preserve">Se brindaron 1537 atenciones a la población discapacitada, esto significa que en promedio una persona recibió 14 atenciones en el año. </w:t>
            </w:r>
          </w:p>
          <w:p w:rsidR="000D7462" w:rsidRPr="008F2A3F" w:rsidRDefault="000D7462" w:rsidP="00E73961">
            <w:pPr>
              <w:jc w:val="both"/>
            </w:pPr>
            <w:r w:rsidRPr="008F2A3F">
              <w:t xml:space="preserve">En este mismo sentido, la ARN acompañó a los exintegrantes FARC - EP mayores de 60 años, para fortalecer sus capacidades y fomentar su participación en los componentes del programa de reincorporación logrando 1518 atenciones, es importante tener en cuenta que para al finalizar el año 2019 se contó con 514 personas. </w:t>
            </w:r>
          </w:p>
          <w:p w:rsidR="000D7462" w:rsidRPr="008F2A3F" w:rsidRDefault="000D7462" w:rsidP="00E73961">
            <w:pPr>
              <w:spacing w:after="0" w:line="240" w:lineRule="auto"/>
              <w:jc w:val="both"/>
              <w:rPr>
                <w:b/>
                <w:i/>
              </w:rPr>
            </w:pPr>
            <w:r w:rsidRPr="008F2A3F">
              <w:rPr>
                <w:b/>
                <w:i/>
              </w:rPr>
              <w:t>EDUCACIÓN</w:t>
            </w:r>
          </w:p>
          <w:p w:rsidR="000D7462" w:rsidRPr="008F2A3F" w:rsidRDefault="000D7462" w:rsidP="00E73961">
            <w:pPr>
              <w:jc w:val="both"/>
            </w:pPr>
            <w:r w:rsidRPr="008F2A3F">
              <w:t xml:space="preserve">Frente al componente de educación durante el 2019 la ARN obtuvo los siguientes logros: </w:t>
            </w:r>
          </w:p>
          <w:p w:rsidR="000D7462" w:rsidRPr="008F2A3F" w:rsidRDefault="000D7462" w:rsidP="005B6819">
            <w:pPr>
              <w:pStyle w:val="Prrafodelista"/>
              <w:numPr>
                <w:ilvl w:val="0"/>
                <w:numId w:val="25"/>
              </w:numPr>
              <w:spacing w:after="0"/>
              <w:jc w:val="both"/>
            </w:pPr>
            <w:r w:rsidRPr="008F2A3F">
              <w:t>Gestión y acompañamiento desde los Grupos Territoriales a 4860 personas en proceso de reincorporación que se vincularon a formación académica.</w:t>
            </w:r>
          </w:p>
          <w:p w:rsidR="000D7462" w:rsidRPr="008F2A3F" w:rsidRDefault="000D7462" w:rsidP="005B6819">
            <w:pPr>
              <w:pStyle w:val="Prrafodelista"/>
              <w:numPr>
                <w:ilvl w:val="0"/>
                <w:numId w:val="25"/>
              </w:numPr>
              <w:spacing w:after="0"/>
              <w:jc w:val="both"/>
            </w:pPr>
            <w:r w:rsidRPr="008F2A3F">
              <w:t xml:space="preserve">En el marco del convenio 1161 de 2019 para la implementación del Modelo de Formación MEFR para adultos, se encuentran matriculadas y estudiando a 31 de diciembre, 761 personas reincorporadas y 857 personas de familia y comunidad. Adicionalmente, mediante procesos de articulación con la oferta pública en los territorios, durante el 2019 se logró la vinculación a educación básica primaria, secundaria, media y educación superior de 1.644 personas en reincorporación. Finalmente, 50 personas (25 excombatientes y 25 víctimas) accedieron a educación superior mediante la modalidad de becas otorgadas por la Universidad ELITE, con el apoyo de la Organización de Estados Iberoamericanos – OEI.  </w:t>
            </w:r>
          </w:p>
          <w:p w:rsidR="000D7462" w:rsidRPr="008F2A3F" w:rsidRDefault="000D7462" w:rsidP="005B6819">
            <w:pPr>
              <w:pStyle w:val="Prrafodelista"/>
              <w:numPr>
                <w:ilvl w:val="0"/>
                <w:numId w:val="25"/>
              </w:numPr>
              <w:spacing w:after="0"/>
              <w:jc w:val="both"/>
            </w:pPr>
            <w:r w:rsidRPr="008F2A3F">
              <w:t>Se suscribió el Convenio 183 de 2019 entre el Ministerio de Educación Nacional y el Consejo Noruego para Refugiados que se implementará hasta abril de 2020 con una inversión de $3.334 millones (USD 980.764) de los cuales el Ministerio aporta $1.500 millones (USD 441.176) y el Consejo Noruego $1.834 millones (USD 539.588). Este proyecto brindará educación básica y media a 3.300 personas en los 24 antiguos ETCR. En diciembre se encuentran matriculados 1.468 exintegrantes Farc-Ep y 5.103 personas de familia y comunidad en todos los antiguos ETCR.</w:t>
            </w:r>
          </w:p>
          <w:p w:rsidR="000D7462" w:rsidRPr="008F2A3F" w:rsidRDefault="000D7462" w:rsidP="005B6819">
            <w:pPr>
              <w:pStyle w:val="Prrafodelista"/>
              <w:numPr>
                <w:ilvl w:val="0"/>
                <w:numId w:val="25"/>
              </w:numPr>
              <w:spacing w:after="0"/>
              <w:jc w:val="both"/>
            </w:pPr>
            <w:r w:rsidRPr="008F2A3F">
              <w:t>En el marco del convenio 1114 de 2019 UNAD</w:t>
            </w:r>
            <w:r w:rsidR="003434BB" w:rsidRPr="008F2A3F">
              <w:rPr>
                <w:rStyle w:val="Refdenotaalpie"/>
              </w:rPr>
              <w:footnoteReference w:id="9"/>
            </w:r>
            <w:r w:rsidRPr="008F2A3F">
              <w:t>-ARN, para la implementación del modelo de educación flexible con metodología “Maestro Itinerante”, a 31 de diciembre 1.346 personas reincorporadas finalizaron ciclo académico, 38 se graduaron como bachilleres, 1.196 fueron promovidos de ciclo y 112 no fueron promovidos.</w:t>
            </w:r>
          </w:p>
          <w:p w:rsidR="000D7462" w:rsidRPr="008F2A3F" w:rsidRDefault="000D7462" w:rsidP="005B6819">
            <w:pPr>
              <w:pStyle w:val="Prrafodelista"/>
              <w:numPr>
                <w:ilvl w:val="0"/>
                <w:numId w:val="25"/>
              </w:numPr>
              <w:spacing w:after="0"/>
              <w:jc w:val="both"/>
            </w:pPr>
            <w:r w:rsidRPr="008F2A3F">
              <w:t>2672 personas en proceso de reincorporación vinculadas a formación para el trabajo y más de 1.484 fueron inscritas en el aplicativo de la Agencia Pública de Empleo del SENA.</w:t>
            </w:r>
          </w:p>
          <w:p w:rsidR="000D7462" w:rsidRPr="008F2A3F" w:rsidRDefault="000D7462" w:rsidP="005B6819">
            <w:pPr>
              <w:pStyle w:val="Prrafodelista"/>
              <w:numPr>
                <w:ilvl w:val="0"/>
                <w:numId w:val="25"/>
              </w:numPr>
              <w:spacing w:after="0"/>
              <w:jc w:val="both"/>
            </w:pPr>
            <w:r w:rsidRPr="008F2A3F">
              <w:t>Entre los meses de septiembre y octubre 2019, 247 personas en reincorporación fueron certificadas como técnico laboral en diferentes disciplinas de la salud (Auxiliar en Enfermería, Auxiliar en Servicios Farmacéuticos, Auxiliar en Salud Pública, Auxiliar en apoyo Administrativo y Técnico en Salud Oral) por parte de la Cruz Roja Colombiana y el SENA. Estas certificaciones se realizaron en el marco del proyecto “Fortaleciendo Comunidades para la Paz” liderado por la Cruz Roja Colombiana y la Cruz Roja Noruega</w:t>
            </w:r>
          </w:p>
          <w:p w:rsidR="000D7462" w:rsidRPr="008F2A3F" w:rsidRDefault="000D7462" w:rsidP="005B6819">
            <w:pPr>
              <w:pStyle w:val="Prrafodelista"/>
              <w:numPr>
                <w:ilvl w:val="0"/>
                <w:numId w:val="25"/>
              </w:numPr>
              <w:spacing w:after="0"/>
              <w:jc w:val="both"/>
            </w:pPr>
            <w:r w:rsidRPr="008F2A3F">
              <w:lastRenderedPageBreak/>
              <w:t>Acompañamiento por parte de los profesionales facilitadores en los antiguos ETCR y Grupos Territoriales a 7</w:t>
            </w:r>
            <w:r w:rsidR="00443A93" w:rsidRPr="008F2A3F">
              <w:t>.</w:t>
            </w:r>
            <w:r w:rsidRPr="008F2A3F">
              <w:t xml:space="preserve">517 personas en proceso de reincorporación a través de las actividades de orientación para el acceso a educación y formación para el trabajo. </w:t>
            </w:r>
          </w:p>
          <w:p w:rsidR="000D7462" w:rsidRPr="008F2A3F" w:rsidRDefault="000D7462" w:rsidP="005B6819">
            <w:pPr>
              <w:pStyle w:val="Prrafodelista"/>
              <w:numPr>
                <w:ilvl w:val="0"/>
                <w:numId w:val="23"/>
              </w:numPr>
              <w:spacing w:after="0"/>
              <w:jc w:val="both"/>
            </w:pPr>
            <w:r w:rsidRPr="008F2A3F">
              <w:t>Vinculación del 57% de las mujeres exintegrantes FARC en reincorporación a formación académica y formación para el trabajo en la vigencia 2019. Es decir 1.111 mujeres con hijos y jefas de hogar ex integrantes de FARC – EP vinculadas a formación académica y formación para el trabajo, sobre un total de 1.933 mujeres que se identificaron como jefas de hogar y con hijos en el Registro Nacional de Reincorporación (RNR) que manifestaron su interés en estudiar o continuar estudiando.</w:t>
            </w:r>
          </w:p>
          <w:p w:rsidR="000D7462" w:rsidRPr="008F2A3F" w:rsidRDefault="000D7462" w:rsidP="005B6819">
            <w:pPr>
              <w:pStyle w:val="Prrafodelista"/>
              <w:numPr>
                <w:ilvl w:val="0"/>
                <w:numId w:val="23"/>
              </w:numPr>
              <w:spacing w:after="0"/>
              <w:jc w:val="both"/>
            </w:pPr>
            <w:r w:rsidRPr="008F2A3F">
              <w:t>Promoción para la ejecución de programas y ajustes necesarios para lograr la inclusión de exintegrantes FARC - EP con discapacidad en la formación académica, atendiendo a las características físicas, cognitivas y sensoriales de la población; en articulación con el Ministerio de educación y el Sistema Nacional de Discapacidad. Lo anterior permitió incorporar a los programas de educación de la ARN los Planes Individuales de Ajustes Razonables (PIAR).</w:t>
            </w:r>
          </w:p>
          <w:p w:rsidR="000D7462" w:rsidRPr="008F2A3F" w:rsidRDefault="000D7462" w:rsidP="005B6819">
            <w:pPr>
              <w:pStyle w:val="Prrafodelista"/>
              <w:numPr>
                <w:ilvl w:val="0"/>
                <w:numId w:val="22"/>
              </w:numPr>
              <w:spacing w:after="0"/>
              <w:jc w:val="both"/>
            </w:pPr>
            <w:r w:rsidRPr="008F2A3F">
              <w:t xml:space="preserve">Se construyó el documento de “Identificación de barreras para el acceso y la permanencia en la Educación Superior de la población exintegrante FARC-EP en reincorporación” que servirá de insumo para el Plan Integral de Educación Rural a cargo del MEN. </w:t>
            </w:r>
          </w:p>
          <w:p w:rsidR="000D7462" w:rsidRPr="008F2A3F" w:rsidRDefault="000D7462" w:rsidP="00E73961">
            <w:pPr>
              <w:spacing w:after="0"/>
              <w:jc w:val="both"/>
            </w:pPr>
          </w:p>
          <w:p w:rsidR="000D7462" w:rsidRPr="008F2A3F" w:rsidRDefault="000D7462" w:rsidP="00E73961">
            <w:pPr>
              <w:spacing w:after="0" w:line="240" w:lineRule="auto"/>
              <w:jc w:val="both"/>
              <w:rPr>
                <w:b/>
              </w:rPr>
            </w:pPr>
            <w:r w:rsidRPr="008F2A3F">
              <w:rPr>
                <w:b/>
              </w:rPr>
              <w:t>BIENESTAR</w:t>
            </w:r>
          </w:p>
          <w:p w:rsidR="000D7462" w:rsidRPr="008F2A3F" w:rsidRDefault="000D7462" w:rsidP="00E73961">
            <w:pPr>
              <w:spacing w:after="0" w:line="240" w:lineRule="auto"/>
              <w:jc w:val="both"/>
            </w:pPr>
          </w:p>
          <w:p w:rsidR="000D7462" w:rsidRPr="008F2A3F" w:rsidRDefault="000D7462" w:rsidP="00E73961">
            <w:pPr>
              <w:spacing w:after="0" w:line="240" w:lineRule="auto"/>
              <w:jc w:val="both"/>
            </w:pPr>
            <w:r w:rsidRPr="008F2A3F">
              <w:t xml:space="preserve">La ARN durante la ejecución del año 2019 obtuvo los siguientes resultados: </w:t>
            </w:r>
          </w:p>
          <w:p w:rsidR="000D7462" w:rsidRPr="008F2A3F" w:rsidRDefault="000D7462" w:rsidP="00E73961">
            <w:pPr>
              <w:spacing w:after="0" w:line="240" w:lineRule="auto"/>
              <w:jc w:val="both"/>
            </w:pPr>
          </w:p>
          <w:p w:rsidR="000D7462" w:rsidRPr="008F2A3F" w:rsidRDefault="000D7462" w:rsidP="005B6819">
            <w:pPr>
              <w:pStyle w:val="Prrafodelista"/>
              <w:numPr>
                <w:ilvl w:val="0"/>
                <w:numId w:val="24"/>
              </w:numPr>
              <w:jc w:val="both"/>
            </w:pPr>
            <w:r w:rsidRPr="008F2A3F">
              <w:t>La ARN a 31 de diciembre de 2019 brindó atención a 12.039 personas en proceso de reincorporación que asistieron a un total de 159.411 actividades.</w:t>
            </w:r>
          </w:p>
          <w:p w:rsidR="000D7462" w:rsidRPr="008F2A3F" w:rsidRDefault="000D7462" w:rsidP="005B6819">
            <w:pPr>
              <w:pStyle w:val="Prrafodelista"/>
              <w:numPr>
                <w:ilvl w:val="0"/>
                <w:numId w:val="24"/>
              </w:numPr>
              <w:spacing w:after="0" w:line="240" w:lineRule="auto"/>
              <w:jc w:val="both"/>
            </w:pPr>
            <w:r w:rsidRPr="008F2A3F">
              <w:t>Construcción de la Estrategia para el fortalecimiento del Programa Camino Diferencial.</w:t>
            </w:r>
          </w:p>
          <w:p w:rsidR="000D7462" w:rsidRPr="008F2A3F" w:rsidRDefault="000D7462" w:rsidP="005B6819">
            <w:pPr>
              <w:pStyle w:val="Prrafodelista"/>
              <w:numPr>
                <w:ilvl w:val="0"/>
                <w:numId w:val="24"/>
              </w:numPr>
              <w:spacing w:after="0" w:line="240" w:lineRule="auto"/>
              <w:jc w:val="both"/>
            </w:pPr>
            <w:r w:rsidRPr="008F2A3F">
              <w:rPr>
                <w:rFonts w:asciiTheme="minorHAnsi" w:hAnsiTheme="minorHAnsi" w:cstheme="minorHAnsi"/>
              </w:rPr>
              <w:t xml:space="preserve">Construcción de un instrumento que permite conocer los riesgos de las mujeres, con base a los resultados obtenidos de la articulación institucional con respecto a la gestión de los riesgos por parte de las entidades competentes en materia de protección y seguridad. </w:t>
            </w:r>
          </w:p>
          <w:p w:rsidR="000D7462" w:rsidRPr="008F2A3F" w:rsidRDefault="000D7462" w:rsidP="005B6819">
            <w:pPr>
              <w:pStyle w:val="Prrafodelista"/>
              <w:numPr>
                <w:ilvl w:val="0"/>
                <w:numId w:val="24"/>
              </w:numPr>
              <w:spacing w:after="0" w:line="240" w:lineRule="auto"/>
              <w:jc w:val="both"/>
            </w:pPr>
            <w:r w:rsidRPr="008F2A3F">
              <w:t>Inclusión de la acción CONPES (Apoyar la implementación de actividades que protejan, garanticen y eviten la vulneración de los derechos de las personas LGTBI ex integrantes de las FARC-EP) en el plan de acción de la Política Pública para población LGBTI.</w:t>
            </w:r>
          </w:p>
          <w:p w:rsidR="000D7462" w:rsidRPr="008F2A3F" w:rsidRDefault="000D7462" w:rsidP="005B6819">
            <w:pPr>
              <w:pStyle w:val="Prrafodelista"/>
              <w:numPr>
                <w:ilvl w:val="0"/>
                <w:numId w:val="24"/>
              </w:numPr>
              <w:spacing w:after="0" w:line="240" w:lineRule="auto"/>
              <w:jc w:val="both"/>
            </w:pPr>
            <w:r w:rsidRPr="008F2A3F">
              <w:t>Diseño de la estrategia de atención diferencial a la población joven en reincorporación.</w:t>
            </w:r>
          </w:p>
          <w:p w:rsidR="000D7462" w:rsidRPr="008F2A3F" w:rsidRDefault="000D7462" w:rsidP="00E73961">
            <w:pPr>
              <w:pStyle w:val="Prrafodelista"/>
              <w:spacing w:after="0" w:line="240" w:lineRule="auto"/>
              <w:ind w:left="774"/>
              <w:jc w:val="both"/>
            </w:pPr>
          </w:p>
          <w:p w:rsidR="000D7462" w:rsidRPr="008F2A3F" w:rsidRDefault="000D7462" w:rsidP="00E73961">
            <w:pPr>
              <w:spacing w:after="0" w:line="240" w:lineRule="auto"/>
              <w:jc w:val="both"/>
              <w:rPr>
                <w:b/>
              </w:rPr>
            </w:pPr>
            <w:r w:rsidRPr="008F2A3F">
              <w:rPr>
                <w:b/>
              </w:rPr>
              <w:t xml:space="preserve">VIVIENDA </w:t>
            </w:r>
          </w:p>
          <w:p w:rsidR="000D7462" w:rsidRPr="008F2A3F" w:rsidRDefault="000D7462" w:rsidP="00E73961">
            <w:pPr>
              <w:spacing w:after="0" w:line="240" w:lineRule="auto"/>
              <w:jc w:val="both"/>
            </w:pPr>
            <w:r w:rsidRPr="008F2A3F">
              <w:t xml:space="preserve">Durante la vigencia 2019 se </w:t>
            </w:r>
            <w:r w:rsidR="007032E0" w:rsidRPr="008F2A3F">
              <w:t xml:space="preserve">consolidó un </w:t>
            </w:r>
            <w:r w:rsidRPr="008F2A3F">
              <w:t>documento diagnóstico procesado en el marco del RNR, el cual contiene información cuantitativa sobre la localización de las personas en reincorporación y cualitativa sobre las condiciones habitacionales actuales y su condición frente a la tenencia de vivienda. En este orden de ideas ha sido aprobado oficialmente la Ruta-Guía de Atención en Habitabilidad y Vivienda para la Atención de Personas en Reincorporación, habilitada para facilitar la materialización de proyectos de vivienda con recursos del apoyo económico.</w:t>
            </w:r>
            <w:r w:rsidRPr="008F2A3F">
              <w:cr/>
            </w:r>
          </w:p>
          <w:p w:rsidR="000D7462" w:rsidRPr="008F2A3F" w:rsidRDefault="000D7462" w:rsidP="00E73961">
            <w:pPr>
              <w:spacing w:after="0" w:line="240" w:lineRule="auto"/>
              <w:jc w:val="both"/>
            </w:pPr>
            <w:r w:rsidRPr="008F2A3F">
              <w:t>Se adelantaron acciones coordinadas con las entidades de gobierno rectoras o implementadoras de la política de vivienda de interés social, orientadas a la consecución de recursos o cupos a los distintos programas o proyectos que permitan materializar la atención de las personas en proceso de reincorporación. Dentro de las entidades con las que se trabajó, se encuentran el Ministerio de Agricultura y Desarrollo Rural (MADR), Ministerio de Vivienda, Ciudad y Territorio (MVCT) y Prosperidad Social.</w:t>
            </w:r>
          </w:p>
          <w:p w:rsidR="000D7462" w:rsidRPr="008F2A3F" w:rsidRDefault="000D7462" w:rsidP="00E73961">
            <w:pPr>
              <w:spacing w:after="0" w:line="240" w:lineRule="auto"/>
              <w:jc w:val="both"/>
            </w:pPr>
          </w:p>
          <w:p w:rsidR="000D7462" w:rsidRPr="008F2A3F" w:rsidRDefault="000D7462" w:rsidP="00E73961">
            <w:pPr>
              <w:spacing w:after="0" w:line="240" w:lineRule="auto"/>
              <w:jc w:val="both"/>
              <w:rPr>
                <w:b/>
                <w:i/>
              </w:rPr>
            </w:pPr>
          </w:p>
        </w:tc>
      </w:tr>
      <w:tr w:rsidR="000D7462"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307ADC">
            <w:pPr>
              <w:spacing w:after="0" w:line="240" w:lineRule="auto"/>
              <w:ind w:left="-282" w:right="529" w:firstLine="282"/>
              <w:jc w:val="both"/>
              <w:rPr>
                <w:color w:val="3366CC"/>
                <w:sz w:val="32"/>
                <w:szCs w:val="32"/>
                <w:u w:val="single"/>
              </w:rPr>
            </w:pPr>
            <w:r w:rsidRPr="00307ADC">
              <w:rPr>
                <w:color w:val="3366CC"/>
                <w:sz w:val="32"/>
                <w:szCs w:val="32"/>
                <w:u w:val="single"/>
              </w:rPr>
              <w:lastRenderedPageBreak/>
              <w:t xml:space="preserve">¿Quiénes se beneficiaron? </w:t>
            </w:r>
            <w:r w:rsidRPr="00307ADC">
              <w:rPr>
                <w:noProof/>
                <w:color w:val="3366CC"/>
                <w:sz w:val="32"/>
                <w:szCs w:val="32"/>
                <w:u w:val="single"/>
                <w:lang w:val="es-419" w:eastAsia="es-419"/>
              </w:rPr>
              <w:drawing>
                <wp:anchor distT="0" distB="0" distL="114300" distR="114300" simplePos="0" relativeHeight="251726336" behindDoc="0" locked="0" layoutInCell="1" allowOverlap="1" wp14:anchorId="523B7D44" wp14:editId="4F416BC0">
                  <wp:simplePos x="0" y="0"/>
                  <wp:positionH relativeFrom="column">
                    <wp:posOffset>7620</wp:posOffset>
                  </wp:positionH>
                  <wp:positionV relativeFrom="paragraph">
                    <wp:posOffset>56515</wp:posOffset>
                  </wp:positionV>
                  <wp:extent cx="925830" cy="800100"/>
                  <wp:effectExtent l="0" t="0" r="0" b="0"/>
                  <wp:wrapSquare wrapText="bothSides"/>
                  <wp:docPr id="14789" name="Imagen 1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rFonts w:cs="Arial"/>
                <w:sz w:val="24"/>
                <w:szCs w:val="24"/>
              </w:rPr>
            </w:pPr>
          </w:p>
          <w:p w:rsidR="000D7462" w:rsidRPr="008F2A3F" w:rsidRDefault="000D7462" w:rsidP="00E73961">
            <w:pPr>
              <w:spacing w:after="0" w:line="240" w:lineRule="auto"/>
              <w:jc w:val="both"/>
              <w:rPr>
                <w:rFonts w:cs="Arial"/>
              </w:rPr>
            </w:pPr>
            <w:r w:rsidRPr="008F2A3F">
              <w:rPr>
                <w:rFonts w:cs="Arial"/>
              </w:rPr>
              <w:t>13.202 personas acreditadas por la OACP</w:t>
            </w:r>
            <w:r w:rsidR="003D2B40" w:rsidRPr="008F2A3F">
              <w:rPr>
                <w:rStyle w:val="Refdenotaalpie"/>
                <w:rFonts w:cs="Arial"/>
              </w:rPr>
              <w:footnoteReference w:id="10"/>
            </w:r>
            <w:r w:rsidRPr="008F2A3F">
              <w:rPr>
                <w:rFonts w:cs="Arial"/>
              </w:rPr>
              <w:t xml:space="preserve"> como ex integrantes de FARC-EP</w:t>
            </w:r>
            <w:r w:rsidR="003D2B40" w:rsidRPr="008F2A3F">
              <w:rPr>
                <w:rFonts w:cs="Arial"/>
              </w:rPr>
              <w:t>.</w:t>
            </w:r>
            <w:r w:rsidR="00663CBF" w:rsidRPr="008F2A3F">
              <w:rPr>
                <w:rFonts w:cs="Arial"/>
              </w:rPr>
              <w:t xml:space="preserve"> En cuanto al objetivo 4, se realizaron acciones que beneficiaron a la población en: </w:t>
            </w:r>
          </w:p>
          <w:p w:rsidR="00663CBF" w:rsidRPr="008F2A3F" w:rsidRDefault="00663CBF" w:rsidP="00E73961">
            <w:pPr>
              <w:spacing w:after="0" w:line="240" w:lineRule="auto"/>
              <w:jc w:val="both"/>
              <w:rPr>
                <w:rFonts w:cs="Arial"/>
              </w:rPr>
            </w:pPr>
          </w:p>
          <w:p w:rsidR="00AA6BA1" w:rsidRPr="008F2A3F" w:rsidRDefault="00AA6BA1" w:rsidP="00663CBF">
            <w:pPr>
              <w:pStyle w:val="Prrafodelista"/>
              <w:numPr>
                <w:ilvl w:val="0"/>
                <w:numId w:val="41"/>
              </w:numPr>
              <w:spacing w:after="0" w:line="240" w:lineRule="auto"/>
              <w:jc w:val="both"/>
              <w:rPr>
                <w:rFonts w:cs="Arial"/>
              </w:rPr>
            </w:pPr>
            <w:r w:rsidRPr="008F2A3F">
              <w:rPr>
                <w:rFonts w:cs="Arial"/>
              </w:rPr>
              <w:t xml:space="preserve">Acompañamiento actividades de reincorporación: </w:t>
            </w:r>
            <w:r w:rsidR="005E71C9" w:rsidRPr="008F2A3F">
              <w:rPr>
                <w:rFonts w:cs="Arial"/>
              </w:rPr>
              <w:t>10.741 personas acompañadas.</w:t>
            </w:r>
          </w:p>
          <w:p w:rsidR="00663CBF" w:rsidRPr="008F2A3F" w:rsidRDefault="00663CBF" w:rsidP="00663CBF">
            <w:pPr>
              <w:pStyle w:val="Prrafodelista"/>
              <w:numPr>
                <w:ilvl w:val="0"/>
                <w:numId w:val="41"/>
              </w:numPr>
              <w:spacing w:after="0" w:line="240" w:lineRule="auto"/>
              <w:jc w:val="both"/>
              <w:rPr>
                <w:rFonts w:cs="Arial"/>
              </w:rPr>
            </w:pPr>
            <w:r w:rsidRPr="008F2A3F">
              <w:rPr>
                <w:rFonts w:cs="Arial"/>
              </w:rPr>
              <w:t xml:space="preserve">Educación: 5.581 personas en reincorporación accedieron a formación académica en básica primaria, secundaria y media.  </w:t>
            </w:r>
          </w:p>
          <w:p w:rsidR="00663CBF" w:rsidRPr="008F2A3F" w:rsidRDefault="00663CBF" w:rsidP="00663CBF">
            <w:pPr>
              <w:pStyle w:val="Prrafodelista"/>
              <w:numPr>
                <w:ilvl w:val="0"/>
                <w:numId w:val="41"/>
              </w:numPr>
              <w:spacing w:after="0" w:line="240" w:lineRule="auto"/>
              <w:jc w:val="both"/>
              <w:rPr>
                <w:rFonts w:cs="Arial"/>
              </w:rPr>
            </w:pPr>
            <w:r w:rsidRPr="008F2A3F">
              <w:rPr>
                <w:rFonts w:asciiTheme="minorHAnsi" w:hAnsiTheme="minorHAnsi" w:cs="Arial"/>
                <w:lang w:eastAsia="es-CO"/>
              </w:rPr>
              <w:t>Salud: el 99% (13.009) de los exintegrantes Farc han estado afiliados a salud, de los cuales 12.480 personas han accedido a los servicios de salud: 10.873 a régimen subsidiado, 1.572 a régimen contributivo y 35 en régimen de excepción o especial</w:t>
            </w:r>
          </w:p>
          <w:p w:rsidR="00663CBF" w:rsidRPr="008F2A3F" w:rsidRDefault="00663CBF" w:rsidP="00E73961">
            <w:pPr>
              <w:spacing w:after="0" w:line="240" w:lineRule="auto"/>
              <w:jc w:val="both"/>
              <w:rPr>
                <w:rFonts w:cs="Arial"/>
              </w:rPr>
            </w:pPr>
          </w:p>
          <w:p w:rsidR="000D7462" w:rsidRPr="008F2A3F" w:rsidRDefault="000D7462" w:rsidP="00F90227">
            <w:pPr>
              <w:spacing w:after="0" w:line="240" w:lineRule="auto"/>
              <w:jc w:val="both"/>
            </w:pPr>
            <w:r w:rsidRPr="008F2A3F">
              <w:t>Los procesos comunitarios contaron con la participación de 3.469 personas:  1.450 niñas y mujeres jóvenes, 1.190 niños y hombres jóvenes, 388</w:t>
            </w:r>
            <w:r w:rsidRPr="008F2A3F">
              <w:rPr>
                <w:sz w:val="24"/>
                <w:szCs w:val="24"/>
              </w:rPr>
              <w:t xml:space="preserve"> hombres adultos y 441 mujeres adultas. De estos, 395 corresponden a población miembros de </w:t>
            </w:r>
            <w:r w:rsidRPr="008F2A3F">
              <w:t>los Consejos Comunitarios en Jiguamiando, Fonseca, Pueblo Rico, Tumaco y Patía y de los pueblos indígenas Nasa, Embera Chamí, Pijaos y Pastos.</w:t>
            </w:r>
          </w:p>
          <w:p w:rsidR="000D7462" w:rsidRPr="008F2A3F" w:rsidRDefault="000D7462" w:rsidP="00E73961">
            <w:pPr>
              <w:spacing w:after="0" w:line="240" w:lineRule="auto"/>
              <w:ind w:left="1730"/>
              <w:jc w:val="both"/>
            </w:pPr>
          </w:p>
          <w:p w:rsidR="000D7462" w:rsidRPr="008F2A3F" w:rsidRDefault="000D7462" w:rsidP="00E73961">
            <w:pPr>
              <w:spacing w:after="0" w:line="240" w:lineRule="auto"/>
              <w:jc w:val="both"/>
            </w:pPr>
            <w:r w:rsidRPr="008F2A3F">
              <w:t>En cuanto al desarrollo empresarial no agropecuario, participaron 200 personas en el básicos de Economía Solidaria y el curso virtual de “Reactivando el Territorio: Asociatividad Solidaria”;  35 cooperativas realizaron el trámite de control de legalidad de las Cooperativas multiactivas; 32 formas asociativas participaron en el taller de  socialización de los requisitos y de la normatividad de Economía Solidaria; adicionalmente, la ARN gestionó la participación de ECOMÚN en la Mesa Nacional de Compras Públicas Locales y ha promovido la participación de los grupos territoriales y las formas asociativas en las mesas territoriales del Meta, Guaviare, Huila, Cauca, Bolívar, Arauca, Norte de Santander, Cesar y La Guajira, para identificar la demanda del PAE y del ICBF</w:t>
            </w:r>
            <w:r w:rsidR="003D2B40" w:rsidRPr="008F2A3F">
              <w:rPr>
                <w:rStyle w:val="Refdenotaalpie"/>
              </w:rPr>
              <w:footnoteReference w:id="11"/>
            </w:r>
            <w:r w:rsidRPr="008F2A3F">
              <w:t>; en esta participación, las Cooperativas han logrado acuerdos comerciale</w:t>
            </w:r>
            <w:r w:rsidR="00F90227" w:rsidRPr="008F2A3F">
              <w:t>s en Huila, Cesar y La Guajira.</w:t>
            </w:r>
          </w:p>
        </w:tc>
      </w:tr>
      <w:tr w:rsidR="000D7462"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307ADC">
            <w:pPr>
              <w:spacing w:after="0" w:line="240" w:lineRule="auto"/>
              <w:ind w:left="-282" w:right="529" w:firstLine="282"/>
              <w:jc w:val="both"/>
              <w:rPr>
                <w:color w:val="3366CC"/>
                <w:sz w:val="32"/>
                <w:szCs w:val="32"/>
                <w:u w:val="single"/>
              </w:rPr>
            </w:pPr>
            <w:r w:rsidRPr="00307ADC">
              <w:rPr>
                <w:color w:val="3366CC"/>
                <w:sz w:val="32"/>
                <w:szCs w:val="32"/>
                <w:u w:val="single"/>
              </w:rPr>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28384" behindDoc="0" locked="0" layoutInCell="1" allowOverlap="1" wp14:anchorId="1BCF7A9F" wp14:editId="019FDF63">
                  <wp:simplePos x="0" y="0"/>
                  <wp:positionH relativeFrom="column">
                    <wp:posOffset>-85725</wp:posOffset>
                  </wp:positionH>
                  <wp:positionV relativeFrom="paragraph">
                    <wp:posOffset>0</wp:posOffset>
                  </wp:positionV>
                  <wp:extent cx="958850" cy="861695"/>
                  <wp:effectExtent l="0" t="0" r="0" b="0"/>
                  <wp:wrapSquare wrapText="bothSides"/>
                  <wp:docPr id="14790" name="Imagen 1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i/>
                <w:sz w:val="24"/>
                <w:szCs w:val="24"/>
              </w:rPr>
            </w:pPr>
          </w:p>
          <w:p w:rsidR="000D7462" w:rsidRPr="008F2A3F" w:rsidRDefault="000D7462" w:rsidP="00E73961">
            <w:pPr>
              <w:spacing w:after="0" w:line="240" w:lineRule="auto"/>
              <w:jc w:val="both"/>
              <w:rPr>
                <w:sz w:val="24"/>
                <w:szCs w:val="24"/>
              </w:rPr>
            </w:pPr>
            <w:r w:rsidRPr="008F2A3F">
              <w:rPr>
                <w:sz w:val="24"/>
                <w:szCs w:val="24"/>
              </w:rPr>
              <w:t xml:space="preserve">Lo invitamos  a hacer control social a los contratos que se celebran por parte de las entidades públicas en el portal de Colombia Compra Eficiente </w:t>
            </w:r>
            <w:hyperlink r:id="rId64" w:history="1">
              <w:r w:rsidR="00B94748" w:rsidRPr="00693E84">
                <w:rPr>
                  <w:rStyle w:val="Hipervnculo"/>
                  <w:sz w:val="24"/>
                  <w:szCs w:val="24"/>
                </w:rPr>
                <w:t>www.colombiacompra.gov.co</w:t>
              </w:r>
            </w:hyperlink>
            <w:r w:rsidR="00B94748">
              <w:rPr>
                <w:rStyle w:val="Hipervnculo"/>
                <w:color w:val="auto"/>
                <w:sz w:val="24"/>
                <w:szCs w:val="24"/>
              </w:rPr>
              <w:t xml:space="preserve"> </w:t>
            </w:r>
            <w:r w:rsidRPr="008F2A3F">
              <w:rPr>
                <w:sz w:val="24"/>
                <w:szCs w:val="24"/>
              </w:rPr>
              <w:t xml:space="preserve"> </w:t>
            </w:r>
          </w:p>
          <w:p w:rsidR="000D7462" w:rsidRPr="008F2A3F" w:rsidRDefault="000D7462" w:rsidP="00E73961">
            <w:pPr>
              <w:spacing w:after="0" w:line="240" w:lineRule="auto"/>
              <w:rPr>
                <w:sz w:val="24"/>
                <w:szCs w:val="24"/>
              </w:rPr>
            </w:pPr>
          </w:p>
          <w:p w:rsidR="000D7462" w:rsidRPr="008F2A3F" w:rsidRDefault="000D7462" w:rsidP="00E73961">
            <w:pPr>
              <w:spacing w:after="0" w:line="240" w:lineRule="auto"/>
              <w:jc w:val="both"/>
              <w:rPr>
                <w:sz w:val="24"/>
                <w:szCs w:val="24"/>
              </w:rPr>
            </w:pPr>
            <w:r w:rsidRPr="008F2A3F">
              <w:rPr>
                <w:sz w:val="24"/>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0D7462" w:rsidRPr="008F2A3F" w:rsidRDefault="000D7462" w:rsidP="00E73961">
            <w:pPr>
              <w:spacing w:after="0" w:line="240" w:lineRule="auto"/>
              <w:jc w:val="both"/>
              <w:rPr>
                <w:sz w:val="24"/>
                <w:szCs w:val="24"/>
              </w:rPr>
            </w:pPr>
          </w:p>
          <w:p w:rsidR="000D7462" w:rsidRPr="008F2A3F" w:rsidRDefault="009B7621" w:rsidP="00E73961">
            <w:pPr>
              <w:spacing w:after="0" w:line="240" w:lineRule="auto"/>
              <w:rPr>
                <w:sz w:val="24"/>
                <w:szCs w:val="24"/>
              </w:rPr>
            </w:pPr>
            <w:hyperlink r:id="rId65" w:history="1">
              <w:r w:rsidR="00B94748" w:rsidRPr="00693E84">
                <w:rPr>
                  <w:rStyle w:val="Hipervnculo"/>
                  <w:sz w:val="24"/>
                  <w:szCs w:val="24"/>
                </w:rPr>
                <w:t>https://www.colombiacompra.gov.co/secop/busqueda-de-procesos-de-contratacion</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9B7621" w:rsidP="00E73961">
            <w:pPr>
              <w:spacing w:after="0" w:line="240" w:lineRule="auto"/>
              <w:rPr>
                <w:sz w:val="24"/>
                <w:szCs w:val="24"/>
              </w:rPr>
            </w:pPr>
            <w:hyperlink r:id="rId66" w:history="1">
              <w:r w:rsidR="00B94748" w:rsidRPr="00693E84">
                <w:rPr>
                  <w:rStyle w:val="Hipervnculo"/>
                  <w:sz w:val="24"/>
                  <w:szCs w:val="24"/>
                </w:rPr>
                <w:t>https://www.contratos.gov.co/consultas/inicioConsulta.do</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0D7462" w:rsidP="00E73961">
            <w:pPr>
              <w:spacing w:after="0" w:line="240" w:lineRule="auto"/>
              <w:rPr>
                <w:sz w:val="24"/>
                <w:szCs w:val="24"/>
              </w:rPr>
            </w:pPr>
          </w:p>
          <w:p w:rsidR="000D7462" w:rsidRPr="008F2A3F" w:rsidRDefault="000D7462" w:rsidP="00E73961">
            <w:pPr>
              <w:spacing w:after="0" w:line="240" w:lineRule="auto"/>
              <w:jc w:val="both"/>
              <w:rPr>
                <w:sz w:val="24"/>
                <w:szCs w:val="24"/>
              </w:rPr>
            </w:pPr>
            <w:r w:rsidRPr="008F2A3F">
              <w:rPr>
                <w:sz w:val="24"/>
                <w:szCs w:val="24"/>
              </w:rPr>
              <w:lastRenderedPageBreak/>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rsidR="00386B7D" w:rsidRPr="008F2A3F" w:rsidRDefault="00386B7D" w:rsidP="00E73961">
            <w:pPr>
              <w:spacing w:after="0" w:line="240" w:lineRule="auto"/>
              <w:jc w:val="both"/>
              <w:rPr>
                <w:sz w:val="24"/>
                <w:szCs w:val="24"/>
              </w:rPr>
            </w:pPr>
          </w:p>
          <w:tbl>
            <w:tblPr>
              <w:tblW w:w="8820" w:type="dxa"/>
              <w:tblLayout w:type="fixed"/>
              <w:tblCellMar>
                <w:left w:w="70" w:type="dxa"/>
                <w:right w:w="70" w:type="dxa"/>
              </w:tblCellMar>
              <w:tblLook w:val="04A0" w:firstRow="1" w:lastRow="0" w:firstColumn="1" w:lastColumn="0" w:noHBand="0" w:noVBand="1"/>
            </w:tblPr>
            <w:tblGrid>
              <w:gridCol w:w="5060"/>
              <w:gridCol w:w="3760"/>
            </w:tblGrid>
            <w:tr w:rsidR="00386B7D" w:rsidRPr="008F2A3F" w:rsidTr="00386B7D">
              <w:trPr>
                <w:trHeight w:val="300"/>
              </w:trPr>
              <w:tc>
                <w:tcPr>
                  <w:tcW w:w="5060" w:type="dxa"/>
                  <w:vMerge w:val="restart"/>
                  <w:tcBorders>
                    <w:top w:val="single" w:sz="8" w:space="0" w:color="auto"/>
                    <w:left w:val="single" w:sz="8" w:space="0" w:color="auto"/>
                    <w:bottom w:val="nil"/>
                    <w:right w:val="nil"/>
                  </w:tcBorders>
                  <w:shd w:val="clear" w:color="000000" w:fill="A6A6A6"/>
                  <w:vAlign w:val="center"/>
                  <w:hideMark/>
                </w:tcPr>
                <w:p w:rsidR="00386B7D" w:rsidRPr="008F2A3F" w:rsidRDefault="00386B7D" w:rsidP="00386B7D">
                  <w:pPr>
                    <w:spacing w:after="0" w:line="240" w:lineRule="auto"/>
                    <w:jc w:val="both"/>
                    <w:rPr>
                      <w:rFonts w:eastAsia="Times New Roman" w:cs="Calibri"/>
                      <w:i/>
                      <w:iCs/>
                      <w:sz w:val="18"/>
                      <w:szCs w:val="18"/>
                      <w:lang w:eastAsia="es-CO"/>
                    </w:rPr>
                  </w:pPr>
                  <w:r w:rsidRPr="008F2A3F">
                    <w:rPr>
                      <w:rFonts w:eastAsia="Times New Roman" w:cs="Calibri"/>
                      <w:i/>
                      <w:iCs/>
                      <w:sz w:val="18"/>
                      <w:szCs w:val="18"/>
                      <w:lang w:eastAsia="es-CO"/>
                    </w:rPr>
                    <w:t xml:space="preserve">Número de Contrato/Año </w:t>
                  </w:r>
                </w:p>
              </w:tc>
              <w:tc>
                <w:tcPr>
                  <w:tcW w:w="3760" w:type="dxa"/>
                  <w:tcBorders>
                    <w:top w:val="single" w:sz="8" w:space="0" w:color="auto"/>
                    <w:left w:val="nil"/>
                    <w:bottom w:val="nil"/>
                    <w:right w:val="single" w:sz="8" w:space="0" w:color="auto"/>
                  </w:tcBorders>
                  <w:shd w:val="clear" w:color="000000" w:fill="A6A6A6"/>
                  <w:vAlign w:val="center"/>
                  <w:hideMark/>
                </w:tcPr>
                <w:p w:rsidR="00386B7D" w:rsidRPr="008F2A3F" w:rsidRDefault="00386B7D" w:rsidP="00386B7D">
                  <w:pPr>
                    <w:spacing w:after="0" w:line="240" w:lineRule="auto"/>
                    <w:jc w:val="both"/>
                    <w:rPr>
                      <w:rFonts w:eastAsia="Times New Roman" w:cs="Calibri"/>
                      <w:i/>
                      <w:iCs/>
                      <w:sz w:val="18"/>
                      <w:szCs w:val="18"/>
                      <w:lang w:eastAsia="es-CO"/>
                    </w:rPr>
                  </w:pPr>
                  <w:r w:rsidRPr="008F2A3F">
                    <w:rPr>
                      <w:rFonts w:eastAsia="Times New Roman" w:cs="Calibri"/>
                      <w:i/>
                      <w:iCs/>
                      <w:sz w:val="18"/>
                      <w:szCs w:val="18"/>
                      <w:lang w:eastAsia="es-CO"/>
                    </w:rPr>
                    <w:t>Informe de supervisión o interventoría</w:t>
                  </w:r>
                </w:p>
              </w:tc>
            </w:tr>
            <w:tr w:rsidR="00386B7D" w:rsidRPr="008F2A3F" w:rsidTr="00386B7D">
              <w:trPr>
                <w:trHeight w:val="480"/>
              </w:trPr>
              <w:tc>
                <w:tcPr>
                  <w:tcW w:w="5060" w:type="dxa"/>
                  <w:vMerge/>
                  <w:tcBorders>
                    <w:top w:val="single" w:sz="8" w:space="0" w:color="auto"/>
                    <w:left w:val="single" w:sz="8" w:space="0" w:color="auto"/>
                    <w:bottom w:val="nil"/>
                    <w:right w:val="nil"/>
                  </w:tcBorders>
                  <w:vAlign w:val="center"/>
                  <w:hideMark/>
                </w:tcPr>
                <w:p w:rsidR="00386B7D" w:rsidRPr="008F2A3F" w:rsidRDefault="00386B7D" w:rsidP="00386B7D">
                  <w:pPr>
                    <w:spacing w:after="0" w:line="240" w:lineRule="auto"/>
                    <w:rPr>
                      <w:rFonts w:eastAsia="Times New Roman" w:cs="Calibri"/>
                      <w:i/>
                      <w:iCs/>
                      <w:sz w:val="18"/>
                      <w:szCs w:val="18"/>
                      <w:lang w:eastAsia="es-CO"/>
                    </w:rPr>
                  </w:pPr>
                </w:p>
              </w:tc>
              <w:tc>
                <w:tcPr>
                  <w:tcW w:w="3760" w:type="dxa"/>
                  <w:tcBorders>
                    <w:top w:val="nil"/>
                    <w:left w:val="nil"/>
                    <w:bottom w:val="nil"/>
                    <w:right w:val="single" w:sz="8" w:space="0" w:color="auto"/>
                  </w:tcBorders>
                  <w:shd w:val="clear" w:color="000000" w:fill="A6A6A6"/>
                  <w:vAlign w:val="center"/>
                  <w:hideMark/>
                </w:tcPr>
                <w:p w:rsidR="00386B7D" w:rsidRPr="008F2A3F" w:rsidRDefault="00386B7D" w:rsidP="00386B7D">
                  <w:pPr>
                    <w:spacing w:after="0" w:line="240" w:lineRule="auto"/>
                    <w:jc w:val="both"/>
                    <w:rPr>
                      <w:rFonts w:eastAsia="Times New Roman" w:cs="Calibri"/>
                      <w:i/>
                      <w:iCs/>
                      <w:sz w:val="18"/>
                      <w:szCs w:val="18"/>
                      <w:lang w:eastAsia="es-CO"/>
                    </w:rPr>
                  </w:pPr>
                  <w:r w:rsidRPr="008F2A3F">
                    <w:rPr>
                      <w:rFonts w:eastAsia="Times New Roman" w:cs="Calibri"/>
                      <w:i/>
                      <w:iCs/>
                      <w:sz w:val="18"/>
                      <w:szCs w:val="18"/>
                      <w:lang w:eastAsia="es-CO"/>
                    </w:rPr>
                    <w:t>Conozca el informe del interventor o el supervisor aquí</w:t>
                  </w:r>
                </w:p>
              </w:tc>
            </w:tr>
            <w:tr w:rsidR="00386B7D" w:rsidRPr="008F2A3F" w:rsidTr="00386B7D">
              <w:trPr>
                <w:trHeight w:val="3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de cooperación 1167 de 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67" w:history="1">
                    <w:r w:rsidR="00B94748" w:rsidRPr="00693E84">
                      <w:rPr>
                        <w:rStyle w:val="Hipervnculo"/>
                        <w:rFonts w:eastAsia="Times New Roman" w:cs="Calibri"/>
                        <w:lang w:eastAsia="es-CO"/>
                      </w:rPr>
                      <w:t>https://www.contratos.gov.co/consultas/detalleProceso.do?numConstancia=19-4-9506197</w:t>
                    </w:r>
                  </w:hyperlink>
                  <w:r w:rsidR="00B94748">
                    <w:rPr>
                      <w:rFonts w:eastAsia="Times New Roman" w:cs="Calibri"/>
                      <w:lang w:eastAsia="es-CO"/>
                    </w:rPr>
                    <w:t xml:space="preserve"> </w:t>
                  </w:r>
                </w:p>
              </w:tc>
            </w:tr>
            <w:tr w:rsidR="00386B7D" w:rsidRPr="008F2A3F" w:rsidTr="00386B7D">
              <w:trPr>
                <w:trHeight w:val="3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1114 de 2019 UNAD-ARN</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68" w:anchor="v" w:history="1">
                    <w:r w:rsidR="00B94748" w:rsidRPr="00693E84">
                      <w:rPr>
                        <w:rStyle w:val="Hipervnculo"/>
                        <w:rFonts w:eastAsia="Times New Roman" w:cs="Calibri"/>
                        <w:lang w:eastAsia="es-CO"/>
                      </w:rPr>
                      <w:t>https://www.contratos.gov.co/consultas/resultadoListadoProcesos.jsp#</w:t>
                    </w:r>
                  </w:hyperlink>
                  <w:r w:rsidR="00B94748">
                    <w:rPr>
                      <w:rFonts w:eastAsia="Times New Roman" w:cs="Calibri"/>
                      <w:lang w:eastAsia="es-CO"/>
                    </w:rPr>
                    <w:t xml:space="preserve"> </w:t>
                  </w:r>
                </w:p>
              </w:tc>
            </w:tr>
            <w:tr w:rsidR="00386B7D" w:rsidRPr="008F2A3F" w:rsidTr="00386B7D">
              <w:trPr>
                <w:trHeight w:val="3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1161 de 2019 N° de Proceso SECOP II SAMC-ARN-477-2019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69" w:history="1">
                    <w:r w:rsidR="00B94748" w:rsidRPr="00693E84">
                      <w:rPr>
                        <w:rStyle w:val="Hipervnculo"/>
                        <w:rFonts w:eastAsia="Times New Roman" w:cs="Calibri"/>
                        <w:lang w:eastAsia="es-CO"/>
                      </w:rPr>
                      <w:t>https://community.secop.gov.co/Public/Tendering/ContractNoticeManagement/Index?currentLanguage=es-CO&amp;Page=login&amp;Country=CO&amp;SkinName=CCE</w:t>
                    </w:r>
                  </w:hyperlink>
                  <w:r w:rsidR="00B94748">
                    <w:rPr>
                      <w:rFonts w:eastAsia="Times New Roman" w:cs="Calibri"/>
                      <w:lang w:eastAsia="es-CO"/>
                    </w:rPr>
                    <w:t xml:space="preserve"> </w:t>
                  </w:r>
                  <w:r w:rsidR="00386B7D" w:rsidRPr="008F2A3F">
                    <w:rPr>
                      <w:rFonts w:eastAsia="Times New Roman" w:cs="Calibri"/>
                      <w:lang w:eastAsia="es-CO"/>
                    </w:rPr>
                    <w:t xml:space="preserve">  </w:t>
                  </w:r>
                </w:p>
              </w:tc>
            </w:tr>
            <w:tr w:rsidR="00386B7D" w:rsidRPr="008F2A3F" w:rsidTr="00386B7D">
              <w:trPr>
                <w:trHeight w:val="6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de Cooperación Internacional ARN – British Council No. 1167 de 2019 (Del 14 de junio de 2019 al 31 de marzo de 2020)</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0" w:history="1">
                    <w:r w:rsidR="00B94748" w:rsidRPr="00693E84">
                      <w:rPr>
                        <w:rStyle w:val="Hipervnculo"/>
                        <w:rFonts w:eastAsia="Times New Roman" w:cs="Calibri"/>
                        <w:lang w:eastAsia="es-CO"/>
                      </w:rPr>
                      <w:t>https://www.contratos.gov.co/consultas/detalleProceso.do?numConstancia=19-4-9506197</w:t>
                    </w:r>
                  </w:hyperlink>
                  <w:r w:rsidR="00B94748">
                    <w:rPr>
                      <w:rFonts w:eastAsia="Times New Roman" w:cs="Calibri"/>
                      <w:lang w:eastAsia="es-CO"/>
                    </w:rPr>
                    <w:t xml:space="preserve"> </w:t>
                  </w:r>
                </w:p>
              </w:tc>
            </w:tr>
            <w:tr w:rsidR="00386B7D" w:rsidRPr="008F2A3F" w:rsidTr="00386B7D">
              <w:trPr>
                <w:trHeight w:val="6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Contrato No. 1330 de 2019 suscrito con C&amp;M Asesorías y Consultorías SAS (Del 4 de septiembre de 2019 al 3 de septiembre de 2020) N° de Proceso SECOP II SAMC-ARN-480-2019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1" w:history="1">
                    <w:r w:rsidR="00B94748" w:rsidRPr="00693E84">
                      <w:rPr>
                        <w:rStyle w:val="Hipervnculo"/>
                        <w:rFonts w:eastAsia="Times New Roman" w:cs="Calibri"/>
                        <w:lang w:eastAsia="es-CO"/>
                      </w:rPr>
                      <w:t>https://community.secop.gov.co/Public/Tendering/ContractNoticeManagement/Index?currentLanguage=es-CO&amp;Page=login&amp;Country=CO&amp;SkinName=CCE</w:t>
                    </w:r>
                  </w:hyperlink>
                  <w:r w:rsidR="00B94748">
                    <w:rPr>
                      <w:rFonts w:eastAsia="Times New Roman" w:cs="Calibri"/>
                      <w:lang w:eastAsia="es-CO"/>
                    </w:rPr>
                    <w:t xml:space="preserve"> </w:t>
                  </w:r>
                  <w:r w:rsidR="00386B7D" w:rsidRPr="008F2A3F">
                    <w:rPr>
                      <w:rFonts w:eastAsia="Times New Roman" w:cs="Calibri"/>
                      <w:lang w:eastAsia="es-CO"/>
                    </w:rPr>
                    <w:t xml:space="preserve">  </w:t>
                  </w:r>
                </w:p>
              </w:tc>
            </w:tr>
            <w:tr w:rsidR="00386B7D" w:rsidRPr="008F2A3F" w:rsidTr="00386B7D">
              <w:trPr>
                <w:trHeight w:val="6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Contrato No. 1481 de 2019 suscrito con Banca de Proyectos SAS (Del 9 de septiembre de 2019 al 8 de septiembre de 2020) N° de Proceso SECOP IISAMC-ARN-480-2019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2" w:history="1">
                    <w:r w:rsidR="00B94748" w:rsidRPr="00693E84">
                      <w:rPr>
                        <w:rStyle w:val="Hipervnculo"/>
                        <w:rFonts w:eastAsia="Times New Roman" w:cs="Calibri"/>
                        <w:lang w:eastAsia="es-CO"/>
                      </w:rPr>
                      <w:t>https://community.secop.gov.co/Public/Tendering/ContractNoticeManagement/Index?currentLanguage=es-CO&amp;Page=login&amp;Country=CO&amp;SkinName=CCE</w:t>
                    </w:r>
                  </w:hyperlink>
                  <w:r w:rsidR="00B94748">
                    <w:rPr>
                      <w:rFonts w:eastAsia="Times New Roman" w:cs="Calibri"/>
                      <w:lang w:eastAsia="es-CO"/>
                    </w:rPr>
                    <w:t xml:space="preserve"> </w:t>
                  </w:r>
                  <w:r w:rsidR="00386B7D" w:rsidRPr="008F2A3F">
                    <w:rPr>
                      <w:rFonts w:eastAsia="Times New Roman" w:cs="Calibri"/>
                      <w:lang w:eastAsia="es-CO"/>
                    </w:rPr>
                    <w:t xml:space="preserve">  </w:t>
                  </w:r>
                </w:p>
              </w:tc>
            </w:tr>
            <w:tr w:rsidR="00386B7D" w:rsidRPr="008F2A3F" w:rsidTr="00386B7D">
              <w:trPr>
                <w:trHeight w:val="900"/>
              </w:trPr>
              <w:tc>
                <w:tcPr>
                  <w:tcW w:w="5060" w:type="dxa"/>
                  <w:tcBorders>
                    <w:top w:val="nil"/>
                    <w:left w:val="single" w:sz="8" w:space="0" w:color="auto"/>
                    <w:bottom w:val="single" w:sz="8" w:space="0" w:color="auto"/>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xml:space="preserve">• Contrato No. 1390 de 2019 suscrito con la Unión Temporal Entornos Protectores (Del 3 de septiembre de 2019 al 2 de octubre de 2020 N° de Proceso SECOP II SAMC-ARN-481-2019 </w:t>
                  </w:r>
                </w:p>
              </w:tc>
              <w:tc>
                <w:tcPr>
                  <w:tcW w:w="3760" w:type="dxa"/>
                  <w:tcBorders>
                    <w:top w:val="nil"/>
                    <w:left w:val="nil"/>
                    <w:bottom w:val="single" w:sz="8" w:space="0" w:color="auto"/>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3" w:history="1">
                    <w:r w:rsidR="00B94748" w:rsidRPr="00693E84">
                      <w:rPr>
                        <w:rStyle w:val="Hipervnculo"/>
                        <w:rFonts w:eastAsia="Times New Roman" w:cs="Calibri"/>
                        <w:lang w:eastAsia="es-CO"/>
                      </w:rPr>
                      <w:t>https://www.contratos.gov.co/consultas/detalleProceso.do?numConstancia=19-12-9844969</w:t>
                    </w:r>
                  </w:hyperlink>
                  <w:r w:rsidR="00B94748">
                    <w:rPr>
                      <w:rFonts w:eastAsia="Times New Roman" w:cs="Calibri"/>
                      <w:lang w:eastAsia="es-CO"/>
                    </w:rPr>
                    <w:t xml:space="preserve"> </w:t>
                  </w:r>
                </w:p>
              </w:tc>
            </w:tr>
          </w:tbl>
          <w:p w:rsidR="000D7462" w:rsidRPr="008F2A3F" w:rsidRDefault="000D7462" w:rsidP="00E73961">
            <w:pPr>
              <w:spacing w:after="0" w:line="240" w:lineRule="auto"/>
              <w:jc w:val="both"/>
              <w:rPr>
                <w:i/>
                <w:sz w:val="24"/>
                <w:szCs w:val="24"/>
              </w:rPr>
            </w:pPr>
          </w:p>
          <w:p w:rsidR="000D7462" w:rsidRPr="008F2A3F" w:rsidRDefault="000D7462" w:rsidP="00E73961">
            <w:pPr>
              <w:spacing w:after="0" w:line="240" w:lineRule="auto"/>
              <w:jc w:val="both"/>
              <w:rPr>
                <w:i/>
                <w:sz w:val="24"/>
                <w:szCs w:val="24"/>
              </w:rPr>
            </w:pPr>
          </w:p>
        </w:tc>
      </w:tr>
      <w:tr w:rsidR="001F54B3" w:rsidRPr="008F2A3F" w:rsidTr="008474AE">
        <w:trPr>
          <w:trHeight w:val="1420"/>
        </w:trPr>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8F2A3F" w:rsidRDefault="000D7462" w:rsidP="00E73961">
            <w:pPr>
              <w:spacing w:after="0" w:line="240" w:lineRule="auto"/>
              <w:rPr>
                <w:sz w:val="32"/>
                <w:szCs w:val="32"/>
                <w:u w:val="single"/>
              </w:rPr>
            </w:pPr>
            <w:r w:rsidRPr="008F2A3F">
              <w:lastRenderedPageBreak/>
              <w:br w:type="page"/>
            </w:r>
            <w:r w:rsidRPr="008F2A3F">
              <w:br w:type="page"/>
            </w:r>
            <w:r w:rsidRPr="00307ADC">
              <w:rPr>
                <w:color w:val="3366CC"/>
                <w:sz w:val="32"/>
                <w:szCs w:val="32"/>
                <w:u w:val="single"/>
              </w:rPr>
              <w:t>¿En qué territorios se desarrolló la acción?</w:t>
            </w:r>
            <w:r w:rsidRPr="008F2A3F">
              <w:rPr>
                <w:noProof/>
                <w:lang w:val="es-419" w:eastAsia="es-419"/>
              </w:rPr>
              <w:drawing>
                <wp:anchor distT="0" distB="0" distL="114300" distR="114300" simplePos="0" relativeHeight="251727360" behindDoc="0" locked="0" layoutInCell="1" allowOverlap="1" wp14:anchorId="6D49803A" wp14:editId="37C911CE">
                  <wp:simplePos x="0" y="0"/>
                  <wp:positionH relativeFrom="column">
                    <wp:posOffset>-85725</wp:posOffset>
                  </wp:positionH>
                  <wp:positionV relativeFrom="paragraph">
                    <wp:posOffset>8255</wp:posOffset>
                  </wp:positionV>
                  <wp:extent cx="938530" cy="84264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sz w:val="24"/>
                <w:szCs w:val="24"/>
              </w:rPr>
            </w:pPr>
          </w:p>
          <w:p w:rsidR="000D7462" w:rsidRPr="008F2A3F" w:rsidRDefault="000D7462" w:rsidP="00E73961">
            <w:pPr>
              <w:spacing w:after="0" w:line="240" w:lineRule="auto"/>
              <w:jc w:val="both"/>
            </w:pPr>
            <w:r w:rsidRPr="008F2A3F">
              <w:t>Las acciones se han desarrollado en los 24 antiguos Espacios Territoriales de Capacitación y Reincorporación donde se encuentran ubicados los EX INTEGRANTES FARC-EP, así como en cualquier parte del país donde se encuentre ubicada la población beneficiaria.</w:t>
            </w:r>
          </w:p>
          <w:p w:rsidR="000D7462" w:rsidRPr="008F2A3F" w:rsidRDefault="000D7462" w:rsidP="00E73961">
            <w:pPr>
              <w:spacing w:after="0" w:line="240" w:lineRule="auto"/>
              <w:jc w:val="both"/>
              <w:rPr>
                <w:sz w:val="24"/>
                <w:szCs w:val="24"/>
              </w:rPr>
            </w:pPr>
          </w:p>
          <w:p w:rsidR="000D7462" w:rsidRPr="008F2A3F" w:rsidRDefault="000D7462" w:rsidP="00F90227">
            <w:pPr>
              <w:spacing w:after="0" w:line="240" w:lineRule="auto"/>
              <w:jc w:val="both"/>
              <w:rPr>
                <w:i/>
                <w:sz w:val="24"/>
                <w:szCs w:val="24"/>
              </w:rPr>
            </w:pPr>
            <w:r w:rsidRPr="008F2A3F">
              <w:rPr>
                <w:i/>
                <w:sz w:val="24"/>
                <w:szCs w:val="24"/>
              </w:rPr>
              <w:t xml:space="preserve">Los 72 procesos comunitarios en reconciliación y convivencia se desarrollan en los municipios de: </w:t>
            </w:r>
          </w:p>
          <w:p w:rsidR="000D7462" w:rsidRPr="008F2A3F" w:rsidRDefault="000D7462" w:rsidP="00E73961">
            <w:pPr>
              <w:spacing w:after="0" w:line="240" w:lineRule="auto"/>
              <w:ind w:left="1588"/>
              <w:jc w:val="both"/>
              <w:rPr>
                <w:i/>
                <w:sz w:val="24"/>
                <w:szCs w:val="24"/>
              </w:rPr>
            </w:pPr>
          </w:p>
          <w:p w:rsidR="000D7462" w:rsidRPr="008F2A3F" w:rsidRDefault="000D7462" w:rsidP="00F90227">
            <w:pPr>
              <w:spacing w:after="0" w:line="240" w:lineRule="auto"/>
              <w:ind w:left="174"/>
              <w:jc w:val="both"/>
            </w:pPr>
            <w:r w:rsidRPr="008F2A3F">
              <w:rPr>
                <w:b/>
              </w:rPr>
              <w:lastRenderedPageBreak/>
              <w:t xml:space="preserve">Antioquia: </w:t>
            </w:r>
            <w:r w:rsidRPr="008F2A3F">
              <w:t xml:space="preserve">Frontino, Apartadó, Yondó, Anorí, Remedios, Anorí, Cáceres, Itagüí, Dabeiba, Ituango, Mutatá, Tarazá, Urrao: </w:t>
            </w:r>
          </w:p>
          <w:p w:rsidR="000D7462" w:rsidRPr="008F2A3F" w:rsidRDefault="000D7462" w:rsidP="00F90227">
            <w:pPr>
              <w:spacing w:after="0" w:line="240" w:lineRule="auto"/>
              <w:ind w:left="174"/>
              <w:jc w:val="both"/>
            </w:pPr>
            <w:r w:rsidRPr="008F2A3F">
              <w:rPr>
                <w:b/>
              </w:rPr>
              <w:t>Arauca</w:t>
            </w:r>
            <w:r w:rsidRPr="008F2A3F">
              <w:t xml:space="preserve">: Arauquita  </w:t>
            </w:r>
          </w:p>
          <w:p w:rsidR="000D7462" w:rsidRPr="008F2A3F" w:rsidRDefault="000D7462" w:rsidP="00F90227">
            <w:pPr>
              <w:spacing w:after="0" w:line="240" w:lineRule="auto"/>
              <w:ind w:left="174"/>
              <w:jc w:val="both"/>
            </w:pPr>
            <w:r w:rsidRPr="008F2A3F">
              <w:rPr>
                <w:b/>
              </w:rPr>
              <w:t>Atlántico:</w:t>
            </w:r>
            <w:r w:rsidRPr="008F2A3F">
              <w:t xml:space="preserve"> Barranquilla, Malambo</w:t>
            </w:r>
          </w:p>
          <w:p w:rsidR="000D7462" w:rsidRPr="008F2A3F" w:rsidRDefault="000D7462" w:rsidP="00F90227">
            <w:pPr>
              <w:spacing w:after="0" w:line="240" w:lineRule="auto"/>
              <w:ind w:left="174"/>
              <w:jc w:val="both"/>
            </w:pPr>
            <w:r w:rsidRPr="008F2A3F">
              <w:rPr>
                <w:b/>
              </w:rPr>
              <w:t>Bolívar:</w:t>
            </w:r>
            <w:r w:rsidRPr="008F2A3F">
              <w:t xml:space="preserve"> Carmen de Bolívar</w:t>
            </w:r>
          </w:p>
          <w:p w:rsidR="000D7462" w:rsidRPr="008F2A3F" w:rsidRDefault="000D7462" w:rsidP="00F90227">
            <w:pPr>
              <w:spacing w:after="0" w:line="240" w:lineRule="auto"/>
              <w:ind w:left="174"/>
              <w:jc w:val="both"/>
            </w:pPr>
            <w:r w:rsidRPr="008F2A3F">
              <w:rPr>
                <w:b/>
              </w:rPr>
              <w:t xml:space="preserve">Caldas: </w:t>
            </w:r>
            <w:r w:rsidRPr="008F2A3F">
              <w:t>Riosucio</w:t>
            </w:r>
          </w:p>
          <w:p w:rsidR="000D7462" w:rsidRPr="008F2A3F" w:rsidRDefault="000D7462" w:rsidP="00F90227">
            <w:pPr>
              <w:spacing w:after="0" w:line="240" w:lineRule="auto"/>
              <w:ind w:left="174"/>
              <w:jc w:val="both"/>
            </w:pPr>
            <w:r w:rsidRPr="008F2A3F">
              <w:rPr>
                <w:b/>
              </w:rPr>
              <w:t>Caquetá:</w:t>
            </w:r>
            <w:r w:rsidRPr="008F2A3F">
              <w:t xml:space="preserve"> Cartagena del Chairá, San José de Fragua, La Montañita, San Vicente del Caguán</w:t>
            </w:r>
          </w:p>
          <w:p w:rsidR="000D7462" w:rsidRPr="008F2A3F" w:rsidRDefault="000D7462" w:rsidP="00F90227">
            <w:pPr>
              <w:spacing w:after="0" w:line="240" w:lineRule="auto"/>
              <w:ind w:left="174"/>
              <w:jc w:val="both"/>
            </w:pPr>
            <w:r w:rsidRPr="008F2A3F">
              <w:rPr>
                <w:b/>
              </w:rPr>
              <w:t xml:space="preserve">Cauca: </w:t>
            </w:r>
            <w:r w:rsidRPr="008F2A3F">
              <w:t>Silvia, Jambaló, Miranda, Santander de Quilichao, Caldono, Patía</w:t>
            </w:r>
          </w:p>
          <w:p w:rsidR="000D7462" w:rsidRPr="008F2A3F" w:rsidRDefault="000D7462" w:rsidP="00F90227">
            <w:pPr>
              <w:spacing w:after="0" w:line="240" w:lineRule="auto"/>
              <w:ind w:left="174"/>
              <w:jc w:val="both"/>
            </w:pPr>
            <w:r w:rsidRPr="008F2A3F">
              <w:rPr>
                <w:b/>
              </w:rPr>
              <w:t xml:space="preserve">Cesar: </w:t>
            </w:r>
            <w:r w:rsidRPr="008F2A3F">
              <w:t>Becerril, La Paz, Manaure</w:t>
            </w:r>
          </w:p>
          <w:p w:rsidR="000D7462" w:rsidRPr="008F2A3F" w:rsidRDefault="000D7462" w:rsidP="00F90227">
            <w:pPr>
              <w:spacing w:after="0" w:line="240" w:lineRule="auto"/>
              <w:ind w:left="174"/>
              <w:jc w:val="both"/>
              <w:rPr>
                <w:b/>
              </w:rPr>
            </w:pPr>
            <w:r w:rsidRPr="008F2A3F">
              <w:rPr>
                <w:b/>
              </w:rPr>
              <w:t>Córdoba:</w:t>
            </w:r>
            <w:r w:rsidRPr="008F2A3F">
              <w:t xml:space="preserve"> Monteria, Tierralta, Puerto Libertador</w:t>
            </w:r>
          </w:p>
          <w:p w:rsidR="000D7462" w:rsidRPr="008F2A3F" w:rsidRDefault="000D7462" w:rsidP="00F90227">
            <w:pPr>
              <w:spacing w:after="0" w:line="240" w:lineRule="auto"/>
              <w:ind w:left="174"/>
              <w:jc w:val="both"/>
            </w:pPr>
            <w:r w:rsidRPr="008F2A3F">
              <w:rPr>
                <w:b/>
              </w:rPr>
              <w:t xml:space="preserve">Chocó: </w:t>
            </w:r>
            <w:r w:rsidRPr="008F2A3F">
              <w:t>Carmen del Darien</w:t>
            </w:r>
          </w:p>
          <w:p w:rsidR="000D7462" w:rsidRPr="008F2A3F" w:rsidRDefault="000D7462" w:rsidP="00F90227">
            <w:pPr>
              <w:spacing w:after="0" w:line="240" w:lineRule="auto"/>
              <w:ind w:left="174"/>
              <w:jc w:val="both"/>
            </w:pPr>
            <w:r w:rsidRPr="008F2A3F">
              <w:rPr>
                <w:b/>
              </w:rPr>
              <w:t xml:space="preserve">Cundinamarca: </w:t>
            </w:r>
            <w:r w:rsidRPr="008F2A3F">
              <w:t>Bogotá, Viotá, Soacha, Pasca</w:t>
            </w:r>
          </w:p>
          <w:p w:rsidR="000D7462" w:rsidRPr="008F2A3F" w:rsidRDefault="000D7462" w:rsidP="00F90227">
            <w:pPr>
              <w:spacing w:after="0" w:line="240" w:lineRule="auto"/>
              <w:ind w:left="174"/>
              <w:jc w:val="both"/>
            </w:pPr>
            <w:r w:rsidRPr="008F2A3F">
              <w:rPr>
                <w:b/>
              </w:rPr>
              <w:t>Guajira:</w:t>
            </w:r>
            <w:r w:rsidRPr="008F2A3F">
              <w:t xml:space="preserve"> Fonseca</w:t>
            </w:r>
          </w:p>
          <w:p w:rsidR="000D7462" w:rsidRPr="008F2A3F" w:rsidRDefault="000D7462" w:rsidP="00F90227">
            <w:pPr>
              <w:spacing w:after="0" w:line="240" w:lineRule="auto"/>
              <w:ind w:left="174"/>
              <w:jc w:val="both"/>
            </w:pPr>
            <w:r w:rsidRPr="008F2A3F">
              <w:rPr>
                <w:b/>
              </w:rPr>
              <w:t xml:space="preserve">Guaviare: </w:t>
            </w:r>
            <w:r w:rsidRPr="008F2A3F">
              <w:t>San José de Guaviare</w:t>
            </w:r>
          </w:p>
          <w:p w:rsidR="000D7462" w:rsidRPr="008F2A3F" w:rsidRDefault="000D7462" w:rsidP="00F90227">
            <w:pPr>
              <w:spacing w:after="0" w:line="240" w:lineRule="auto"/>
              <w:ind w:left="174"/>
              <w:jc w:val="both"/>
            </w:pPr>
            <w:r w:rsidRPr="008F2A3F">
              <w:rPr>
                <w:b/>
              </w:rPr>
              <w:t>Huila:</w:t>
            </w:r>
            <w:r w:rsidRPr="008F2A3F">
              <w:t xml:space="preserve"> Algeciras, Gigante</w:t>
            </w:r>
          </w:p>
          <w:p w:rsidR="000D7462" w:rsidRPr="008F2A3F" w:rsidRDefault="000D7462" w:rsidP="00F90227">
            <w:pPr>
              <w:spacing w:after="0" w:line="240" w:lineRule="auto"/>
              <w:ind w:left="174"/>
              <w:jc w:val="both"/>
            </w:pPr>
            <w:r w:rsidRPr="008F2A3F">
              <w:rPr>
                <w:b/>
              </w:rPr>
              <w:t>Magdalena:</w:t>
            </w:r>
            <w:r w:rsidRPr="008F2A3F">
              <w:t xml:space="preserve"> Santa Marta</w:t>
            </w:r>
          </w:p>
          <w:p w:rsidR="000D7462" w:rsidRPr="008F2A3F" w:rsidRDefault="000D7462" w:rsidP="00F90227">
            <w:pPr>
              <w:spacing w:after="0" w:line="240" w:lineRule="auto"/>
              <w:ind w:left="174"/>
              <w:jc w:val="both"/>
            </w:pPr>
            <w:r w:rsidRPr="008F2A3F">
              <w:rPr>
                <w:b/>
              </w:rPr>
              <w:t>Meta:</w:t>
            </w:r>
            <w:r w:rsidRPr="008F2A3F">
              <w:t xml:space="preserve"> Vistahermosa, La Macarena, La Uribe, Mesetas, </w:t>
            </w:r>
          </w:p>
          <w:p w:rsidR="000D7462" w:rsidRPr="008F2A3F" w:rsidRDefault="000D7462" w:rsidP="00F90227">
            <w:pPr>
              <w:spacing w:after="0" w:line="240" w:lineRule="auto"/>
              <w:ind w:left="174"/>
              <w:jc w:val="both"/>
            </w:pPr>
            <w:r w:rsidRPr="008F2A3F">
              <w:rPr>
                <w:b/>
              </w:rPr>
              <w:t>Nariño:</w:t>
            </w:r>
            <w:r w:rsidRPr="008F2A3F">
              <w:t xml:space="preserve"> Tumaco, Cumbal</w:t>
            </w:r>
          </w:p>
          <w:p w:rsidR="000D7462" w:rsidRPr="008F2A3F" w:rsidRDefault="000D7462" w:rsidP="00F90227">
            <w:pPr>
              <w:spacing w:after="0" w:line="240" w:lineRule="auto"/>
              <w:ind w:left="174"/>
              <w:jc w:val="both"/>
            </w:pPr>
            <w:r w:rsidRPr="008F2A3F">
              <w:rPr>
                <w:b/>
              </w:rPr>
              <w:t>Norte de Santander:</w:t>
            </w:r>
            <w:r w:rsidRPr="008F2A3F">
              <w:t xml:space="preserve"> El tarra, Tibú, Teorama</w:t>
            </w:r>
          </w:p>
          <w:p w:rsidR="000D7462" w:rsidRPr="008F2A3F" w:rsidRDefault="000D7462" w:rsidP="00F90227">
            <w:pPr>
              <w:spacing w:after="0" w:line="240" w:lineRule="auto"/>
              <w:ind w:left="174"/>
              <w:jc w:val="both"/>
            </w:pPr>
            <w:r w:rsidRPr="008F2A3F">
              <w:rPr>
                <w:b/>
              </w:rPr>
              <w:t>Putumayo:</w:t>
            </w:r>
            <w:r w:rsidRPr="008F2A3F">
              <w:t xml:space="preserve"> Valle del Guamuez</w:t>
            </w:r>
          </w:p>
          <w:p w:rsidR="000D7462" w:rsidRPr="008F2A3F" w:rsidRDefault="000D7462" w:rsidP="00F90227">
            <w:pPr>
              <w:spacing w:after="0" w:line="240" w:lineRule="auto"/>
              <w:ind w:left="174"/>
              <w:jc w:val="both"/>
            </w:pPr>
            <w:r w:rsidRPr="008F2A3F">
              <w:rPr>
                <w:b/>
              </w:rPr>
              <w:t>Risaralda:</w:t>
            </w:r>
            <w:r w:rsidRPr="008F2A3F">
              <w:t xml:space="preserve"> Pueblo Rico</w:t>
            </w:r>
          </w:p>
          <w:p w:rsidR="000D7462" w:rsidRPr="008F2A3F" w:rsidRDefault="000D7462" w:rsidP="00F90227">
            <w:pPr>
              <w:spacing w:after="0" w:line="240" w:lineRule="auto"/>
              <w:ind w:left="174"/>
              <w:jc w:val="both"/>
            </w:pPr>
            <w:r w:rsidRPr="008F2A3F">
              <w:rPr>
                <w:b/>
              </w:rPr>
              <w:t>Santander:</w:t>
            </w:r>
            <w:r w:rsidRPr="008F2A3F">
              <w:t xml:space="preserve"> Sabana de Torres, Girón</w:t>
            </w:r>
          </w:p>
          <w:p w:rsidR="00F90227" w:rsidRPr="008F2A3F" w:rsidRDefault="000D7462" w:rsidP="00F90227">
            <w:pPr>
              <w:spacing w:after="0" w:line="240" w:lineRule="auto"/>
              <w:ind w:left="174"/>
              <w:jc w:val="both"/>
            </w:pPr>
            <w:r w:rsidRPr="008F2A3F">
              <w:rPr>
                <w:b/>
              </w:rPr>
              <w:t>Sucre:</w:t>
            </w:r>
            <w:r w:rsidRPr="008F2A3F">
              <w:t xml:space="preserve"> Ovej</w:t>
            </w:r>
            <w:r w:rsidR="00F90227" w:rsidRPr="008F2A3F">
              <w:t>as</w:t>
            </w:r>
          </w:p>
          <w:p w:rsidR="000D7462" w:rsidRPr="008F2A3F" w:rsidRDefault="000D7462" w:rsidP="00F90227">
            <w:pPr>
              <w:spacing w:after="0" w:line="240" w:lineRule="auto"/>
              <w:ind w:left="174"/>
              <w:jc w:val="both"/>
            </w:pPr>
            <w:r w:rsidRPr="008F2A3F">
              <w:rPr>
                <w:b/>
              </w:rPr>
              <w:t>Tolima:</w:t>
            </w:r>
            <w:r w:rsidRPr="008F2A3F">
              <w:t xml:space="preserve"> Planadas, Icononzo, Rioblanco</w:t>
            </w:r>
          </w:p>
          <w:p w:rsidR="000D7462" w:rsidRPr="008F2A3F" w:rsidRDefault="00F90227" w:rsidP="00E73961">
            <w:pPr>
              <w:spacing w:after="0" w:line="240" w:lineRule="auto"/>
              <w:jc w:val="both"/>
              <w:rPr>
                <w:sz w:val="24"/>
                <w:szCs w:val="24"/>
              </w:rPr>
            </w:pPr>
            <w:r w:rsidRPr="008F2A3F">
              <w:rPr>
                <w:b/>
              </w:rPr>
              <w:t xml:space="preserve">    </w:t>
            </w:r>
            <w:r w:rsidR="000D7462" w:rsidRPr="008F2A3F">
              <w:rPr>
                <w:b/>
              </w:rPr>
              <w:t>Valle del Cauca:</w:t>
            </w:r>
            <w:r w:rsidR="000D7462" w:rsidRPr="008F2A3F">
              <w:t xml:space="preserve"> Buenaventura, Cali</w:t>
            </w:r>
          </w:p>
          <w:p w:rsidR="00C842C9" w:rsidRDefault="00C842C9" w:rsidP="003900E0">
            <w:pPr>
              <w:spacing w:line="240" w:lineRule="auto"/>
              <w:ind w:left="108"/>
              <w:rPr>
                <w:sz w:val="24"/>
                <w:szCs w:val="24"/>
              </w:rPr>
            </w:pPr>
          </w:p>
          <w:p w:rsidR="003900E0" w:rsidRPr="008F2A3F" w:rsidRDefault="000D7462" w:rsidP="003900E0">
            <w:pPr>
              <w:spacing w:line="240" w:lineRule="auto"/>
              <w:ind w:left="108"/>
              <w:rPr>
                <w:rFonts w:cs="Arial"/>
                <w:b/>
                <w:sz w:val="36"/>
                <w:szCs w:val="36"/>
                <w:lang w:val="es-ES_tradnl"/>
              </w:rPr>
            </w:pPr>
            <w:r w:rsidRPr="008F2A3F">
              <w:rPr>
                <w:sz w:val="24"/>
                <w:szCs w:val="24"/>
              </w:rPr>
              <w:t xml:space="preserve"> </w:t>
            </w:r>
            <w:r w:rsidR="003900E0" w:rsidRPr="008F2A3F">
              <w:rPr>
                <w:rFonts w:cs="Arial"/>
                <w:i/>
                <w:sz w:val="28"/>
                <w:szCs w:val="28"/>
                <w:lang w:val="es-ES_tradnl"/>
              </w:rPr>
              <w:t>Acción 3.</w:t>
            </w:r>
            <w:r w:rsidR="003900E0" w:rsidRPr="008F2A3F">
              <w:rPr>
                <w:rFonts w:cs="Arial"/>
                <w:b/>
                <w:sz w:val="36"/>
                <w:szCs w:val="36"/>
                <w:lang w:val="es-ES_tradnl"/>
              </w:rPr>
              <w:t xml:space="preserve"> </w:t>
            </w:r>
            <w:r w:rsidR="003900E0" w:rsidRPr="008F2A3F">
              <w:rPr>
                <w:rFonts w:cs="Arial"/>
                <w:b/>
                <w:sz w:val="36"/>
                <w:szCs w:val="36"/>
                <w:lang w:val="es-ES_tradnl"/>
              </w:rPr>
              <w:br/>
            </w:r>
            <w:r w:rsidR="003900E0" w:rsidRPr="008F2A3F">
              <w:rPr>
                <w:rFonts w:cs="Arial"/>
                <w:b/>
                <w:sz w:val="40"/>
                <w:szCs w:val="36"/>
                <w:lang w:val="es-ES_tradnl"/>
              </w:rPr>
              <w:t>Decreto 1629 del 9 de septiembre de 2019</w:t>
            </w:r>
          </w:p>
          <w:tbl>
            <w:tblPr>
              <w:tblW w:w="81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6223"/>
            </w:tblGrid>
            <w:tr w:rsidR="00307ADC" w:rsidRPr="008F2A3F" w:rsidTr="00B62FD6">
              <w:trPr>
                <w:trHeight w:val="1200"/>
              </w:trPr>
              <w:tc>
                <w:tcPr>
                  <w:tcW w:w="1944"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3900E0" w:rsidRPr="008F2A3F" w:rsidRDefault="003900E0" w:rsidP="003900E0">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p>
              </w:tc>
              <w:tc>
                <w:tcPr>
                  <w:tcW w:w="6223"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3900E0" w:rsidRPr="008F2A3F" w:rsidRDefault="00B62FD6" w:rsidP="003900E0">
                  <w:pPr>
                    <w:spacing w:after="0" w:line="240" w:lineRule="auto"/>
                    <w:rPr>
                      <w:sz w:val="24"/>
                      <w:szCs w:val="24"/>
                    </w:rPr>
                  </w:pPr>
                  <w:r w:rsidRPr="008F2A3F">
                    <w:t>Numeral 22 el cual dispone: “</w:t>
                  </w:r>
                  <w:r w:rsidRPr="008F2A3F">
                    <w:rPr>
                      <w:i/>
                    </w:rPr>
                    <w:t>Administrar los inmuebles que requiera la fuerza pública para prestar seguridad en donde se ubicaron los Espacios Territoriales de Capacitación y Reincorporación o donde el Gobierno Nacional estime pertinente reubicarlos”.</w:t>
                  </w:r>
                </w:p>
              </w:tc>
            </w:tr>
          </w:tbl>
          <w:p w:rsidR="003900E0" w:rsidRPr="008F2A3F" w:rsidRDefault="003900E0" w:rsidP="003900E0">
            <w:pPr>
              <w:spacing w:line="240" w:lineRule="auto"/>
              <w:jc w:val="both"/>
              <w:rPr>
                <w:sz w:val="32"/>
                <w:szCs w:val="32"/>
                <w:u w:val="single"/>
              </w:rPr>
            </w:pPr>
          </w:p>
          <w:tbl>
            <w:tblPr>
              <w:tblW w:w="8138"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163"/>
              <w:gridCol w:w="5975"/>
            </w:tblGrid>
            <w:tr w:rsidR="00307ADC" w:rsidRPr="008F2A3F" w:rsidTr="00B62FD6">
              <w:trPr>
                <w:trHeight w:val="317"/>
              </w:trPr>
              <w:tc>
                <w:tcPr>
                  <w:tcW w:w="2163" w:type="dxa"/>
                  <w:tcBorders>
                    <w:top w:val="single" w:sz="8" w:space="0" w:color="BBBBBB"/>
                    <w:left w:val="single" w:sz="8" w:space="0" w:color="BBBBBB"/>
                    <w:bottom w:val="single" w:sz="8" w:space="0" w:color="BBBBBB"/>
                    <w:right w:val="nil"/>
                  </w:tcBorders>
                  <w:shd w:val="clear" w:color="auto" w:fill="A5A5A5"/>
                  <w:hideMark/>
                </w:tcPr>
                <w:p w:rsidR="003900E0" w:rsidRPr="008F2A3F" w:rsidRDefault="003900E0" w:rsidP="003900E0">
                  <w:pPr>
                    <w:spacing w:after="0" w:line="240" w:lineRule="auto"/>
                    <w:jc w:val="center"/>
                  </w:pPr>
                  <w:r w:rsidRPr="008F2A3F">
                    <w:t>AÑO</w:t>
                  </w:r>
                </w:p>
              </w:tc>
              <w:tc>
                <w:tcPr>
                  <w:tcW w:w="5975" w:type="dxa"/>
                  <w:tcBorders>
                    <w:top w:val="single" w:sz="8" w:space="0" w:color="BBBBBB"/>
                    <w:left w:val="nil"/>
                    <w:bottom w:val="single" w:sz="8" w:space="0" w:color="BBBBBB"/>
                    <w:right w:val="single" w:sz="8" w:space="0" w:color="BBBBBB"/>
                  </w:tcBorders>
                  <w:shd w:val="clear" w:color="auto" w:fill="A5A5A5"/>
                  <w:hideMark/>
                </w:tcPr>
                <w:p w:rsidR="003900E0" w:rsidRPr="008F2A3F" w:rsidRDefault="003900E0" w:rsidP="003900E0">
                  <w:pPr>
                    <w:spacing w:after="0" w:line="240" w:lineRule="auto"/>
                    <w:jc w:val="center"/>
                  </w:pPr>
                  <w:r w:rsidRPr="008F2A3F">
                    <w:t>NOMBRE DE ACTIVIDADES DESARROLLADAS</w:t>
                  </w:r>
                </w:p>
              </w:tc>
            </w:tr>
            <w:tr w:rsidR="00307ADC" w:rsidRPr="008F2A3F" w:rsidTr="00B62FD6">
              <w:trPr>
                <w:trHeight w:val="317"/>
              </w:trPr>
              <w:tc>
                <w:tcPr>
                  <w:tcW w:w="2163" w:type="dxa"/>
                  <w:tcBorders>
                    <w:top w:val="single" w:sz="8" w:space="0" w:color="BBBBBB"/>
                    <w:left w:val="single" w:sz="8" w:space="0" w:color="BBBBBB"/>
                    <w:bottom w:val="single" w:sz="8" w:space="0" w:color="BBBBBB"/>
                    <w:right w:val="nil"/>
                  </w:tcBorders>
                  <w:hideMark/>
                </w:tcPr>
                <w:p w:rsidR="003900E0" w:rsidRPr="008F2A3F" w:rsidRDefault="003900E0" w:rsidP="003900E0">
                  <w:pPr>
                    <w:spacing w:after="0" w:line="240" w:lineRule="auto"/>
                    <w:rPr>
                      <w:b/>
                    </w:rPr>
                  </w:pPr>
                  <w:r w:rsidRPr="008F2A3F">
                    <w:rPr>
                      <w:b/>
                    </w:rPr>
                    <w:t>2019</w:t>
                  </w:r>
                </w:p>
              </w:tc>
              <w:tc>
                <w:tcPr>
                  <w:tcW w:w="5975" w:type="dxa"/>
                  <w:tcBorders>
                    <w:top w:val="single" w:sz="8" w:space="0" w:color="BBBBBB"/>
                    <w:left w:val="nil"/>
                    <w:bottom w:val="single" w:sz="8" w:space="0" w:color="BBBBBB"/>
                    <w:right w:val="nil"/>
                  </w:tcBorders>
                  <w:hideMark/>
                </w:tcPr>
                <w:p w:rsidR="003900E0" w:rsidRPr="008F2A3F" w:rsidRDefault="003900E0" w:rsidP="00451FD9">
                  <w:pPr>
                    <w:spacing w:after="0" w:line="240" w:lineRule="auto"/>
                    <w:rPr>
                      <w:rFonts w:asciiTheme="minorHAnsi" w:hAnsiTheme="minorHAnsi" w:cstheme="minorHAnsi"/>
                    </w:rPr>
                  </w:pPr>
                  <w:r w:rsidRPr="008F2A3F">
                    <w:t>1.</w:t>
                  </w:r>
                  <w:r w:rsidR="00B62FD6" w:rsidRPr="008F2A3F">
                    <w:t xml:space="preserve"> Elaboración del plan de trabajo conjunto con la Fuerza Pública.</w:t>
                  </w:r>
                </w:p>
              </w:tc>
            </w:tr>
          </w:tbl>
          <w:p w:rsidR="00B62FD6" w:rsidRPr="008F2A3F" w:rsidRDefault="00B62FD6" w:rsidP="00B62FD6">
            <w:pPr>
              <w:spacing w:line="240" w:lineRule="auto"/>
              <w:jc w:val="both"/>
              <w:rPr>
                <w:rFonts w:cs="Arial"/>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307ADC" w:rsidRPr="008F2A3F" w:rsidTr="00441283">
              <w:trPr>
                <w:jc w:val="center"/>
              </w:trPr>
              <w:tc>
                <w:tcPr>
                  <w:tcW w:w="9214" w:type="dxa"/>
                  <w:shd w:val="clear" w:color="auto" w:fill="F2F2F2"/>
                </w:tcPr>
                <w:p w:rsidR="00B62FD6" w:rsidRPr="00307ADC" w:rsidRDefault="00B62FD6" w:rsidP="00B62FD6">
                  <w:pPr>
                    <w:spacing w:after="0" w:line="240" w:lineRule="auto"/>
                    <w:ind w:left="-282" w:right="529" w:firstLine="282"/>
                    <w:jc w:val="both"/>
                    <w:rPr>
                      <w:color w:val="3366CC"/>
                      <w:sz w:val="32"/>
                      <w:szCs w:val="32"/>
                      <w:u w:val="single"/>
                    </w:rPr>
                  </w:pPr>
                  <w:r w:rsidRPr="00307ADC">
                    <w:rPr>
                      <w:noProof/>
                      <w:color w:val="3366CC"/>
                      <w:sz w:val="32"/>
                      <w:szCs w:val="32"/>
                      <w:u w:val="single"/>
                      <w:lang w:val="es-419" w:eastAsia="es-419"/>
                    </w:rPr>
                    <w:drawing>
                      <wp:anchor distT="0" distB="0" distL="114300" distR="114300" simplePos="0" relativeHeight="251736576" behindDoc="0" locked="0" layoutInCell="1" allowOverlap="1" wp14:anchorId="37BCDE08" wp14:editId="639EBCB5">
                        <wp:simplePos x="0" y="0"/>
                        <wp:positionH relativeFrom="column">
                          <wp:posOffset>121920</wp:posOffset>
                        </wp:positionH>
                        <wp:positionV relativeFrom="paragraph">
                          <wp:posOffset>-16510</wp:posOffset>
                        </wp:positionV>
                        <wp:extent cx="775335" cy="937260"/>
                        <wp:effectExtent l="0" t="0" r="0" b="0"/>
                        <wp:wrapSquare wrapText="bothSides"/>
                        <wp:docPr id="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¿Cómo se hizo?</w:t>
                  </w:r>
                </w:p>
                <w:p w:rsidR="00B62FD6" w:rsidRPr="008F2A3F" w:rsidRDefault="00B62FD6" w:rsidP="00B62FD6">
                  <w:pPr>
                    <w:spacing w:after="0" w:line="240" w:lineRule="auto"/>
                    <w:jc w:val="both"/>
                    <w:rPr>
                      <w:rFonts w:cs="Arial"/>
                      <w:i/>
                      <w:sz w:val="24"/>
                      <w:szCs w:val="24"/>
                      <w:lang w:val="es-ES_tradnl"/>
                    </w:rPr>
                  </w:pPr>
                  <w:r w:rsidRPr="008F2A3F">
                    <w:rPr>
                      <w:rFonts w:cs="Arial"/>
                      <w:i/>
                      <w:sz w:val="24"/>
                      <w:szCs w:val="24"/>
                      <w:lang w:val="es-ES_tradnl"/>
                    </w:rPr>
                    <w:t>2019</w:t>
                  </w:r>
                </w:p>
                <w:p w:rsidR="00B62FD6" w:rsidRPr="008F2A3F" w:rsidRDefault="00B62FD6" w:rsidP="00B62FD6">
                  <w:pPr>
                    <w:jc w:val="both"/>
                  </w:pPr>
                  <w:r w:rsidRPr="008F2A3F">
                    <w:t>En virtud de la nueva función delegada a la ARN, por medio del Decreto 1629 del 9 de septiembre de 2019, en su numeral 22 el cual dispone: “</w:t>
                  </w:r>
                  <w:r w:rsidRPr="008F2A3F">
                    <w:rPr>
                      <w:i/>
                    </w:rPr>
                    <w:t xml:space="preserve">Administrar los </w:t>
                  </w:r>
                  <w:r w:rsidRPr="008F2A3F">
                    <w:rPr>
                      <w:i/>
                    </w:rPr>
                    <w:lastRenderedPageBreak/>
                    <w:t>inmuebles que requiera la fuerza pública para prestar seguridad en donde se ubicaron los Espacios Territoriales de Capacitación y Reincorporación o donde el Gobierno Nacional estime pertinente reubicarlos.”</w:t>
                  </w:r>
                  <w:r w:rsidRPr="008F2A3F">
                    <w:t>, durante la vigencia 2019, fue necesario iniciar un plan de trabajo conjunto con la Fuerza Pública, con el fin de determinar el alcance de la disposición legal y las necesidades institucionales que permitan dar cumplimiento a la función delegada a la Agencia.</w:t>
                  </w:r>
                </w:p>
                <w:p w:rsidR="00B62FD6" w:rsidRPr="008F2A3F" w:rsidRDefault="00B62FD6" w:rsidP="00B62FD6">
                  <w:pPr>
                    <w:spacing w:after="0" w:line="240" w:lineRule="auto"/>
                    <w:jc w:val="both"/>
                  </w:pPr>
                  <w:r w:rsidRPr="008F2A3F">
                    <w:t>A continuación, se presentan las gestiones realizadas para el cumplimiento de esta función:</w:t>
                  </w:r>
                </w:p>
                <w:p w:rsidR="00B62FD6" w:rsidRPr="008F2A3F" w:rsidRDefault="00B62FD6" w:rsidP="005B6819">
                  <w:pPr>
                    <w:pStyle w:val="Prrafodelista"/>
                    <w:numPr>
                      <w:ilvl w:val="0"/>
                      <w:numId w:val="4"/>
                    </w:numPr>
                    <w:spacing w:after="0" w:line="240" w:lineRule="auto"/>
                    <w:jc w:val="both"/>
                  </w:pPr>
                  <w:r w:rsidRPr="008F2A3F">
                    <w:t>Se elaboró una proyección de presupuesto para atender las necesidades durante la vigencia 2019 y 2020 en $2.040.000.000 los cuales fueron adicionados al convenio de cooperación 1067 celebrado con PNUD</w:t>
                  </w:r>
                  <w:r w:rsidRPr="008F2A3F">
                    <w:rPr>
                      <w:rStyle w:val="Refdenotaalpie"/>
                    </w:rPr>
                    <w:footnoteReference w:id="12"/>
                  </w:r>
                  <w:r w:rsidRPr="008F2A3F">
                    <w:t>.</w:t>
                  </w:r>
                </w:p>
                <w:p w:rsidR="00B62FD6" w:rsidRPr="008F2A3F" w:rsidRDefault="00B62FD6" w:rsidP="005B6819">
                  <w:pPr>
                    <w:pStyle w:val="Prrafodelista"/>
                    <w:numPr>
                      <w:ilvl w:val="0"/>
                      <w:numId w:val="4"/>
                    </w:numPr>
                    <w:spacing w:after="0" w:line="240" w:lineRule="auto"/>
                    <w:jc w:val="both"/>
                  </w:pPr>
                  <w:r w:rsidRPr="008F2A3F">
                    <w:t>Se llevó a cabo un plan de visitas conjuntas Administrador ETCR – Fuerza Pública, para establecer el contacto inicial con los titulares de los predios ocupados y obtener los documentos que permitieran determinar su calidad jurídica.</w:t>
                  </w:r>
                </w:p>
                <w:p w:rsidR="00B62FD6" w:rsidRPr="008F2A3F" w:rsidRDefault="00B62FD6" w:rsidP="005B6819">
                  <w:pPr>
                    <w:pStyle w:val="Prrafodelista"/>
                    <w:numPr>
                      <w:ilvl w:val="0"/>
                      <w:numId w:val="4"/>
                    </w:numPr>
                    <w:spacing w:after="0" w:line="240" w:lineRule="auto"/>
                    <w:jc w:val="both"/>
                  </w:pPr>
                  <w:r w:rsidRPr="008F2A3F">
                    <w:t>Se adelantaron las diligencias de caracterización predial y personal a los predios requeridos por la Fuerza Pública, a fin de obtener toda la documentación requerida por PNUD para el trámite de suscripción de los contratos de arrendamiento.</w:t>
                  </w:r>
                </w:p>
                <w:p w:rsidR="00B62FD6" w:rsidRPr="008F2A3F" w:rsidRDefault="00B62FD6" w:rsidP="005B6819">
                  <w:pPr>
                    <w:pStyle w:val="Prrafodelista"/>
                    <w:numPr>
                      <w:ilvl w:val="0"/>
                      <w:numId w:val="4"/>
                    </w:numPr>
                    <w:spacing w:after="0" w:line="240" w:lineRule="auto"/>
                    <w:jc w:val="both"/>
                  </w:pPr>
                  <w:r w:rsidRPr="008F2A3F">
                    <w:t>Se ha dado inicio al trámite ante PNUD, de solicitud de suscripción de contratos de arrendamiento para aquellos predios en los cuales se han obtenido todos los requisitos documentales.</w:t>
                  </w:r>
                </w:p>
                <w:p w:rsidR="00B62FD6" w:rsidRPr="008F2A3F" w:rsidRDefault="00B62FD6" w:rsidP="005B6819">
                  <w:pPr>
                    <w:pStyle w:val="Prrafodelista"/>
                    <w:numPr>
                      <w:ilvl w:val="0"/>
                      <w:numId w:val="4"/>
                    </w:numPr>
                    <w:spacing w:after="0" w:line="240" w:lineRule="auto"/>
                    <w:jc w:val="both"/>
                  </w:pPr>
                  <w:r w:rsidRPr="008F2A3F">
                    <w:t>Se encuentra en proceso de estructuración un Convenio Interadministrativo de Cooperación entre la ARN y la Policía Nacional, a fin de aunar esfuerzos entre las dos entidades para la implementación de los mecanismos que demande implementación de la función asignada a la Agencia en virtud del Decreto 1629 de 2019.</w:t>
                  </w:r>
                </w:p>
              </w:tc>
            </w:tr>
          </w:tbl>
          <w:p w:rsidR="00B62FD6" w:rsidRPr="008F2A3F" w:rsidRDefault="00B62FD6" w:rsidP="00E73961">
            <w:pPr>
              <w:spacing w:after="0" w:line="240" w:lineRule="auto"/>
              <w:jc w:val="both"/>
              <w:rPr>
                <w:sz w:val="24"/>
                <w:szCs w:val="24"/>
              </w:rPr>
            </w:pPr>
          </w:p>
        </w:tc>
      </w:tr>
    </w:tbl>
    <w:p w:rsidR="00B62FD6" w:rsidRPr="008F2A3F" w:rsidRDefault="00B62FD6" w:rsidP="003900E0">
      <w:pPr>
        <w:spacing w:after="0" w:line="240" w:lineRule="auto"/>
        <w:rPr>
          <w:rFonts w:cs="Arial"/>
          <w:b/>
          <w:lang w:val="es-ES_tradnl"/>
        </w:rPr>
      </w:pPr>
    </w:p>
    <w:p w:rsidR="00A91B15" w:rsidRPr="008F2A3F" w:rsidRDefault="00744AE4" w:rsidP="00A91B15">
      <w:pPr>
        <w:spacing w:line="240" w:lineRule="auto"/>
        <w:rPr>
          <w:rFonts w:cs="Arial"/>
          <w:b/>
          <w:sz w:val="52"/>
          <w:szCs w:val="52"/>
          <w:lang w:val="es-ES_tradnl"/>
        </w:rPr>
      </w:pPr>
      <w:r w:rsidRPr="008F2A3F">
        <w:rPr>
          <w:rFonts w:cs="Arial"/>
          <w:b/>
          <w:sz w:val="44"/>
          <w:szCs w:val="44"/>
          <w:lang w:val="es-ES_tradnl"/>
        </w:rPr>
        <w:t>b. Otras acciones</w:t>
      </w:r>
    </w:p>
    <w:p w:rsidR="00A91B15" w:rsidRPr="008F2A3F" w:rsidRDefault="00A91B15" w:rsidP="00A91B15">
      <w:pPr>
        <w:ind w:left="708"/>
        <w:jc w:val="both"/>
        <w:rPr>
          <w:rFonts w:cs="Arial"/>
          <w:sz w:val="24"/>
          <w:szCs w:val="24"/>
          <w:lang w:val="es-ES_tradnl"/>
        </w:rPr>
      </w:pPr>
      <w:r w:rsidRPr="008F2A3F">
        <w:rPr>
          <w:rFonts w:cs="Arial"/>
          <w:sz w:val="24"/>
          <w:szCs w:val="24"/>
          <w:lang w:val="es-ES_tradnl"/>
        </w:rPr>
        <w:t xml:space="preserve">En esta sección encuentra la información sobre las acciones adicionales a lo establecido en el Acuerdo de Paz y en los </w:t>
      </w:r>
      <w:r w:rsidR="0015775D" w:rsidRPr="008F2A3F">
        <w:rPr>
          <w:rFonts w:cs="Arial"/>
          <w:sz w:val="24"/>
          <w:szCs w:val="24"/>
          <w:lang w:val="es-ES_tradnl"/>
        </w:rPr>
        <w:t>instrumentos normativos expedidos con posterioridad</w:t>
      </w:r>
      <w:r w:rsidRPr="008F2A3F">
        <w:rPr>
          <w:rFonts w:cs="Arial"/>
          <w:sz w:val="24"/>
          <w:szCs w:val="24"/>
          <w:lang w:val="es-ES_tradnl"/>
        </w:rPr>
        <w:t xml:space="preserve">, </w:t>
      </w:r>
      <w:r w:rsidR="00240630" w:rsidRPr="008F2A3F">
        <w:rPr>
          <w:rFonts w:cs="Arial"/>
          <w:sz w:val="24"/>
          <w:szCs w:val="24"/>
          <w:lang w:val="es-ES_tradnl"/>
        </w:rPr>
        <w:t>que,</w:t>
      </w:r>
      <w:r w:rsidRPr="008F2A3F">
        <w:rPr>
          <w:rFonts w:cs="Arial"/>
          <w:sz w:val="24"/>
          <w:szCs w:val="24"/>
          <w:lang w:val="es-ES_tradnl"/>
        </w:rPr>
        <w:t xml:space="preserve"> aunque no </w:t>
      </w:r>
      <w:r w:rsidR="0015775D" w:rsidRPr="008F2A3F">
        <w:rPr>
          <w:rFonts w:cs="Arial"/>
          <w:sz w:val="24"/>
          <w:szCs w:val="24"/>
          <w:lang w:val="es-ES_tradnl"/>
        </w:rPr>
        <w:t xml:space="preserve">correspondan a obligaciones que hayan </w:t>
      </w:r>
      <w:r w:rsidRPr="008F2A3F">
        <w:rPr>
          <w:rFonts w:cs="Arial"/>
          <w:sz w:val="24"/>
          <w:szCs w:val="24"/>
          <w:lang w:val="es-ES_tradnl"/>
        </w:rPr>
        <w:t>sido establecid</w:t>
      </w:r>
      <w:r w:rsidR="0015775D" w:rsidRPr="008F2A3F">
        <w:rPr>
          <w:rFonts w:cs="Arial"/>
          <w:sz w:val="24"/>
          <w:szCs w:val="24"/>
          <w:lang w:val="es-ES_tradnl"/>
        </w:rPr>
        <w:t>a</w:t>
      </w:r>
      <w:r w:rsidRPr="008F2A3F">
        <w:rPr>
          <w:rFonts w:cs="Arial"/>
          <w:sz w:val="24"/>
          <w:szCs w:val="24"/>
          <w:lang w:val="es-ES_tradnl"/>
        </w:rPr>
        <w:t xml:space="preserve">s de manera explícita, se han desarrollado por ser convenientes </w:t>
      </w:r>
      <w:r w:rsidR="0015775D" w:rsidRPr="008F2A3F">
        <w:rPr>
          <w:rFonts w:cs="Arial"/>
          <w:sz w:val="24"/>
          <w:szCs w:val="24"/>
          <w:lang w:val="es-ES_tradnl"/>
        </w:rPr>
        <w:t xml:space="preserve">o necesarias </w:t>
      </w:r>
      <w:r w:rsidRPr="008F2A3F">
        <w:rPr>
          <w:rFonts w:cs="Arial"/>
          <w:sz w:val="24"/>
          <w:szCs w:val="24"/>
          <w:lang w:val="es-ES_tradnl"/>
        </w:rPr>
        <w:t xml:space="preserve">para contribuir a su implementación en el marco de las competencias legales: </w:t>
      </w:r>
    </w:p>
    <w:p w:rsidR="000D7462" w:rsidRPr="008F2A3F" w:rsidRDefault="000D7462" w:rsidP="000D7462">
      <w:pPr>
        <w:spacing w:line="240" w:lineRule="auto"/>
        <w:rPr>
          <w:b/>
          <w:sz w:val="40"/>
          <w:szCs w:val="40"/>
        </w:rPr>
      </w:pPr>
      <w:r w:rsidRPr="008F2A3F">
        <w:rPr>
          <w:i/>
          <w:sz w:val="28"/>
          <w:szCs w:val="28"/>
        </w:rPr>
        <w:t xml:space="preserve">Acción 1. </w:t>
      </w:r>
    </w:p>
    <w:p w:rsidR="000D7462" w:rsidRPr="008F2A3F" w:rsidRDefault="000D7462" w:rsidP="000D7462">
      <w:pPr>
        <w:spacing w:line="240" w:lineRule="auto"/>
        <w:rPr>
          <w:b/>
          <w:sz w:val="40"/>
          <w:szCs w:val="40"/>
        </w:rPr>
      </w:pPr>
      <w:r w:rsidRPr="008F2A3F">
        <w:rPr>
          <w:b/>
          <w:sz w:val="40"/>
          <w:szCs w:val="40"/>
        </w:rPr>
        <w:t>ARQUITECTURA ORGANIZACIONAL</w:t>
      </w: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C842C9"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C842C9">
            <w:pPr>
              <w:spacing w:line="240" w:lineRule="auto"/>
              <w:ind w:right="667"/>
              <w:jc w:val="both"/>
              <w:rPr>
                <w:color w:val="3366CC"/>
                <w:sz w:val="32"/>
                <w:szCs w:val="32"/>
                <w:u w:val="single"/>
              </w:rPr>
            </w:pPr>
            <w:r w:rsidRPr="00307ADC">
              <w:rPr>
                <w:color w:val="3366CC"/>
                <w:sz w:val="32"/>
                <w:szCs w:val="32"/>
                <w:u w:val="single"/>
              </w:rPr>
              <w:t>Actividades que se desarrollaron: 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0D7462" w:rsidRPr="008F2A3F" w:rsidTr="00755994">
              <w:trPr>
                <w:trHeight w:val="380"/>
              </w:trPr>
              <w:tc>
                <w:tcPr>
                  <w:tcW w:w="2411" w:type="dxa"/>
                  <w:tcBorders>
                    <w:top w:val="single" w:sz="8" w:space="0" w:color="BBBBBB"/>
                    <w:left w:val="single" w:sz="8" w:space="0" w:color="BBBBBB"/>
                    <w:bottom w:val="single" w:sz="8" w:space="0" w:color="BBBBBB"/>
                  </w:tcBorders>
                  <w:shd w:val="clear" w:color="auto" w:fill="A5A5A5"/>
                </w:tcPr>
                <w:p w:rsidR="000D7462" w:rsidRPr="008F2A3F" w:rsidRDefault="000D7462"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0D7462" w:rsidRPr="008F2A3F" w:rsidRDefault="000D7462" w:rsidP="00E73961">
                  <w:pPr>
                    <w:spacing w:after="0" w:line="240" w:lineRule="auto"/>
                    <w:jc w:val="center"/>
                  </w:pPr>
                  <w:r w:rsidRPr="008F2A3F">
                    <w:t>NOMBRE DE ACTIVIDADES DESARROLLADAS</w:t>
                  </w:r>
                </w:p>
              </w:tc>
            </w:tr>
            <w:tr w:rsidR="000D7462" w:rsidRPr="008F2A3F" w:rsidTr="00755994">
              <w:trPr>
                <w:trHeight w:val="380"/>
              </w:trPr>
              <w:tc>
                <w:tcPr>
                  <w:tcW w:w="2411" w:type="dxa"/>
                  <w:tcBorders>
                    <w:right w:val="nil"/>
                  </w:tcBorders>
                  <w:shd w:val="clear" w:color="auto" w:fill="auto"/>
                </w:tcPr>
                <w:p w:rsidR="000D7462" w:rsidRPr="008F2A3F" w:rsidRDefault="000D7462" w:rsidP="00E73961">
                  <w:pPr>
                    <w:spacing w:after="0" w:line="240" w:lineRule="auto"/>
                    <w:rPr>
                      <w:b/>
                    </w:rPr>
                  </w:pPr>
                  <w:r w:rsidRPr="008F2A3F">
                    <w:rPr>
                      <w:b/>
                    </w:rPr>
                    <w:t>2019</w:t>
                  </w:r>
                </w:p>
              </w:tc>
              <w:tc>
                <w:tcPr>
                  <w:tcW w:w="6661" w:type="dxa"/>
                  <w:tcBorders>
                    <w:left w:val="nil"/>
                    <w:right w:val="nil"/>
                  </w:tcBorders>
                  <w:shd w:val="clear" w:color="auto" w:fill="auto"/>
                </w:tcPr>
                <w:p w:rsidR="000D7462" w:rsidRPr="008F2A3F" w:rsidRDefault="000D7462" w:rsidP="005B6819">
                  <w:pPr>
                    <w:pStyle w:val="Prrafodelista"/>
                    <w:numPr>
                      <w:ilvl w:val="6"/>
                      <w:numId w:val="16"/>
                    </w:numPr>
                    <w:spacing w:after="0" w:line="240" w:lineRule="auto"/>
                    <w:ind w:left="334"/>
                  </w:pPr>
                  <w:r w:rsidRPr="008F2A3F">
                    <w:t>Establecimiento del rol Orientador Productivo.</w:t>
                  </w:r>
                </w:p>
                <w:p w:rsidR="000D7462" w:rsidRPr="008F2A3F" w:rsidRDefault="000D7462" w:rsidP="005B6819">
                  <w:pPr>
                    <w:pStyle w:val="Prrafodelista"/>
                    <w:numPr>
                      <w:ilvl w:val="6"/>
                      <w:numId w:val="16"/>
                    </w:numPr>
                    <w:spacing w:after="0" w:line="240" w:lineRule="auto"/>
                    <w:ind w:left="334"/>
                  </w:pPr>
                  <w:r w:rsidRPr="008F2A3F">
                    <w:t>Establecimiento del rol profesional de Salud.</w:t>
                  </w:r>
                </w:p>
              </w:tc>
            </w:tr>
          </w:tbl>
          <w:p w:rsidR="000D7462" w:rsidRPr="008F2A3F" w:rsidRDefault="000D7462" w:rsidP="00E73961">
            <w:pPr>
              <w:spacing w:line="240" w:lineRule="auto"/>
              <w:ind w:left="708"/>
              <w:rPr>
                <w:sz w:val="24"/>
                <w:szCs w:val="24"/>
              </w:rPr>
            </w:pPr>
          </w:p>
          <w:tbl>
            <w:tblPr>
              <w:tblW w:w="9210" w:type="dxa"/>
              <w:tblLayout w:type="fixed"/>
              <w:tblLook w:val="0400" w:firstRow="0" w:lastRow="0" w:firstColumn="0" w:lastColumn="0" w:noHBand="0" w:noVBand="1"/>
            </w:tblPr>
            <w:tblGrid>
              <w:gridCol w:w="9210"/>
            </w:tblGrid>
            <w:tr w:rsidR="00C842C9" w:rsidRPr="008F2A3F" w:rsidTr="00755994">
              <w:tc>
                <w:tcPr>
                  <w:tcW w:w="9210" w:type="dxa"/>
                  <w:shd w:val="clear" w:color="auto" w:fill="F2F2F2"/>
                </w:tcPr>
                <w:p w:rsidR="000D7462" w:rsidRPr="00307ADC" w:rsidRDefault="000D7462" w:rsidP="00E73961">
                  <w:pPr>
                    <w:spacing w:after="0" w:line="240" w:lineRule="auto"/>
                    <w:ind w:left="-282" w:right="529" w:firstLine="282"/>
                    <w:jc w:val="both"/>
                    <w:rPr>
                      <w:color w:val="3366CC"/>
                      <w:sz w:val="32"/>
                      <w:szCs w:val="32"/>
                      <w:u w:val="single"/>
                    </w:rPr>
                  </w:pPr>
                  <w:r w:rsidRPr="00307ADC">
                    <w:rPr>
                      <w:color w:val="3366CC"/>
                      <w:sz w:val="32"/>
                      <w:szCs w:val="32"/>
                      <w:u w:val="single"/>
                    </w:rPr>
                    <w:t>¿Cómo se hizo?</w:t>
                  </w:r>
                  <w:r w:rsidRPr="00307ADC">
                    <w:rPr>
                      <w:noProof/>
                      <w:color w:val="3366CC"/>
                      <w:sz w:val="32"/>
                      <w:szCs w:val="32"/>
                      <w:u w:val="single"/>
                      <w:lang w:val="es-419" w:eastAsia="es-419"/>
                    </w:rPr>
                    <w:drawing>
                      <wp:anchor distT="0" distB="0" distL="114300" distR="114300" simplePos="0" relativeHeight="251734528" behindDoc="0" locked="0" layoutInCell="1" allowOverlap="1" wp14:anchorId="5BBA69DB" wp14:editId="197BEB4D">
                        <wp:simplePos x="0" y="0"/>
                        <wp:positionH relativeFrom="column">
                          <wp:posOffset>121920</wp:posOffset>
                        </wp:positionH>
                        <wp:positionV relativeFrom="paragraph">
                          <wp:posOffset>-16510</wp:posOffset>
                        </wp:positionV>
                        <wp:extent cx="775335" cy="937260"/>
                        <wp:effectExtent l="0" t="0" r="0" b="0"/>
                        <wp:wrapSquare wrapText="bothSides"/>
                        <wp:docPr id="14791" name="Imagen 1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jc w:val="both"/>
                    <w:rPr>
                      <w:rFonts w:asciiTheme="minorHAnsi" w:eastAsiaTheme="minorHAnsi" w:hAnsiTheme="minorHAnsi" w:cstheme="minorBidi"/>
                    </w:rPr>
                  </w:pPr>
                  <w:r w:rsidRPr="008F2A3F">
                    <w:rPr>
                      <w:rFonts w:asciiTheme="minorHAnsi" w:hAnsiTheme="minorHAnsi" w:cs="Arial"/>
                    </w:rPr>
                    <w:t>La Agencia para la Reincorporación y la Normalización cuenta con 3</w:t>
                  </w:r>
                  <w:r w:rsidR="00407656" w:rsidRPr="008F2A3F">
                    <w:rPr>
                      <w:rFonts w:asciiTheme="minorHAnsi" w:hAnsiTheme="minorHAnsi" w:cs="Arial"/>
                    </w:rPr>
                    <w:t>4</w:t>
                  </w:r>
                  <w:r w:rsidRPr="008F2A3F">
                    <w:rPr>
                      <w:rFonts w:asciiTheme="minorHAnsi" w:hAnsiTheme="minorHAnsi" w:cs="Arial"/>
                    </w:rPr>
                    <w:t xml:space="preserve"> oficinas en 538 municipios. Para la atención de la población en proceso de Reincorporación la entidad ha contratado a </w:t>
                  </w:r>
                  <w:r w:rsidR="00407656" w:rsidRPr="008F2A3F">
                    <w:rPr>
                      <w:rFonts w:asciiTheme="minorHAnsi" w:hAnsiTheme="minorHAnsi" w:cs="Arial"/>
                    </w:rPr>
                    <w:t xml:space="preserve">441 </w:t>
                  </w:r>
                  <w:r w:rsidRPr="008F2A3F">
                    <w:rPr>
                      <w:rFonts w:asciiTheme="minorHAnsi" w:hAnsiTheme="minorHAnsi" w:cs="Arial"/>
                    </w:rPr>
                    <w:t xml:space="preserve">profesionales de diversas disciplinas </w:t>
                  </w:r>
                  <w:r w:rsidRPr="008F2A3F">
                    <w:rPr>
                      <w:rFonts w:asciiTheme="minorHAnsi" w:hAnsiTheme="minorHAnsi"/>
                      <w:i/>
                    </w:rPr>
                    <w:t>para facilitar, articular y gestionar oferta, así como para brindar acompañamiento a las diferentes necesidades e intereses de los ex integrantes de FARC</w:t>
                  </w:r>
                  <w:r w:rsidRPr="008F2A3F">
                    <w:rPr>
                      <w:rFonts w:asciiTheme="minorHAnsi" w:eastAsiaTheme="minorHAnsi" w:hAnsiTheme="minorHAnsi" w:cstheme="minorBidi"/>
                    </w:rPr>
                    <w:t>. Este grupo de profesionales son:</w:t>
                  </w:r>
                </w:p>
                <w:p w:rsidR="000D7462" w:rsidRPr="008F2A3F" w:rsidRDefault="00F85887" w:rsidP="005B6819">
                  <w:pPr>
                    <w:pStyle w:val="Prrafodelista"/>
                    <w:numPr>
                      <w:ilvl w:val="0"/>
                      <w:numId w:val="28"/>
                    </w:numPr>
                    <w:jc w:val="both"/>
                    <w:rPr>
                      <w:rFonts w:asciiTheme="minorHAnsi" w:hAnsiTheme="minorHAnsi"/>
                      <w:i/>
                      <w:iCs/>
                    </w:rPr>
                  </w:pPr>
                  <w:r w:rsidRPr="008F2A3F">
                    <w:rPr>
                      <w:rFonts w:asciiTheme="minorHAnsi" w:hAnsiTheme="minorHAnsi"/>
                      <w:i/>
                      <w:iCs/>
                    </w:rPr>
                    <w:t>231 facilitadores mediante la aprobación de 300 contratos.</w:t>
                  </w:r>
                </w:p>
                <w:p w:rsidR="000D7462" w:rsidRPr="008F2A3F" w:rsidRDefault="000D7462" w:rsidP="005B6819">
                  <w:pPr>
                    <w:pStyle w:val="Prrafodelista"/>
                    <w:numPr>
                      <w:ilvl w:val="0"/>
                      <w:numId w:val="28"/>
                    </w:numPr>
                    <w:jc w:val="both"/>
                    <w:rPr>
                      <w:rFonts w:asciiTheme="minorHAnsi" w:hAnsiTheme="minorHAnsi"/>
                      <w:i/>
                      <w:iCs/>
                    </w:rPr>
                  </w:pPr>
                  <w:r w:rsidRPr="008F2A3F">
                    <w:rPr>
                      <w:rFonts w:asciiTheme="minorHAnsi" w:hAnsiTheme="minorHAnsi"/>
                      <w:i/>
                      <w:iCs/>
                    </w:rPr>
                    <w:t xml:space="preserve">29 </w:t>
                  </w:r>
                  <w:r w:rsidR="00F85887" w:rsidRPr="008F2A3F">
                    <w:rPr>
                      <w:rFonts w:asciiTheme="minorHAnsi" w:hAnsiTheme="minorHAnsi"/>
                      <w:i/>
                      <w:iCs/>
                    </w:rPr>
                    <w:t>contratos aprobados para</w:t>
                  </w:r>
                  <w:r w:rsidR="004408E0" w:rsidRPr="008F2A3F">
                    <w:rPr>
                      <w:rFonts w:asciiTheme="minorHAnsi" w:hAnsiTheme="minorHAnsi"/>
                      <w:i/>
                      <w:iCs/>
                    </w:rPr>
                    <w:t xml:space="preserve"> 29</w:t>
                  </w:r>
                  <w:r w:rsidR="00F85887" w:rsidRPr="008F2A3F">
                    <w:rPr>
                      <w:rFonts w:asciiTheme="minorHAnsi" w:hAnsiTheme="minorHAnsi"/>
                      <w:i/>
                      <w:iCs/>
                    </w:rPr>
                    <w:t xml:space="preserve"> </w:t>
                  </w:r>
                  <w:r w:rsidRPr="008F2A3F">
                    <w:rPr>
                      <w:rFonts w:asciiTheme="minorHAnsi" w:hAnsiTheme="minorHAnsi"/>
                      <w:i/>
                      <w:iCs/>
                    </w:rPr>
                    <w:t>Profesionales Orientadores</w:t>
                  </w:r>
                </w:p>
                <w:p w:rsidR="000D7462" w:rsidRPr="008F2A3F" w:rsidRDefault="000D7462" w:rsidP="005B6819">
                  <w:pPr>
                    <w:pStyle w:val="Prrafodelista"/>
                    <w:numPr>
                      <w:ilvl w:val="0"/>
                      <w:numId w:val="28"/>
                    </w:numPr>
                    <w:jc w:val="both"/>
                    <w:rPr>
                      <w:rFonts w:asciiTheme="minorHAnsi" w:hAnsiTheme="minorHAnsi"/>
                      <w:i/>
                      <w:iCs/>
                    </w:rPr>
                  </w:pPr>
                  <w:r w:rsidRPr="008F2A3F">
                    <w:rPr>
                      <w:rFonts w:asciiTheme="minorHAnsi" w:hAnsiTheme="minorHAnsi"/>
                      <w:i/>
                      <w:iCs/>
                    </w:rPr>
                    <w:t xml:space="preserve">23 </w:t>
                  </w:r>
                  <w:r w:rsidR="00F85887" w:rsidRPr="008F2A3F">
                    <w:rPr>
                      <w:rFonts w:asciiTheme="minorHAnsi" w:hAnsiTheme="minorHAnsi"/>
                      <w:i/>
                      <w:iCs/>
                    </w:rPr>
                    <w:t xml:space="preserve">contratos aprobados para </w:t>
                  </w:r>
                  <w:r w:rsidR="004408E0" w:rsidRPr="008F2A3F">
                    <w:rPr>
                      <w:rFonts w:asciiTheme="minorHAnsi" w:hAnsiTheme="minorHAnsi"/>
                      <w:i/>
                      <w:iCs/>
                    </w:rPr>
                    <w:t xml:space="preserve">16 </w:t>
                  </w:r>
                  <w:r w:rsidRPr="008F2A3F">
                    <w:rPr>
                      <w:rFonts w:asciiTheme="minorHAnsi" w:hAnsiTheme="minorHAnsi"/>
                      <w:i/>
                      <w:iCs/>
                    </w:rPr>
                    <w:t>Profesionales Orientadores Productivos</w:t>
                  </w:r>
                </w:p>
                <w:p w:rsidR="000D7462" w:rsidRPr="008F2A3F" w:rsidRDefault="00711D5C" w:rsidP="005B6819">
                  <w:pPr>
                    <w:pStyle w:val="Prrafodelista"/>
                    <w:numPr>
                      <w:ilvl w:val="0"/>
                      <w:numId w:val="28"/>
                    </w:numPr>
                    <w:jc w:val="both"/>
                    <w:rPr>
                      <w:rFonts w:asciiTheme="minorHAnsi" w:hAnsiTheme="minorHAnsi"/>
                      <w:i/>
                      <w:iCs/>
                    </w:rPr>
                  </w:pPr>
                  <w:r w:rsidRPr="008F2A3F">
                    <w:rPr>
                      <w:rFonts w:asciiTheme="minorHAnsi" w:hAnsiTheme="minorHAnsi"/>
                      <w:i/>
                      <w:iCs/>
                    </w:rPr>
                    <w:t>25</w:t>
                  </w:r>
                  <w:r w:rsidR="00F85887" w:rsidRPr="008F2A3F">
                    <w:rPr>
                      <w:rFonts w:asciiTheme="minorHAnsi" w:hAnsiTheme="minorHAnsi"/>
                      <w:i/>
                      <w:iCs/>
                    </w:rPr>
                    <w:t xml:space="preserve"> contratos aprobados para</w:t>
                  </w:r>
                  <w:r w:rsidRPr="008F2A3F">
                    <w:rPr>
                      <w:rFonts w:asciiTheme="minorHAnsi" w:hAnsiTheme="minorHAnsi"/>
                      <w:i/>
                      <w:iCs/>
                    </w:rPr>
                    <w:t xml:space="preserve"> </w:t>
                  </w:r>
                  <w:r w:rsidR="004408E0" w:rsidRPr="008F2A3F">
                    <w:rPr>
                      <w:rFonts w:asciiTheme="minorHAnsi" w:hAnsiTheme="minorHAnsi"/>
                      <w:i/>
                      <w:iCs/>
                    </w:rPr>
                    <w:t xml:space="preserve">25 </w:t>
                  </w:r>
                  <w:r w:rsidRPr="008F2A3F">
                    <w:rPr>
                      <w:rFonts w:asciiTheme="minorHAnsi" w:hAnsiTheme="minorHAnsi"/>
                      <w:i/>
                      <w:iCs/>
                    </w:rPr>
                    <w:t>Profesionales de Salud</w:t>
                  </w:r>
                </w:p>
                <w:p w:rsidR="000D7462" w:rsidRPr="008F2A3F" w:rsidRDefault="00711D5C" w:rsidP="005B6819">
                  <w:pPr>
                    <w:pStyle w:val="Prrafodelista"/>
                    <w:numPr>
                      <w:ilvl w:val="0"/>
                      <w:numId w:val="28"/>
                    </w:numPr>
                    <w:jc w:val="both"/>
                    <w:rPr>
                      <w:rFonts w:asciiTheme="minorHAnsi" w:eastAsiaTheme="minorHAnsi" w:hAnsiTheme="minorHAnsi" w:cstheme="minorBidi"/>
                    </w:rPr>
                  </w:pPr>
                  <w:r w:rsidRPr="008F2A3F">
                    <w:rPr>
                      <w:rFonts w:asciiTheme="minorHAnsi" w:hAnsiTheme="minorHAnsi"/>
                      <w:i/>
                      <w:iCs/>
                    </w:rPr>
                    <w:t>64</w:t>
                  </w:r>
                  <w:r w:rsidR="000D7462" w:rsidRPr="008F2A3F">
                    <w:rPr>
                      <w:rFonts w:asciiTheme="minorHAnsi" w:hAnsiTheme="minorHAnsi"/>
                      <w:i/>
                      <w:iCs/>
                    </w:rPr>
                    <w:t xml:space="preserve"> </w:t>
                  </w:r>
                  <w:r w:rsidR="00F85887" w:rsidRPr="008F2A3F">
                    <w:rPr>
                      <w:rFonts w:asciiTheme="minorHAnsi" w:hAnsiTheme="minorHAnsi"/>
                      <w:i/>
                      <w:iCs/>
                    </w:rPr>
                    <w:t xml:space="preserve">contratos aprobados para </w:t>
                  </w:r>
                  <w:r w:rsidR="004408E0" w:rsidRPr="008F2A3F">
                    <w:rPr>
                      <w:rFonts w:asciiTheme="minorHAnsi" w:hAnsiTheme="minorHAnsi"/>
                      <w:i/>
                      <w:iCs/>
                    </w:rPr>
                    <w:t xml:space="preserve">38 </w:t>
                  </w:r>
                  <w:r w:rsidRPr="008F2A3F">
                    <w:rPr>
                      <w:rFonts w:asciiTheme="minorHAnsi" w:hAnsiTheme="minorHAnsi"/>
                      <w:i/>
                      <w:iCs/>
                    </w:rPr>
                    <w:t>Enlaces de Reincorporación</w:t>
                  </w:r>
                </w:p>
                <w:p w:rsidR="00F85887" w:rsidRPr="008F2A3F" w:rsidRDefault="00F85887" w:rsidP="005B6819">
                  <w:pPr>
                    <w:pStyle w:val="Prrafodelista"/>
                    <w:numPr>
                      <w:ilvl w:val="0"/>
                      <w:numId w:val="28"/>
                    </w:numPr>
                    <w:jc w:val="both"/>
                    <w:rPr>
                      <w:rFonts w:asciiTheme="minorHAnsi" w:eastAsiaTheme="minorHAnsi" w:hAnsiTheme="minorHAnsi" w:cstheme="minorBidi"/>
                    </w:rPr>
                  </w:pPr>
                  <w:r w:rsidRPr="008F2A3F">
                    <w:rPr>
                      <w:rFonts w:asciiTheme="minorHAnsi" w:hAnsiTheme="minorHAnsi"/>
                      <w:i/>
                      <w:iCs/>
                    </w:rPr>
                    <w:t>15 profesionales para la Unidad Técnica de Reincorporación con la aprobación de 16 contratos.</w:t>
                  </w:r>
                </w:p>
                <w:p w:rsidR="000D7462" w:rsidRPr="008F2A3F" w:rsidRDefault="000D7462" w:rsidP="00E73961">
                  <w:pPr>
                    <w:pStyle w:val="Default"/>
                    <w:jc w:val="both"/>
                    <w:rPr>
                      <w:rFonts w:asciiTheme="minorHAnsi" w:hAnsiTheme="minorHAnsi" w:cs="Arial"/>
                      <w:color w:val="auto"/>
                      <w:sz w:val="22"/>
                      <w:szCs w:val="22"/>
                      <w:lang w:eastAsia="en-US"/>
                    </w:rPr>
                  </w:pPr>
                  <w:r w:rsidRPr="008F2A3F">
                    <w:rPr>
                      <w:rFonts w:asciiTheme="minorHAnsi" w:hAnsiTheme="minorHAnsi" w:cs="Arial"/>
                      <w:color w:val="auto"/>
                      <w:sz w:val="22"/>
                      <w:szCs w:val="22"/>
                      <w:lang w:eastAsia="en-US"/>
                    </w:rPr>
                    <w:t>Las dinámicas y movimientos de la población en proceso de Reincorporación han reflejado una necesidad particular para cubrir la demanda de atención a lo largo de la geografía nacional en los distintos contextos (antiguos ETCR – Áreas de Reintegración Grupal –Dispersos – Cabeceras Municipales). Este acompañamiento a la población la realizaron los profesionales facilitadores y orientadores productivos en los antiguos Espacios Territoriales de Capacitación y Reincorporación y en todos los municipios donde se ubicaron las personas que salieron de los mismos. A diciembre del 2019, 9.994 personas estaban fuera de los antiguos ETCR y 2.946 se ubicaban en los 24 antiguos ETCR. Las actividades con mayor número de participación fueron: atención personal, atención para la productividad y la empleabilidad y la atención en educación formal (básica, media, universitaria, educación para el trabajo).</w:t>
                  </w:r>
                </w:p>
                <w:p w:rsidR="00C842C9" w:rsidRDefault="00C842C9" w:rsidP="00E73961">
                  <w:pPr>
                    <w:spacing w:after="0" w:line="240" w:lineRule="auto"/>
                    <w:jc w:val="both"/>
                    <w:rPr>
                      <w:rFonts w:asciiTheme="minorHAnsi" w:hAnsiTheme="minorHAnsi" w:cs="Arial"/>
                    </w:rPr>
                  </w:pPr>
                </w:p>
                <w:p w:rsidR="000D7462" w:rsidRPr="008F2A3F" w:rsidRDefault="000D7462" w:rsidP="00E73961">
                  <w:pPr>
                    <w:spacing w:after="0" w:line="240" w:lineRule="auto"/>
                    <w:jc w:val="both"/>
                    <w:rPr>
                      <w:rFonts w:asciiTheme="minorHAnsi" w:hAnsiTheme="minorHAnsi" w:cs="Arial"/>
                    </w:rPr>
                  </w:pPr>
                  <w:r w:rsidRPr="008F2A3F">
                    <w:rPr>
                      <w:rFonts w:asciiTheme="minorHAnsi" w:hAnsiTheme="minorHAnsi" w:cs="Arial"/>
                    </w:rPr>
                    <w:t>Para el 2019 se definieron dos nuevos roles:</w:t>
                  </w:r>
                </w:p>
                <w:p w:rsidR="000D7462" w:rsidRPr="008F2A3F" w:rsidRDefault="000D7462" w:rsidP="00E73961">
                  <w:pPr>
                    <w:spacing w:after="0" w:line="240" w:lineRule="auto"/>
                    <w:jc w:val="both"/>
                    <w:rPr>
                      <w:rFonts w:asciiTheme="minorHAnsi" w:hAnsiTheme="minorHAnsi" w:cs="Arial"/>
                    </w:rPr>
                  </w:pPr>
                </w:p>
                <w:p w:rsidR="000D7462" w:rsidRPr="008F2A3F" w:rsidRDefault="000D7462" w:rsidP="005B6819">
                  <w:pPr>
                    <w:pStyle w:val="Prrafodelista"/>
                    <w:numPr>
                      <w:ilvl w:val="0"/>
                      <w:numId w:val="28"/>
                    </w:numPr>
                    <w:spacing w:after="0" w:line="240" w:lineRule="auto"/>
                    <w:jc w:val="both"/>
                    <w:rPr>
                      <w:rFonts w:asciiTheme="minorHAnsi" w:hAnsiTheme="minorHAnsi" w:cs="Futura Std Book"/>
                      <w:i/>
                      <w:lang w:eastAsia="es-419"/>
                    </w:rPr>
                  </w:pPr>
                  <w:r w:rsidRPr="008F2A3F">
                    <w:rPr>
                      <w:rFonts w:asciiTheme="minorHAnsi" w:hAnsiTheme="minorHAnsi" w:cs="Arial"/>
                      <w:b/>
                    </w:rPr>
                    <w:t>Profesional Orientador Productivo</w:t>
                  </w:r>
                  <w:r w:rsidRPr="008F2A3F">
                    <w:rPr>
                      <w:rFonts w:asciiTheme="minorHAnsi" w:hAnsiTheme="minorHAnsi" w:cs="Arial"/>
                    </w:rPr>
                    <w:t>, se dispuso uno en cada antiguo</w:t>
                  </w:r>
                  <w:r w:rsidRPr="008F2A3F">
                    <w:rPr>
                      <w:rFonts w:asciiTheme="minorHAnsi" w:hAnsiTheme="minorHAnsi"/>
                      <w:i/>
                    </w:rPr>
                    <w:t xml:space="preserve"> ETCR y tuvo como propósito </w:t>
                  </w:r>
                  <w:r w:rsidRPr="008F2A3F">
                    <w:rPr>
                      <w:rFonts w:asciiTheme="minorHAnsi" w:hAnsiTheme="minorHAnsi"/>
                    </w:rPr>
                    <w:t xml:space="preserve">la </w:t>
                  </w:r>
                  <w:r w:rsidRPr="008F2A3F">
                    <w:rPr>
                      <w:rFonts w:asciiTheme="minorHAnsi" w:hAnsiTheme="minorHAnsi" w:cs="Futura Std Book"/>
                      <w:i/>
                      <w:lang w:eastAsia="es-419"/>
                    </w:rPr>
                    <w:t>consolidación de los procesos productivos, especialmente los de corte asociativo en los antiguos ETCR y la promoción de acciones concretas de encadenamiento productivo y comercialización.</w:t>
                  </w:r>
                </w:p>
                <w:p w:rsidR="000D7462" w:rsidRPr="008F2A3F" w:rsidRDefault="000D7462" w:rsidP="005B6819">
                  <w:pPr>
                    <w:pStyle w:val="Prrafodelista"/>
                    <w:numPr>
                      <w:ilvl w:val="0"/>
                      <w:numId w:val="28"/>
                    </w:numPr>
                    <w:ind w:right="57"/>
                    <w:jc w:val="both"/>
                    <w:rPr>
                      <w:rFonts w:asciiTheme="minorHAnsi" w:hAnsiTheme="minorHAnsi" w:cs="Futura Std Book"/>
                      <w:i/>
                      <w:lang w:eastAsia="es-419"/>
                    </w:rPr>
                  </w:pPr>
                  <w:r w:rsidRPr="008F2A3F">
                    <w:rPr>
                      <w:rFonts w:asciiTheme="minorHAnsi" w:hAnsiTheme="minorHAnsi" w:cs="Futura Std Book"/>
                      <w:b/>
                      <w:i/>
                      <w:lang w:eastAsia="es-419"/>
                    </w:rPr>
                    <w:t>Profesional de Salud</w:t>
                  </w:r>
                  <w:r w:rsidRPr="008F2A3F">
                    <w:rPr>
                      <w:rFonts w:asciiTheme="minorHAnsi" w:hAnsiTheme="minorHAnsi" w:cs="Futura Std Book"/>
                      <w:i/>
                      <w:lang w:eastAsia="es-419"/>
                    </w:rPr>
                    <w:t xml:space="preserve">, se dispuso un profesional para cada Grupo Territorial y tuvo como propósito desarrollar gestiones para la articulación con actores externos y especialmente con el sector salud en el nivel territorial, para facilitar el acceso de las poblaciones objeto del acompañamiento de la ARN a oferta pertinente según sus necesidades específicas de salud física y mental. </w:t>
                  </w:r>
                </w:p>
                <w:p w:rsidR="000D7462" w:rsidRPr="008F2A3F" w:rsidRDefault="000D7462" w:rsidP="00E73961">
                  <w:pPr>
                    <w:pStyle w:val="Default"/>
                    <w:rPr>
                      <w:rFonts w:asciiTheme="minorHAnsi" w:hAnsiTheme="minorHAnsi"/>
                      <w:color w:val="auto"/>
                      <w:sz w:val="22"/>
                      <w:szCs w:val="22"/>
                    </w:rPr>
                  </w:pPr>
                  <w:r w:rsidRPr="008F2A3F">
                    <w:rPr>
                      <w:rFonts w:asciiTheme="minorHAnsi" w:hAnsiTheme="minorHAnsi"/>
                      <w:color w:val="auto"/>
                      <w:sz w:val="22"/>
                      <w:szCs w:val="22"/>
                    </w:rPr>
                    <w:t>Por otra parte, durante el 2019 se emitió la resolución 3991 del 28 de noviembre del 2019, por la cual se crean y modifican grupos internos de trabajo en la estructura de la Agencia para la Reincorporación y la Normalización. Se logran evidenciar movimientos significativos en la dinámica de atención de los procesos liderados por la ARN, razón por la cual es fundamental realizar un reordenamiento de los grupos territoriales, garantizando el cumplimiento de la misionalidad, las metas e indicadores institucionales. Estos ajustes se implementarían a partir del 1 de enero del 2020:</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lastRenderedPageBreak/>
                    <w:t>Cierre de tres sedes ubicadas en Tierra Alta (Córdoba), Caucasia (Antioquia) y Aguachica (Cesar).</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t>Unificación de los Grupos Territoriales: Cesar-Guajira, Atlántico-Magdalena, Cundinamarca Boyacá y Casanare, Antioquia Chocó y Sucre-Bolívar.</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t>Creación de un nuevo Grupo Territorial en Arauca.</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t>Creación de una nueva sede en Santander de Quilichao perteneciente al Grupo Territorial ARN Cauca.</w:t>
                  </w:r>
                </w:p>
                <w:p w:rsidR="000D7462" w:rsidRPr="008F2A3F" w:rsidRDefault="000D7462" w:rsidP="00E73961">
                  <w:pPr>
                    <w:pStyle w:val="Default"/>
                    <w:rPr>
                      <w:rFonts w:asciiTheme="minorHAnsi" w:hAnsiTheme="minorHAnsi"/>
                      <w:color w:val="auto"/>
                      <w:sz w:val="22"/>
                      <w:szCs w:val="22"/>
                    </w:rPr>
                  </w:pPr>
                </w:p>
                <w:p w:rsidR="000D7462" w:rsidRPr="008F2A3F" w:rsidRDefault="000D7462" w:rsidP="00FB4B4F">
                  <w:pPr>
                    <w:pStyle w:val="Default"/>
                    <w:rPr>
                      <w:rFonts w:asciiTheme="minorHAnsi" w:hAnsiTheme="minorHAnsi"/>
                      <w:i/>
                      <w:color w:val="auto"/>
                    </w:rPr>
                  </w:pPr>
                  <w:r w:rsidRPr="008F2A3F">
                    <w:rPr>
                      <w:rFonts w:asciiTheme="minorHAnsi" w:hAnsiTheme="minorHAnsi"/>
                      <w:color w:val="auto"/>
                      <w:sz w:val="22"/>
                      <w:szCs w:val="22"/>
                    </w:rPr>
                    <w:t>Con lo anterior, la entidad quedaría con 20 Grupos Territoriales y 1 Punto de Atención, a partir del 1 de enero del 2020.</w:t>
                  </w:r>
                </w:p>
                <w:p w:rsidR="000D7462" w:rsidRPr="008F2A3F" w:rsidRDefault="000D7462" w:rsidP="00E73961">
                  <w:pPr>
                    <w:spacing w:after="0" w:line="240" w:lineRule="auto"/>
                    <w:jc w:val="both"/>
                    <w:rPr>
                      <w:i/>
                      <w:sz w:val="24"/>
                      <w:szCs w:val="24"/>
                    </w:rPr>
                  </w:pPr>
                </w:p>
              </w:tc>
            </w:tr>
          </w:tbl>
          <w:p w:rsidR="000D7462" w:rsidRPr="00307ADC" w:rsidRDefault="000D7462" w:rsidP="00E73961">
            <w:pPr>
              <w:spacing w:after="0" w:line="240" w:lineRule="auto"/>
              <w:jc w:val="both"/>
              <w:rPr>
                <w:color w:val="3366CC"/>
                <w:sz w:val="32"/>
                <w:szCs w:val="32"/>
                <w:u w:val="single"/>
              </w:rPr>
            </w:pPr>
            <w:r w:rsidRPr="00307ADC">
              <w:rPr>
                <w:color w:val="3366CC"/>
                <w:sz w:val="32"/>
                <w:szCs w:val="32"/>
                <w:u w:val="single"/>
              </w:rPr>
              <w:lastRenderedPageBreak/>
              <w:t xml:space="preserve">¿Quiénes se beneficiaron? </w:t>
            </w:r>
            <w:r w:rsidRPr="00307ADC">
              <w:rPr>
                <w:noProof/>
                <w:color w:val="3366CC"/>
                <w:sz w:val="32"/>
                <w:szCs w:val="32"/>
                <w:u w:val="single"/>
                <w:lang w:val="es-419" w:eastAsia="es-419"/>
              </w:rPr>
              <w:drawing>
                <wp:anchor distT="0" distB="0" distL="114300" distR="114300" simplePos="0" relativeHeight="251731456" behindDoc="0" locked="0" layoutInCell="1" allowOverlap="1" wp14:anchorId="41FE9C4C" wp14:editId="5FBEF9B5">
                  <wp:simplePos x="0" y="0"/>
                  <wp:positionH relativeFrom="column">
                    <wp:posOffset>7620</wp:posOffset>
                  </wp:positionH>
                  <wp:positionV relativeFrom="paragraph">
                    <wp:posOffset>56515</wp:posOffset>
                  </wp:positionV>
                  <wp:extent cx="925830" cy="800100"/>
                  <wp:effectExtent l="0" t="0" r="0" b="0"/>
                  <wp:wrapSquare wrapText="bothSides"/>
                  <wp:docPr id="14792" name="Imagen 1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rFonts w:cs="Arial"/>
              </w:rPr>
            </w:pPr>
            <w:r w:rsidRPr="008F2A3F">
              <w:rPr>
                <w:rFonts w:cs="Arial"/>
              </w:rPr>
              <w:t>13.202 personas acreditadas por la OACP como ex integrantes de FARC-EP</w:t>
            </w:r>
          </w:p>
          <w:p w:rsidR="000D7462" w:rsidRPr="008F2A3F" w:rsidRDefault="000D7462" w:rsidP="00E73961">
            <w:pPr>
              <w:spacing w:after="0" w:line="240" w:lineRule="auto"/>
              <w:jc w:val="both"/>
              <w:rPr>
                <w:i/>
                <w:sz w:val="24"/>
                <w:szCs w:val="24"/>
              </w:rPr>
            </w:pPr>
          </w:p>
        </w:tc>
      </w:tr>
      <w:tr w:rsidR="00C842C9"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307ADC">
            <w:pPr>
              <w:spacing w:after="0" w:line="240" w:lineRule="auto"/>
              <w:jc w:val="both"/>
              <w:rPr>
                <w:color w:val="3366CC"/>
                <w:sz w:val="32"/>
                <w:szCs w:val="32"/>
                <w:u w:val="single"/>
              </w:rPr>
            </w:pPr>
            <w:r w:rsidRPr="00307ADC">
              <w:rPr>
                <w:color w:val="3366CC"/>
                <w:sz w:val="32"/>
                <w:szCs w:val="32"/>
                <w:u w:val="single"/>
              </w:rPr>
              <w:lastRenderedPageBreak/>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32480" behindDoc="0" locked="0" layoutInCell="1" allowOverlap="1" wp14:anchorId="3C7E7663" wp14:editId="5A908170">
                  <wp:simplePos x="0" y="0"/>
                  <wp:positionH relativeFrom="column">
                    <wp:posOffset>-85725</wp:posOffset>
                  </wp:positionH>
                  <wp:positionV relativeFrom="paragraph">
                    <wp:posOffset>0</wp:posOffset>
                  </wp:positionV>
                  <wp:extent cx="958850" cy="861695"/>
                  <wp:effectExtent l="0" t="0" r="0" b="0"/>
                  <wp:wrapSquare wrapText="bothSides"/>
                  <wp:docPr id="14793" name="Imagen 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i/>
                <w:sz w:val="24"/>
                <w:szCs w:val="24"/>
              </w:rPr>
            </w:pPr>
          </w:p>
          <w:p w:rsidR="000D7462" w:rsidRPr="008F2A3F" w:rsidRDefault="000D7462" w:rsidP="00E73961">
            <w:pPr>
              <w:spacing w:after="0" w:line="240" w:lineRule="auto"/>
              <w:jc w:val="both"/>
              <w:rPr>
                <w:szCs w:val="24"/>
              </w:rPr>
            </w:pPr>
            <w:r w:rsidRPr="008F2A3F">
              <w:rPr>
                <w:szCs w:val="24"/>
              </w:rPr>
              <w:t xml:space="preserve">Lo invitamos a hacer control social a los contratos que se celebran por parte de las entidades públicas en el portal de Colombia Compra Eficiente </w:t>
            </w:r>
            <w:hyperlink r:id="rId75" w:history="1">
              <w:r w:rsidRPr="008F2A3F">
                <w:rPr>
                  <w:rStyle w:val="Hipervnculo"/>
                  <w:color w:val="auto"/>
                  <w:szCs w:val="24"/>
                </w:rPr>
                <w:t>www.colombiacompra.gov.co</w:t>
              </w:r>
            </w:hyperlink>
            <w:r w:rsidRPr="008F2A3F">
              <w:rPr>
                <w:szCs w:val="24"/>
              </w:rPr>
              <w:t xml:space="preserve"> </w:t>
            </w:r>
          </w:p>
          <w:p w:rsidR="000D7462" w:rsidRPr="008F2A3F" w:rsidRDefault="000D7462" w:rsidP="00E73961">
            <w:pPr>
              <w:spacing w:after="0" w:line="240" w:lineRule="auto"/>
              <w:rPr>
                <w:szCs w:val="24"/>
              </w:rPr>
            </w:pPr>
          </w:p>
          <w:p w:rsidR="000D7462" w:rsidRPr="008F2A3F" w:rsidRDefault="000D7462" w:rsidP="00E73961">
            <w:pPr>
              <w:spacing w:after="0" w:line="240" w:lineRule="auto"/>
              <w:jc w:val="both"/>
              <w:rPr>
                <w:szCs w:val="24"/>
              </w:rPr>
            </w:pPr>
            <w:r w:rsidRPr="008F2A3F">
              <w:rPr>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0D7462" w:rsidRPr="008F2A3F" w:rsidRDefault="000D7462" w:rsidP="00E73961">
            <w:pPr>
              <w:spacing w:after="0" w:line="240" w:lineRule="auto"/>
              <w:jc w:val="both"/>
              <w:rPr>
                <w:sz w:val="24"/>
                <w:szCs w:val="24"/>
              </w:rPr>
            </w:pPr>
          </w:p>
          <w:p w:rsidR="000D7462" w:rsidRPr="008F2A3F" w:rsidRDefault="009B7621" w:rsidP="00E73961">
            <w:pPr>
              <w:spacing w:after="0" w:line="240" w:lineRule="auto"/>
              <w:rPr>
                <w:sz w:val="24"/>
                <w:szCs w:val="24"/>
              </w:rPr>
            </w:pPr>
            <w:hyperlink r:id="rId76" w:history="1">
              <w:r w:rsidR="00B94748" w:rsidRPr="00693E84">
                <w:rPr>
                  <w:rStyle w:val="Hipervnculo"/>
                  <w:sz w:val="24"/>
                  <w:szCs w:val="24"/>
                </w:rPr>
                <w:t>https://www.colombiacompra.gov.co/secop/busqueda-de-procesos-de-contratacion</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9B7621" w:rsidP="00E73961">
            <w:pPr>
              <w:spacing w:after="0" w:line="240" w:lineRule="auto"/>
              <w:rPr>
                <w:sz w:val="24"/>
                <w:szCs w:val="24"/>
              </w:rPr>
            </w:pPr>
            <w:hyperlink r:id="rId77" w:history="1">
              <w:r w:rsidR="00B94748" w:rsidRPr="00693E84">
                <w:rPr>
                  <w:rStyle w:val="Hipervnculo"/>
                  <w:sz w:val="24"/>
                  <w:szCs w:val="24"/>
                </w:rPr>
                <w:t>https://www.contratos.gov.co/consultas/inicioConsulta.do</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0D7462" w:rsidP="00E73961">
            <w:pPr>
              <w:spacing w:after="0" w:line="240" w:lineRule="auto"/>
              <w:rPr>
                <w:sz w:val="24"/>
                <w:szCs w:val="24"/>
              </w:rPr>
            </w:pPr>
          </w:p>
          <w:p w:rsidR="000D7462" w:rsidRPr="008F2A3F" w:rsidRDefault="000D7462" w:rsidP="00E73961">
            <w:pPr>
              <w:spacing w:after="0" w:line="240" w:lineRule="auto"/>
              <w:jc w:val="both"/>
              <w:rPr>
                <w:szCs w:val="24"/>
              </w:rPr>
            </w:pPr>
            <w:r w:rsidRPr="008F2A3F">
              <w:rPr>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rsidR="000D7462" w:rsidRPr="008F2A3F" w:rsidRDefault="000D7462" w:rsidP="00E73961">
            <w:pPr>
              <w:spacing w:after="0" w:line="240" w:lineRule="auto"/>
              <w:jc w:val="both"/>
              <w:rPr>
                <w:szCs w:val="24"/>
              </w:rPr>
            </w:pP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6"/>
              <w:gridCol w:w="4966"/>
            </w:tblGrid>
            <w:tr w:rsidR="00C842C9" w:rsidRPr="008F2A3F" w:rsidTr="003B39AF">
              <w:trPr>
                <w:trHeight w:val="400"/>
              </w:trPr>
              <w:tc>
                <w:tcPr>
                  <w:tcW w:w="3996" w:type="dxa"/>
                  <w:shd w:val="clear" w:color="auto" w:fill="A6A6A6"/>
                </w:tcPr>
                <w:p w:rsidR="000D7462" w:rsidRPr="008F2A3F" w:rsidRDefault="000D7462" w:rsidP="00E73961">
                  <w:pPr>
                    <w:spacing w:after="0" w:line="240" w:lineRule="auto"/>
                    <w:jc w:val="both"/>
                    <w:rPr>
                      <w:i/>
                    </w:rPr>
                  </w:pPr>
                  <w:r w:rsidRPr="008F2A3F">
                    <w:rPr>
                      <w:i/>
                    </w:rPr>
                    <w:t xml:space="preserve">Número de Contrato/Año </w:t>
                  </w:r>
                </w:p>
              </w:tc>
              <w:tc>
                <w:tcPr>
                  <w:tcW w:w="4966" w:type="dxa"/>
                  <w:shd w:val="clear" w:color="auto" w:fill="A6A6A6"/>
                </w:tcPr>
                <w:p w:rsidR="000D7462" w:rsidRPr="008F2A3F" w:rsidRDefault="000D7462" w:rsidP="00E73961">
                  <w:pPr>
                    <w:spacing w:after="0" w:line="240" w:lineRule="auto"/>
                    <w:jc w:val="both"/>
                    <w:rPr>
                      <w:i/>
                    </w:rPr>
                  </w:pPr>
                  <w:r w:rsidRPr="008F2A3F">
                    <w:rPr>
                      <w:i/>
                    </w:rPr>
                    <w:t>Informe de supervisión o interventoría</w:t>
                  </w:r>
                </w:p>
                <w:p w:rsidR="000D7462" w:rsidRPr="008F2A3F" w:rsidRDefault="000D7462" w:rsidP="00E73961">
                  <w:pPr>
                    <w:spacing w:after="0" w:line="240" w:lineRule="auto"/>
                    <w:jc w:val="both"/>
                    <w:rPr>
                      <w:i/>
                    </w:rPr>
                  </w:pPr>
                  <w:r w:rsidRPr="008F2A3F">
                    <w:rPr>
                      <w:i/>
                    </w:rPr>
                    <w:t>Conozca el informe del interventor o el supervisor aquí</w:t>
                  </w:r>
                </w:p>
              </w:tc>
            </w:tr>
            <w:tr w:rsidR="00C842C9" w:rsidRPr="008F2A3F" w:rsidTr="003B39AF">
              <w:trPr>
                <w:trHeight w:val="400"/>
              </w:trPr>
              <w:tc>
                <w:tcPr>
                  <w:tcW w:w="3996" w:type="dxa"/>
                  <w:shd w:val="clear" w:color="auto" w:fill="auto"/>
                </w:tcPr>
                <w:p w:rsidR="000D7462" w:rsidRPr="008F2A3F" w:rsidRDefault="000D7462" w:rsidP="00E73961">
                  <w:pPr>
                    <w:jc w:val="both"/>
                    <w:rPr>
                      <w:i/>
                      <w:iCs/>
                    </w:rPr>
                  </w:pPr>
                  <w:r w:rsidRPr="008F2A3F">
                    <w:rPr>
                      <w:i/>
                      <w:iCs/>
                    </w:rPr>
                    <w:t>Durante el año 2019 la ARN formalizó la siguiente cantidad de contratos</w:t>
                  </w:r>
                  <w:r w:rsidR="00D17AD0" w:rsidRPr="008F2A3F">
                    <w:rPr>
                      <w:i/>
                      <w:iCs/>
                    </w:rPr>
                    <w:t xml:space="preserve"> (Reincorporación)</w:t>
                  </w:r>
                  <w:r w:rsidRPr="008F2A3F">
                    <w:rPr>
                      <w:i/>
                      <w:iCs/>
                    </w:rPr>
                    <w:t>:</w:t>
                  </w:r>
                </w:p>
                <w:p w:rsidR="000D7462" w:rsidRPr="008F2A3F" w:rsidRDefault="000D7462" w:rsidP="00E73961">
                  <w:pPr>
                    <w:jc w:val="both"/>
                    <w:rPr>
                      <w:b/>
                      <w:bCs/>
                      <w:i/>
                      <w:iCs/>
                    </w:rPr>
                  </w:pPr>
                  <w:r w:rsidRPr="008F2A3F">
                    <w:rPr>
                      <w:b/>
                      <w:bCs/>
                      <w:i/>
                      <w:iCs/>
                    </w:rPr>
                    <w:t xml:space="preserve">Consejo Nacional de Reincorporación </w:t>
                  </w:r>
                </w:p>
                <w:p w:rsidR="000D7462" w:rsidRPr="008F2A3F" w:rsidRDefault="004408E0" w:rsidP="00E73961">
                  <w:pPr>
                    <w:jc w:val="both"/>
                    <w:rPr>
                      <w:i/>
                      <w:iCs/>
                    </w:rPr>
                  </w:pPr>
                  <w:r w:rsidRPr="008F2A3F">
                    <w:rPr>
                      <w:i/>
                      <w:iCs/>
                    </w:rPr>
                    <w:t>6</w:t>
                  </w:r>
                  <w:r w:rsidR="000D7462" w:rsidRPr="008F2A3F">
                    <w:rPr>
                      <w:i/>
                      <w:iCs/>
                    </w:rPr>
                    <w:t xml:space="preserve"> Profesionales</w:t>
                  </w:r>
                  <w:r w:rsidRPr="008F2A3F">
                    <w:rPr>
                      <w:i/>
                      <w:iCs/>
                    </w:rPr>
                    <w:t xml:space="preserve"> con la aprobación de 7 contratos y 3 personas para apoyo técnico con la aprobación de 3 contratos</w:t>
                  </w:r>
                </w:p>
                <w:p w:rsidR="000D7462" w:rsidRPr="008F2A3F" w:rsidRDefault="000D7462" w:rsidP="00E73961">
                  <w:pPr>
                    <w:jc w:val="both"/>
                    <w:rPr>
                      <w:b/>
                      <w:bCs/>
                      <w:i/>
                      <w:iCs/>
                    </w:rPr>
                  </w:pPr>
                  <w:r w:rsidRPr="008F2A3F">
                    <w:rPr>
                      <w:b/>
                      <w:bCs/>
                      <w:i/>
                      <w:iCs/>
                    </w:rPr>
                    <w:t>Unidad Técnica de Reincorporación</w:t>
                  </w:r>
                </w:p>
                <w:p w:rsidR="000D7462" w:rsidRPr="008F2A3F" w:rsidRDefault="000D7462" w:rsidP="00E73961">
                  <w:pPr>
                    <w:jc w:val="both"/>
                    <w:rPr>
                      <w:i/>
                      <w:iCs/>
                    </w:rPr>
                  </w:pPr>
                  <w:r w:rsidRPr="008F2A3F">
                    <w:rPr>
                      <w:i/>
                      <w:iCs/>
                    </w:rPr>
                    <w:lastRenderedPageBreak/>
                    <w:t>1</w:t>
                  </w:r>
                  <w:r w:rsidR="004408E0" w:rsidRPr="008F2A3F">
                    <w:rPr>
                      <w:i/>
                      <w:iCs/>
                    </w:rPr>
                    <w:t>5</w:t>
                  </w:r>
                  <w:r w:rsidRPr="008F2A3F">
                    <w:rPr>
                      <w:i/>
                      <w:iCs/>
                    </w:rPr>
                    <w:t xml:space="preserve"> Profesionales</w:t>
                  </w:r>
                  <w:r w:rsidR="004408E0" w:rsidRPr="008F2A3F">
                    <w:rPr>
                      <w:i/>
                      <w:iCs/>
                    </w:rPr>
                    <w:t xml:space="preserve"> con la aprobación de 16 contratos.</w:t>
                  </w:r>
                </w:p>
                <w:p w:rsidR="000D7462" w:rsidRPr="008F2A3F" w:rsidRDefault="000D7462" w:rsidP="00E73961">
                  <w:pPr>
                    <w:jc w:val="both"/>
                    <w:rPr>
                      <w:i/>
                      <w:iCs/>
                    </w:rPr>
                  </w:pPr>
                  <w:r w:rsidRPr="008F2A3F">
                    <w:rPr>
                      <w:i/>
                      <w:iCs/>
                    </w:rPr>
                    <w:t>3 Técnico</w:t>
                  </w:r>
                  <w:r w:rsidR="004408E0" w:rsidRPr="008F2A3F">
                    <w:rPr>
                      <w:i/>
                      <w:iCs/>
                    </w:rPr>
                    <w:t>s</w:t>
                  </w:r>
                  <w:r w:rsidRPr="008F2A3F">
                    <w:rPr>
                      <w:i/>
                      <w:iCs/>
                    </w:rPr>
                    <w:t xml:space="preserve"> administrativo</w:t>
                  </w:r>
                  <w:r w:rsidR="004408E0" w:rsidRPr="008F2A3F">
                    <w:rPr>
                      <w:i/>
                      <w:iCs/>
                    </w:rPr>
                    <w:t>s con la aprobación de 3 contratos</w:t>
                  </w:r>
                  <w:r w:rsidRPr="008F2A3F">
                    <w:rPr>
                      <w:i/>
                      <w:iCs/>
                    </w:rPr>
                    <w:t xml:space="preserve"> </w:t>
                  </w:r>
                </w:p>
                <w:p w:rsidR="000D7462" w:rsidRPr="008F2A3F" w:rsidRDefault="000D7462" w:rsidP="00E73961">
                  <w:pPr>
                    <w:jc w:val="both"/>
                    <w:rPr>
                      <w:b/>
                      <w:bCs/>
                      <w:i/>
                      <w:iCs/>
                    </w:rPr>
                  </w:pPr>
                  <w:r w:rsidRPr="008F2A3F">
                    <w:rPr>
                      <w:b/>
                      <w:bCs/>
                      <w:i/>
                      <w:iCs/>
                    </w:rPr>
                    <w:t>Dirección Programática</w:t>
                  </w:r>
                </w:p>
                <w:p w:rsidR="00981D02" w:rsidRPr="008F2A3F" w:rsidRDefault="00981D02" w:rsidP="0068713B">
                  <w:pPr>
                    <w:jc w:val="both"/>
                    <w:rPr>
                      <w:rFonts w:asciiTheme="minorHAnsi" w:hAnsiTheme="minorHAnsi"/>
                      <w:i/>
                      <w:iCs/>
                    </w:rPr>
                  </w:pPr>
                  <w:r w:rsidRPr="008F2A3F">
                    <w:rPr>
                      <w:rFonts w:asciiTheme="minorHAnsi" w:hAnsiTheme="minorHAnsi"/>
                      <w:i/>
                      <w:iCs/>
                    </w:rPr>
                    <w:t>231 facilitadores mediante la aprobación de 300 contratos.</w:t>
                  </w:r>
                </w:p>
                <w:p w:rsidR="00981D02" w:rsidRPr="008F2A3F" w:rsidRDefault="00981D02" w:rsidP="0068713B">
                  <w:pPr>
                    <w:jc w:val="both"/>
                    <w:rPr>
                      <w:rFonts w:asciiTheme="minorHAnsi" w:hAnsiTheme="minorHAnsi"/>
                      <w:i/>
                      <w:iCs/>
                    </w:rPr>
                  </w:pPr>
                  <w:r w:rsidRPr="008F2A3F">
                    <w:rPr>
                      <w:rFonts w:asciiTheme="minorHAnsi" w:hAnsiTheme="minorHAnsi"/>
                      <w:i/>
                      <w:iCs/>
                    </w:rPr>
                    <w:t>29 contratos aprobados para 29 Profesionales Orientadores</w:t>
                  </w:r>
                </w:p>
                <w:p w:rsidR="00981D02" w:rsidRPr="008F2A3F" w:rsidRDefault="00981D02" w:rsidP="0068713B">
                  <w:pPr>
                    <w:jc w:val="both"/>
                    <w:rPr>
                      <w:rFonts w:asciiTheme="minorHAnsi" w:hAnsiTheme="minorHAnsi"/>
                      <w:i/>
                      <w:iCs/>
                    </w:rPr>
                  </w:pPr>
                  <w:r w:rsidRPr="008F2A3F">
                    <w:rPr>
                      <w:rFonts w:asciiTheme="minorHAnsi" w:hAnsiTheme="minorHAnsi"/>
                      <w:i/>
                      <w:iCs/>
                    </w:rPr>
                    <w:t>23 contratos aprobados para 16 Profesionales Orientadores Productivos</w:t>
                  </w:r>
                </w:p>
                <w:p w:rsidR="00981D02" w:rsidRPr="008F2A3F" w:rsidRDefault="00981D02" w:rsidP="0068713B">
                  <w:pPr>
                    <w:jc w:val="both"/>
                    <w:rPr>
                      <w:rFonts w:asciiTheme="minorHAnsi" w:hAnsiTheme="minorHAnsi"/>
                      <w:i/>
                      <w:iCs/>
                    </w:rPr>
                  </w:pPr>
                  <w:r w:rsidRPr="008F2A3F">
                    <w:rPr>
                      <w:rFonts w:asciiTheme="minorHAnsi" w:hAnsiTheme="minorHAnsi"/>
                      <w:i/>
                      <w:iCs/>
                    </w:rPr>
                    <w:t>25 contratos aprobados para 25 Profesionales de Salud</w:t>
                  </w:r>
                </w:p>
                <w:p w:rsidR="000D7462" w:rsidRPr="008F2A3F" w:rsidRDefault="00981D02" w:rsidP="0068713B">
                  <w:r w:rsidRPr="008F2A3F">
                    <w:rPr>
                      <w:rFonts w:asciiTheme="minorHAnsi" w:hAnsiTheme="minorHAnsi"/>
                      <w:i/>
                      <w:iCs/>
                    </w:rPr>
                    <w:t>64 contratos aprobados para 38 Enlaces de Reincorporación.</w:t>
                  </w:r>
                </w:p>
              </w:tc>
              <w:tc>
                <w:tcPr>
                  <w:tcW w:w="4966" w:type="dxa"/>
                  <w:shd w:val="clear" w:color="auto" w:fill="auto"/>
                </w:tcPr>
                <w:p w:rsidR="000D7462" w:rsidRPr="008F2A3F" w:rsidRDefault="000D7462" w:rsidP="00E73961">
                  <w:pPr>
                    <w:jc w:val="both"/>
                  </w:pPr>
                </w:p>
                <w:p w:rsidR="000D7462" w:rsidRPr="008F2A3F" w:rsidRDefault="009B7621" w:rsidP="00E73961">
                  <w:pPr>
                    <w:spacing w:after="0" w:line="240" w:lineRule="auto"/>
                    <w:jc w:val="both"/>
                    <w:rPr>
                      <w:rStyle w:val="Hipervnculo"/>
                      <w:color w:val="auto"/>
                    </w:rPr>
                  </w:pPr>
                  <w:hyperlink r:id="rId78" w:history="1">
                    <w:r w:rsidR="003B39AF" w:rsidRPr="00693E84">
                      <w:rPr>
                        <w:rStyle w:val="Hipervnculo"/>
                      </w:rPr>
                      <w:t>https://www.contratos.gov.co/consultas/inicioConsulta.do</w:t>
                    </w:r>
                  </w:hyperlink>
                </w:p>
                <w:p w:rsidR="00981D02" w:rsidRPr="008F2A3F" w:rsidRDefault="00981D02" w:rsidP="00E73961">
                  <w:pPr>
                    <w:spacing w:after="0" w:line="240" w:lineRule="auto"/>
                    <w:jc w:val="both"/>
                    <w:rPr>
                      <w:rStyle w:val="Hipervnculo"/>
                      <w:color w:val="auto"/>
                    </w:rPr>
                  </w:pPr>
                </w:p>
                <w:p w:rsidR="00981D02" w:rsidRPr="003B39AF" w:rsidRDefault="009B7621" w:rsidP="00981D02">
                  <w:pPr>
                    <w:spacing w:after="0" w:line="240" w:lineRule="auto"/>
                    <w:rPr>
                      <w:sz w:val="24"/>
                      <w:szCs w:val="24"/>
                      <w:u w:val="single"/>
                    </w:rPr>
                  </w:pPr>
                  <w:hyperlink r:id="rId79" w:history="1">
                    <w:r w:rsidR="003B39AF" w:rsidRPr="00693E84">
                      <w:rPr>
                        <w:rStyle w:val="Hipervnculo"/>
                        <w:sz w:val="24"/>
                        <w:szCs w:val="24"/>
                      </w:rPr>
                      <w:t>https://www.colombiacompra.gov.co/secop/busqueda-de-procesos-de-contratacion</w:t>
                    </w:r>
                  </w:hyperlink>
                  <w:r w:rsidR="003B39AF">
                    <w:rPr>
                      <w:rStyle w:val="Hipervnculo"/>
                      <w:color w:val="auto"/>
                      <w:sz w:val="24"/>
                      <w:szCs w:val="24"/>
                    </w:rPr>
                    <w:t xml:space="preserve">   </w:t>
                  </w:r>
                  <w:r w:rsidR="00981D02" w:rsidRPr="008F2A3F">
                    <w:rPr>
                      <w:sz w:val="24"/>
                      <w:szCs w:val="24"/>
                    </w:rPr>
                    <w:t xml:space="preserve"> </w:t>
                  </w:r>
                </w:p>
                <w:p w:rsidR="00981D02" w:rsidRPr="008F2A3F" w:rsidRDefault="00981D02" w:rsidP="00E73961">
                  <w:pPr>
                    <w:spacing w:after="0" w:line="240" w:lineRule="auto"/>
                    <w:jc w:val="both"/>
                    <w:rPr>
                      <w:i/>
                    </w:rPr>
                  </w:pPr>
                </w:p>
              </w:tc>
            </w:tr>
          </w:tbl>
          <w:p w:rsidR="000D7462" w:rsidRPr="008F2A3F" w:rsidRDefault="000D7462" w:rsidP="00E73961">
            <w:pPr>
              <w:spacing w:after="0" w:line="240" w:lineRule="auto"/>
              <w:jc w:val="both"/>
              <w:rPr>
                <w:szCs w:val="24"/>
              </w:rPr>
            </w:pPr>
          </w:p>
          <w:p w:rsidR="000D7462" w:rsidRPr="008F2A3F" w:rsidRDefault="000D7462" w:rsidP="00E73961">
            <w:pPr>
              <w:spacing w:after="0" w:line="240" w:lineRule="auto"/>
              <w:jc w:val="both"/>
              <w:rPr>
                <w:szCs w:val="24"/>
              </w:rPr>
            </w:pPr>
          </w:p>
        </w:tc>
      </w:tr>
      <w:tr w:rsidR="00C842C9" w:rsidRPr="008F2A3F" w:rsidTr="008474AE">
        <w:trPr>
          <w:trHeight w:val="1420"/>
        </w:trPr>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E73961">
            <w:pPr>
              <w:spacing w:after="0" w:line="240" w:lineRule="auto"/>
              <w:rPr>
                <w:color w:val="3366CC"/>
                <w:sz w:val="32"/>
                <w:szCs w:val="32"/>
                <w:u w:val="single"/>
              </w:rPr>
            </w:pPr>
            <w:r w:rsidRPr="00307ADC">
              <w:rPr>
                <w:color w:val="3366CC"/>
                <w:sz w:val="32"/>
                <w:szCs w:val="32"/>
                <w:u w:val="single"/>
              </w:rPr>
              <w:lastRenderedPageBreak/>
              <w:t>¿En qué territorios se desarrolló la acción?</w:t>
            </w:r>
            <w:r w:rsidRPr="00307ADC">
              <w:rPr>
                <w:noProof/>
                <w:color w:val="3366CC"/>
                <w:sz w:val="32"/>
                <w:szCs w:val="32"/>
                <w:u w:val="single"/>
                <w:lang w:val="es-419" w:eastAsia="es-419"/>
              </w:rPr>
              <w:drawing>
                <wp:anchor distT="0" distB="0" distL="114300" distR="114300" simplePos="0" relativeHeight="251733504" behindDoc="0" locked="0" layoutInCell="1" allowOverlap="1" wp14:anchorId="74C29ED8" wp14:editId="6954B9A8">
                  <wp:simplePos x="0" y="0"/>
                  <wp:positionH relativeFrom="column">
                    <wp:posOffset>-85725</wp:posOffset>
                  </wp:positionH>
                  <wp:positionV relativeFrom="paragraph">
                    <wp:posOffset>8255</wp:posOffset>
                  </wp:positionV>
                  <wp:extent cx="938530" cy="842645"/>
                  <wp:effectExtent l="0" t="0" r="0" b="0"/>
                  <wp:wrapSquare wrapText="bothSides"/>
                  <wp:docPr id="14794" name="Imagen 1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i/>
                <w:sz w:val="24"/>
                <w:szCs w:val="24"/>
              </w:rPr>
            </w:pPr>
            <w:r w:rsidRPr="008F2A3F">
              <w:t>Las acciones se han desarrollado en los 24 antiguos Espacios Territoriales de Capacitación y Reincorporación donde se encuentran ubicados los EX INTEGRANTES FARC-EP, así como en cualquier parte del país donde se encuentre ubicada la población beneficiaria.</w:t>
            </w:r>
          </w:p>
        </w:tc>
      </w:tr>
    </w:tbl>
    <w:p w:rsidR="00A8490F" w:rsidRPr="008F2A3F" w:rsidRDefault="00A8490F" w:rsidP="00A8490F">
      <w:pPr>
        <w:spacing w:line="240" w:lineRule="auto"/>
        <w:ind w:left="708"/>
        <w:jc w:val="center"/>
        <w:rPr>
          <w:rFonts w:cs="Arial"/>
          <w:sz w:val="24"/>
          <w:szCs w:val="24"/>
          <w:lang w:val="es-ES_tradnl"/>
        </w:rPr>
      </w:pPr>
    </w:p>
    <w:p w:rsidR="000D7462" w:rsidRDefault="000D7462"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307ADC" w:rsidRPr="00106CD1" w:rsidRDefault="00307ADC" w:rsidP="00307ADC">
      <w:pPr>
        <w:spacing w:line="240" w:lineRule="auto"/>
        <w:rPr>
          <w:b/>
          <w:color w:val="3366CC"/>
          <w:sz w:val="52"/>
          <w:szCs w:val="36"/>
          <w:lang w:val="es-ES_tradnl"/>
        </w:rPr>
      </w:pPr>
      <w:bookmarkStart w:id="2" w:name="ANEXO1"/>
      <w:bookmarkEnd w:id="2"/>
      <w:r w:rsidRPr="00106CD1">
        <w:rPr>
          <w:color w:val="3366CC"/>
          <w:sz w:val="52"/>
          <w:szCs w:val="52"/>
          <w:lang w:val="es-ES_tradnl"/>
        </w:rPr>
        <w:t>¿Cómo puede hacer</w:t>
      </w:r>
      <w:r w:rsidRPr="00106CD1">
        <w:rPr>
          <w:b/>
          <w:color w:val="3366CC"/>
          <w:sz w:val="48"/>
          <w:szCs w:val="48"/>
          <w:u w:val="thick"/>
          <w:lang w:val="es-ES_tradnl"/>
        </w:rPr>
        <w:t xml:space="preserve"> </w:t>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72"/>
          <w:szCs w:val="72"/>
          <w:u w:val="thick"/>
          <w:lang w:val="es-ES_tradnl"/>
        </w:rPr>
        <w:t>actos irregulares?</w:t>
      </w:r>
    </w:p>
    <w:p w:rsidR="00307ADC" w:rsidRPr="0065327C" w:rsidRDefault="00307ADC" w:rsidP="00307ADC">
      <w:pPr>
        <w:spacing w:line="240" w:lineRule="auto"/>
        <w:rPr>
          <w:lang w:val="es-ES_tradnl"/>
        </w:rPr>
      </w:pPr>
      <w:r w:rsidRPr="0065327C">
        <w:rPr>
          <w:lang w:val="es-ES_tradnl"/>
        </w:rPr>
        <w:t>Lo invitamos a hacer control social a las actuaciones de las entidades y la de los servidores públicos. A continuación,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222"/>
        <w:gridCol w:w="4697"/>
      </w:tblGrid>
      <w:tr w:rsidR="00307ADC" w:rsidRPr="0065327C" w:rsidTr="00EC0339">
        <w:trPr>
          <w:trHeight w:val="3741"/>
        </w:trPr>
        <w:tc>
          <w:tcPr>
            <w:tcW w:w="2367"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1.</w:t>
            </w:r>
          </w:p>
          <w:p w:rsidR="00307ADC" w:rsidRPr="0065327C" w:rsidRDefault="00307ADC" w:rsidP="00EC0339">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manejo irregular de los bienes o fondos públicos</w:t>
            </w:r>
            <w:r w:rsidRPr="0065327C">
              <w:rPr>
                <w:lang w:val="es-ES_tradnl"/>
              </w:rPr>
              <w:t xml:space="preserve"> ante este ente de Control Fiscal. Si desea hacerlo, podrá contactarse al PBX 518 7000 Ext. 21014 – 21015 en Bogotá o escribir al correo </w:t>
            </w:r>
            <w:hyperlink r:id="rId80" w:history="1">
              <w:r w:rsidRPr="0065327C">
                <w:rPr>
                  <w:lang w:val="es-ES_tradnl"/>
                </w:rPr>
                <w:t>cgr@contraloria.gov.co</w:t>
              </w:r>
            </w:hyperlink>
            <w:r w:rsidRPr="0065327C">
              <w:rPr>
                <w:lang w:val="es-ES_tradnl"/>
              </w:rPr>
              <w:t xml:space="preserve">. Para mayor información lo invitamos a visitar la siguiente página: </w:t>
            </w:r>
            <w:hyperlink r:id="rId81"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2.</w:t>
            </w:r>
          </w:p>
          <w:p w:rsidR="00307ADC" w:rsidRDefault="00307ADC" w:rsidP="00EC0339">
            <w:pPr>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82"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hyperlink r:id="rId83" w:tgtFrame="_blank" w:history="1">
              <w:r>
                <w:rPr>
                  <w:rStyle w:val="Hipervnculo"/>
                  <w:lang w:val="es-ES_tradnl"/>
                </w:rPr>
                <w:t>quejas@procuraduria.gov.co</w:t>
              </w:r>
            </w:hyperlink>
            <w:r>
              <w:rPr>
                <w:rStyle w:val="Hipervnculo"/>
                <w:lang w:val="es-ES_tradnl"/>
              </w:rPr>
              <w:t xml:space="preserve"> o </w:t>
            </w:r>
          </w:p>
          <w:p w:rsidR="00307ADC" w:rsidRDefault="00307ADC" w:rsidP="00EC0339">
            <w:pPr>
              <w:rPr>
                <w:rStyle w:val="Hipervnculo"/>
              </w:rPr>
            </w:pPr>
            <w:r>
              <w:rPr>
                <w:lang w:val="es-ES_tradnl"/>
              </w:rPr>
              <w:t>Línea gratuita nacional:</w:t>
            </w:r>
            <w:r>
              <w:rPr>
                <w:rStyle w:val="Hipervnculo"/>
                <w:lang w:val="es-ES_tradnl"/>
              </w:rPr>
              <w:t xml:space="preserve"> </w:t>
            </w:r>
            <w:hyperlink r:id="rId84" w:history="1">
              <w:r>
                <w:rPr>
                  <w:rStyle w:val="Hipervnculo"/>
                  <w:lang w:val="es-ES_tradnl"/>
                </w:rPr>
                <w:t>01 8000 940 808</w:t>
              </w:r>
            </w:hyperlink>
          </w:p>
          <w:p w:rsidR="00307ADC" w:rsidRPr="0065327C" w:rsidRDefault="00307ADC" w:rsidP="00EC0339">
            <w:pPr>
              <w:spacing w:after="0" w:line="240" w:lineRule="auto"/>
              <w:jc w:val="center"/>
              <w:rPr>
                <w:lang w:val="es-ES_tradnl"/>
              </w:rPr>
            </w:pPr>
          </w:p>
        </w:tc>
      </w:tr>
      <w:tr w:rsidR="00307ADC" w:rsidRPr="0065327C" w:rsidTr="00EC0339">
        <w:trPr>
          <w:trHeight w:val="3156"/>
        </w:trPr>
        <w:tc>
          <w:tcPr>
            <w:tcW w:w="2367"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3.</w:t>
            </w:r>
          </w:p>
          <w:p w:rsidR="00307ADC" w:rsidRPr="0065327C" w:rsidRDefault="00307ADC" w:rsidP="00EC0339">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2633"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4.</w:t>
            </w:r>
          </w:p>
          <w:p w:rsidR="00307ADC" w:rsidRDefault="00307ADC" w:rsidP="00EC0339">
            <w:pPr>
              <w:spacing w:after="0" w:line="240" w:lineRule="auto"/>
              <w:jc w:val="center"/>
            </w:pPr>
            <w:r w:rsidRPr="0065327C">
              <w:rPr>
                <w:lang w:val="es-ES_tradnl"/>
              </w:rPr>
              <w:t xml:space="preserve">Mecanismos de la entidad para ponerse en contacto: </w:t>
            </w:r>
            <w:hyperlink r:id="rId85" w:history="1">
              <w:r w:rsidRPr="00F07C30">
                <w:rPr>
                  <w:rStyle w:val="Hipervnculo"/>
                </w:rPr>
                <w:t>Atencion@reincorporacion.gov.co</w:t>
              </w:r>
            </w:hyperlink>
          </w:p>
          <w:p w:rsidR="00307ADC" w:rsidRPr="0065327C" w:rsidRDefault="00307ADC" w:rsidP="00EC0339">
            <w:pPr>
              <w:spacing w:after="0" w:line="240" w:lineRule="auto"/>
              <w:jc w:val="center"/>
              <w:rPr>
                <w:lang w:val="es-ES_tradnl"/>
              </w:rPr>
            </w:pPr>
            <w:r>
              <w:t xml:space="preserve">PBX: </w:t>
            </w:r>
            <w:r w:rsidRPr="001F1C18">
              <w:t>4430020</w:t>
            </w:r>
          </w:p>
        </w:tc>
      </w:tr>
    </w:tbl>
    <w:p w:rsidR="001948EB" w:rsidRPr="008F2A3F" w:rsidRDefault="001948EB" w:rsidP="00307ADC">
      <w:pPr>
        <w:spacing w:line="240" w:lineRule="auto"/>
        <w:rPr>
          <w:rFonts w:cstheme="minorHAnsi"/>
        </w:rPr>
      </w:pPr>
    </w:p>
    <w:sectPr w:rsidR="001948EB" w:rsidRPr="008F2A3F" w:rsidSect="00A9393F">
      <w:headerReference w:type="even" r:id="rId86"/>
      <w:headerReference w:type="default" r:id="rId87"/>
      <w:footerReference w:type="default" r:id="rId88"/>
      <w:pgSz w:w="12240" w:h="15840"/>
      <w:pgMar w:top="993" w:right="1701" w:bottom="568"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342B0" w16cid:durableId="221C417E"/>
  <w16cid:commentId w16cid:paraId="38D9796B" w16cid:durableId="221C40FF"/>
  <w16cid:commentId w16cid:paraId="0A13DF35" w16cid:durableId="221C4100"/>
  <w16cid:commentId w16cid:paraId="3766A5DB" w16cid:durableId="221C4101"/>
  <w16cid:commentId w16cid:paraId="77F5A5D6" w16cid:durableId="221C4102"/>
  <w16cid:commentId w16cid:paraId="0119833E" w16cid:durableId="221C43C6"/>
  <w16cid:commentId w16cid:paraId="76130495" w16cid:durableId="221C4416"/>
  <w16cid:commentId w16cid:paraId="25E7F66F" w16cid:durableId="221C4103"/>
  <w16cid:commentId w16cid:paraId="5FCA7324" w16cid:durableId="221C4104"/>
  <w16cid:commentId w16cid:paraId="6FB26CCF" w16cid:durableId="221C47C3"/>
  <w16cid:commentId w16cid:paraId="55CA8440" w16cid:durableId="221C4803"/>
  <w16cid:commentId w16cid:paraId="49360316" w16cid:durableId="221C4841"/>
  <w16cid:commentId w16cid:paraId="5905AE65" w16cid:durableId="221C4909"/>
  <w16cid:commentId w16cid:paraId="560271DD" w16cid:durableId="221C4AAD"/>
  <w16cid:commentId w16cid:paraId="580BE8A5" w16cid:durableId="221C4ADC"/>
  <w16cid:commentId w16cid:paraId="2454ABC0" w16cid:durableId="221C4D62"/>
  <w16cid:commentId w16cid:paraId="74B00876" w16cid:durableId="221C4105"/>
  <w16cid:commentId w16cid:paraId="204195A6" w16cid:durableId="221C4106"/>
  <w16cid:commentId w16cid:paraId="0F16C1AC" w16cid:durableId="221C4107"/>
  <w16cid:commentId w16cid:paraId="4D0211C5" w16cid:durableId="221C53FE"/>
  <w16cid:commentId w16cid:paraId="16E79E95" w16cid:durableId="221C5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21" w:rsidRDefault="009B7621" w:rsidP="00DB4824">
      <w:pPr>
        <w:spacing w:after="0" w:line="240" w:lineRule="auto"/>
      </w:pPr>
      <w:r>
        <w:separator/>
      </w:r>
    </w:p>
  </w:endnote>
  <w:endnote w:type="continuationSeparator" w:id="0">
    <w:p w:rsidR="009B7621" w:rsidRDefault="009B7621"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Std Book">
    <w:altName w:val="Arial"/>
    <w:panose1 w:val="00000000000000000000"/>
    <w:charset w:val="00"/>
    <w:family w:val="swiss"/>
    <w:notTrueType/>
    <w:pitch w:val="variable"/>
    <w:sig w:usb0="00000003"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94" w:rsidRDefault="00755994" w:rsidP="00106CD1">
    <w:pPr>
      <w:pStyle w:val="Piedepgina"/>
      <w:jc w:val="right"/>
    </w:pPr>
    <w:r w:rsidRPr="00282D54">
      <w:rPr>
        <w:noProof/>
        <w:lang w:val="es-419" w:eastAsia="es-419"/>
      </w:rPr>
      <w:drawing>
        <wp:inline distT="0" distB="0" distL="0" distR="0" wp14:anchorId="20DB4DAC" wp14:editId="183F9488">
          <wp:extent cx="1809750" cy="380699"/>
          <wp:effectExtent l="0" t="0" r="0" b="635"/>
          <wp:docPr id="45" name="Imagen 45"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21" w:rsidRDefault="009B7621" w:rsidP="00DB4824">
      <w:pPr>
        <w:spacing w:after="0" w:line="240" w:lineRule="auto"/>
      </w:pPr>
      <w:r>
        <w:separator/>
      </w:r>
    </w:p>
  </w:footnote>
  <w:footnote w:type="continuationSeparator" w:id="0">
    <w:p w:rsidR="009B7621" w:rsidRDefault="009B7621" w:rsidP="00DB4824">
      <w:pPr>
        <w:spacing w:after="0" w:line="240" w:lineRule="auto"/>
      </w:pPr>
      <w:r>
        <w:continuationSeparator/>
      </w:r>
    </w:p>
  </w:footnote>
  <w:footnote w:id="1">
    <w:p w:rsidR="00755994" w:rsidRPr="00845800" w:rsidRDefault="00755994">
      <w:pPr>
        <w:pStyle w:val="Textonotapie"/>
        <w:rPr>
          <w:lang w:val="es-419"/>
        </w:rPr>
      </w:pPr>
      <w:r>
        <w:rPr>
          <w:rStyle w:val="Refdenotaalpie"/>
        </w:rPr>
        <w:footnoteRef/>
      </w:r>
      <w:r>
        <w:t xml:space="preserve"> </w:t>
      </w:r>
      <w:proofErr w:type="spellStart"/>
      <w:r>
        <w:rPr>
          <w:lang w:val="es-419"/>
        </w:rPr>
        <w:t>ACPM</w:t>
      </w:r>
      <w:bookmarkStart w:id="0" w:name="_GoBack"/>
      <w:bookmarkEnd w:id="0"/>
      <w:proofErr w:type="spellEnd"/>
      <w:r>
        <w:rPr>
          <w:lang w:val="es-419"/>
        </w:rPr>
        <w:t xml:space="preserve">: </w:t>
      </w:r>
      <w:r w:rsidRPr="002842A5">
        <w:rPr>
          <w:sz w:val="16"/>
          <w:lang w:val="es-ES"/>
        </w:rPr>
        <w:t>Aceite Combustible Para Motores</w:t>
      </w:r>
    </w:p>
  </w:footnote>
  <w:footnote w:id="2">
    <w:p w:rsidR="00755994" w:rsidRPr="002842A5" w:rsidRDefault="00755994">
      <w:pPr>
        <w:pStyle w:val="Textonotapie"/>
        <w:rPr>
          <w:lang w:val="es-419"/>
        </w:rPr>
      </w:pPr>
      <w:r w:rsidRPr="002842A5">
        <w:rPr>
          <w:rStyle w:val="Refdenotaalpie"/>
          <w:sz w:val="16"/>
        </w:rPr>
        <w:footnoteRef/>
      </w:r>
      <w:r w:rsidRPr="002842A5">
        <w:rPr>
          <w:sz w:val="16"/>
        </w:rPr>
        <w:t xml:space="preserve"> </w:t>
      </w:r>
      <w:proofErr w:type="spellStart"/>
      <w:r w:rsidRPr="002842A5">
        <w:rPr>
          <w:sz w:val="16"/>
          <w:lang w:val="es-419"/>
        </w:rPr>
        <w:t>ACPM</w:t>
      </w:r>
      <w:proofErr w:type="spellEnd"/>
      <w:r w:rsidRPr="002842A5">
        <w:rPr>
          <w:sz w:val="16"/>
          <w:lang w:val="es-419"/>
        </w:rPr>
        <w:t xml:space="preserve">: </w:t>
      </w:r>
      <w:r w:rsidRPr="002842A5">
        <w:rPr>
          <w:sz w:val="16"/>
          <w:lang w:val="es-ES"/>
        </w:rPr>
        <w:t>Aceite Combustible Para Motores</w:t>
      </w:r>
    </w:p>
  </w:footnote>
  <w:footnote w:id="3">
    <w:p w:rsidR="00755994" w:rsidRPr="002842A5" w:rsidRDefault="00755994">
      <w:pPr>
        <w:pStyle w:val="Textonotapie"/>
        <w:rPr>
          <w:lang w:val="es-419"/>
        </w:rPr>
      </w:pPr>
      <w:r w:rsidRPr="003F399F">
        <w:rPr>
          <w:sz w:val="16"/>
          <w:lang w:val="es-ES"/>
        </w:rPr>
        <w:footnoteRef/>
      </w:r>
      <w:r w:rsidRPr="003F399F">
        <w:rPr>
          <w:sz w:val="16"/>
          <w:lang w:val="es-ES"/>
        </w:rPr>
        <w:t xml:space="preserve"> </w:t>
      </w:r>
      <w:proofErr w:type="spellStart"/>
      <w:r w:rsidRPr="003F399F">
        <w:rPr>
          <w:sz w:val="16"/>
          <w:lang w:val="es-ES"/>
        </w:rPr>
        <w:t>KVD</w:t>
      </w:r>
      <w:proofErr w:type="spellEnd"/>
      <w:r w:rsidRPr="003F399F">
        <w:rPr>
          <w:sz w:val="16"/>
          <w:lang w:val="es-ES"/>
        </w:rPr>
        <w:t xml:space="preserve">: </w:t>
      </w:r>
      <w:proofErr w:type="spellStart"/>
      <w:r w:rsidRPr="003F399F">
        <w:rPr>
          <w:sz w:val="16"/>
          <w:lang w:val="es-ES"/>
        </w:rPr>
        <w:t>Kiosko</w:t>
      </w:r>
      <w:proofErr w:type="spellEnd"/>
      <w:r w:rsidRPr="003F399F">
        <w:rPr>
          <w:sz w:val="16"/>
          <w:lang w:val="es-ES"/>
        </w:rPr>
        <w:t xml:space="preserve"> vive digital</w:t>
      </w:r>
    </w:p>
  </w:footnote>
  <w:footnote w:id="4">
    <w:p w:rsidR="00755994" w:rsidRPr="00707E0D" w:rsidRDefault="00755994" w:rsidP="00125EBF">
      <w:pPr>
        <w:pStyle w:val="Textonotapie"/>
        <w:rPr>
          <w:lang w:val="es-ES"/>
        </w:rPr>
      </w:pPr>
      <w:r w:rsidRPr="00AB3A21">
        <w:rPr>
          <w:rStyle w:val="Refdenotaalpie"/>
          <w:sz w:val="16"/>
        </w:rPr>
        <w:footnoteRef/>
      </w:r>
      <w:r w:rsidRPr="00AB3A21">
        <w:rPr>
          <w:sz w:val="16"/>
        </w:rPr>
        <w:t xml:space="preserve"> </w:t>
      </w:r>
      <w:r w:rsidRPr="00AB3A21">
        <w:rPr>
          <w:sz w:val="16"/>
          <w:lang w:val="es-ES"/>
        </w:rPr>
        <w:t xml:space="preserve">Los valores reportados corresponden a los notificados por parte del Fondo Colombia en Paz al 31 de diciembre de 2019. </w:t>
      </w:r>
    </w:p>
  </w:footnote>
  <w:footnote w:id="5">
    <w:p w:rsidR="00755994" w:rsidRPr="00617C11" w:rsidRDefault="00755994">
      <w:pPr>
        <w:pStyle w:val="Textonotapie"/>
        <w:rPr>
          <w:lang w:val="es-419"/>
        </w:rPr>
      </w:pPr>
      <w:r>
        <w:rPr>
          <w:rStyle w:val="Refdenotaalpie"/>
        </w:rPr>
        <w:footnoteRef/>
      </w:r>
      <w:r>
        <w:t xml:space="preserve"> </w:t>
      </w:r>
      <w:proofErr w:type="spellStart"/>
      <w:r w:rsidRPr="00617C11">
        <w:rPr>
          <w:sz w:val="16"/>
          <w:lang w:val="es-419"/>
        </w:rPr>
        <w:t>OACP</w:t>
      </w:r>
      <w:proofErr w:type="spellEnd"/>
      <w:r w:rsidRPr="00617C11">
        <w:rPr>
          <w:sz w:val="16"/>
          <w:lang w:val="es-419"/>
        </w:rPr>
        <w:t>: Oficina del Alto Comisionado para la Paz</w:t>
      </w:r>
    </w:p>
  </w:footnote>
  <w:footnote w:id="6">
    <w:p w:rsidR="00755994" w:rsidRPr="003F399F" w:rsidRDefault="00755994" w:rsidP="00B71814">
      <w:pPr>
        <w:pStyle w:val="Textonotapie"/>
        <w:rPr>
          <w:sz w:val="16"/>
          <w:szCs w:val="16"/>
          <w:lang w:val="es-419"/>
        </w:rPr>
      </w:pPr>
      <w:r w:rsidRPr="003F399F">
        <w:rPr>
          <w:rStyle w:val="Refdenotaalpie"/>
          <w:sz w:val="16"/>
          <w:szCs w:val="16"/>
        </w:rPr>
        <w:footnoteRef/>
      </w:r>
      <w:r w:rsidRPr="003F399F">
        <w:rPr>
          <w:sz w:val="16"/>
          <w:szCs w:val="16"/>
        </w:rPr>
        <w:t xml:space="preserve"> </w:t>
      </w:r>
      <w:proofErr w:type="spellStart"/>
      <w:r w:rsidRPr="003F399F">
        <w:rPr>
          <w:sz w:val="16"/>
          <w:szCs w:val="16"/>
          <w:lang w:val="es-419"/>
        </w:rPr>
        <w:t>CNR</w:t>
      </w:r>
      <w:proofErr w:type="spellEnd"/>
      <w:r w:rsidRPr="003F399F">
        <w:rPr>
          <w:sz w:val="16"/>
          <w:szCs w:val="16"/>
          <w:lang w:val="es-419"/>
        </w:rPr>
        <w:t xml:space="preserve">: Concejo Nacional de Reincorporación </w:t>
      </w:r>
    </w:p>
  </w:footnote>
  <w:footnote w:id="7">
    <w:p w:rsidR="00755994" w:rsidRPr="00F21008" w:rsidRDefault="00755994">
      <w:pPr>
        <w:pStyle w:val="Textonotapie"/>
        <w:rPr>
          <w:lang w:val="es-419"/>
        </w:rPr>
      </w:pPr>
      <w:r w:rsidRPr="00F21008">
        <w:rPr>
          <w:rStyle w:val="Refdenotaalpie"/>
          <w:sz w:val="16"/>
        </w:rPr>
        <w:footnoteRef/>
      </w:r>
      <w:r w:rsidRPr="00F21008">
        <w:rPr>
          <w:sz w:val="16"/>
        </w:rPr>
        <w:t xml:space="preserve"> </w:t>
      </w:r>
      <w:proofErr w:type="spellStart"/>
      <w:r w:rsidRPr="00F21008">
        <w:rPr>
          <w:sz w:val="16"/>
          <w:lang w:val="es-419"/>
        </w:rPr>
        <w:t>BEPS</w:t>
      </w:r>
      <w:proofErr w:type="spellEnd"/>
      <w:r w:rsidRPr="00F21008">
        <w:rPr>
          <w:sz w:val="16"/>
          <w:lang w:val="es-419"/>
        </w:rPr>
        <w:t>: Beneficios Económicos Periódicos</w:t>
      </w:r>
    </w:p>
  </w:footnote>
  <w:footnote w:id="8">
    <w:p w:rsidR="00755994" w:rsidRPr="003712ED" w:rsidRDefault="00755994">
      <w:pPr>
        <w:pStyle w:val="Textonotapie"/>
        <w:rPr>
          <w:lang w:val="es-419"/>
        </w:rPr>
      </w:pPr>
      <w:r w:rsidRPr="003712ED">
        <w:rPr>
          <w:rStyle w:val="Refdenotaalpie"/>
          <w:sz w:val="16"/>
        </w:rPr>
        <w:footnoteRef/>
      </w:r>
      <w:r w:rsidRPr="003712ED">
        <w:rPr>
          <w:sz w:val="16"/>
        </w:rPr>
        <w:t xml:space="preserve"> </w:t>
      </w:r>
      <w:proofErr w:type="spellStart"/>
      <w:r w:rsidRPr="003712ED">
        <w:rPr>
          <w:sz w:val="16"/>
          <w:lang w:val="es-419"/>
        </w:rPr>
        <w:t>PNUD</w:t>
      </w:r>
      <w:proofErr w:type="spellEnd"/>
      <w:r w:rsidRPr="003712ED">
        <w:rPr>
          <w:sz w:val="16"/>
          <w:lang w:val="es-419"/>
        </w:rPr>
        <w:t>: Programa Naciones Unidas para el Desarrollo</w:t>
      </w:r>
    </w:p>
  </w:footnote>
  <w:footnote w:id="9">
    <w:p w:rsidR="00755994" w:rsidRPr="003434BB" w:rsidRDefault="00755994">
      <w:pPr>
        <w:pStyle w:val="Textonotapie"/>
        <w:rPr>
          <w:lang w:val="es-419"/>
        </w:rPr>
      </w:pPr>
      <w:r w:rsidRPr="00755994">
        <w:rPr>
          <w:rStyle w:val="Refdenotaalpie"/>
          <w:sz w:val="16"/>
        </w:rPr>
        <w:footnoteRef/>
      </w:r>
      <w:r w:rsidRPr="00755994">
        <w:rPr>
          <w:sz w:val="16"/>
        </w:rPr>
        <w:t xml:space="preserve"> </w:t>
      </w:r>
      <w:proofErr w:type="spellStart"/>
      <w:r w:rsidRPr="00755994">
        <w:rPr>
          <w:sz w:val="16"/>
          <w:lang w:val="es-419"/>
        </w:rPr>
        <w:t>UNAD</w:t>
      </w:r>
      <w:proofErr w:type="spellEnd"/>
      <w:r w:rsidRPr="00755994">
        <w:rPr>
          <w:sz w:val="16"/>
          <w:lang w:val="es-419"/>
        </w:rPr>
        <w:t>: Universidad Nacional Abierta y a Distancia</w:t>
      </w:r>
    </w:p>
  </w:footnote>
  <w:footnote w:id="10">
    <w:p w:rsidR="00755994" w:rsidRPr="003D2B40" w:rsidRDefault="00755994">
      <w:pPr>
        <w:pStyle w:val="Textonotapie"/>
        <w:rPr>
          <w:lang w:val="es-419"/>
        </w:rPr>
      </w:pPr>
      <w:r w:rsidRPr="003D2B40">
        <w:rPr>
          <w:rStyle w:val="Refdenotaalpie"/>
          <w:sz w:val="16"/>
        </w:rPr>
        <w:footnoteRef/>
      </w:r>
      <w:r w:rsidRPr="003D2B40">
        <w:rPr>
          <w:sz w:val="16"/>
        </w:rPr>
        <w:t xml:space="preserve"> </w:t>
      </w:r>
      <w:proofErr w:type="spellStart"/>
      <w:r w:rsidRPr="003D2B40">
        <w:rPr>
          <w:sz w:val="16"/>
          <w:lang w:val="es-419"/>
        </w:rPr>
        <w:t>OACP</w:t>
      </w:r>
      <w:proofErr w:type="spellEnd"/>
      <w:r w:rsidRPr="003D2B40">
        <w:rPr>
          <w:sz w:val="16"/>
          <w:lang w:val="es-419"/>
        </w:rPr>
        <w:t>: Oficina del Alto Comisionado para la Paz</w:t>
      </w:r>
    </w:p>
  </w:footnote>
  <w:footnote w:id="11">
    <w:p w:rsidR="00755994" w:rsidRPr="003D2B40" w:rsidRDefault="00755994">
      <w:pPr>
        <w:pStyle w:val="Textonotapie"/>
        <w:rPr>
          <w:lang w:val="es-419"/>
        </w:rPr>
      </w:pPr>
      <w:r w:rsidRPr="00C842C9">
        <w:rPr>
          <w:rStyle w:val="Refdenotaalpie"/>
          <w:sz w:val="16"/>
        </w:rPr>
        <w:footnoteRef/>
      </w:r>
      <w:r w:rsidRPr="00C842C9">
        <w:rPr>
          <w:sz w:val="16"/>
        </w:rPr>
        <w:t xml:space="preserve"> </w:t>
      </w:r>
      <w:proofErr w:type="spellStart"/>
      <w:r w:rsidRPr="00C842C9">
        <w:rPr>
          <w:sz w:val="16"/>
          <w:lang w:val="es-419"/>
        </w:rPr>
        <w:t>ICBF</w:t>
      </w:r>
      <w:proofErr w:type="spellEnd"/>
      <w:r w:rsidRPr="00C842C9">
        <w:rPr>
          <w:sz w:val="16"/>
          <w:lang w:val="es-419"/>
        </w:rPr>
        <w:t>: Instituto Colombiano de Bienestar Familiar</w:t>
      </w:r>
    </w:p>
  </w:footnote>
  <w:footnote w:id="12">
    <w:p w:rsidR="00755994" w:rsidRPr="00B62FD6" w:rsidRDefault="00755994">
      <w:pPr>
        <w:pStyle w:val="Textonotapie"/>
        <w:rPr>
          <w:lang w:val="es-419"/>
        </w:rPr>
      </w:pPr>
      <w:r w:rsidRPr="00B62FD6">
        <w:rPr>
          <w:rStyle w:val="Refdenotaalpie"/>
          <w:sz w:val="16"/>
        </w:rPr>
        <w:footnoteRef/>
      </w:r>
      <w:r w:rsidRPr="00B62FD6">
        <w:rPr>
          <w:sz w:val="16"/>
        </w:rPr>
        <w:t xml:space="preserve"> </w:t>
      </w:r>
      <w:proofErr w:type="spellStart"/>
      <w:r w:rsidRPr="00B62FD6">
        <w:rPr>
          <w:sz w:val="16"/>
          <w:lang w:val="es-419"/>
        </w:rPr>
        <w:t>PNUD</w:t>
      </w:r>
      <w:proofErr w:type="spellEnd"/>
      <w:r w:rsidRPr="00B62FD6">
        <w:rPr>
          <w:sz w:val="16"/>
          <w:lang w:val="es-419"/>
        </w:rPr>
        <w:t>: Programa de las Naciones Unidas para 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94" w:rsidRDefault="00755994" w:rsidP="00E16595">
    <w:pPr>
      <w:pStyle w:val="Encabezado"/>
    </w:pPr>
    <w:r>
      <w:rPr>
        <w:lang w:val="es-ES"/>
      </w:rPr>
      <w:t>[Escriba texto]</w:t>
    </w:r>
    <w:r>
      <w:rPr>
        <w:lang w:val="es-ES"/>
      </w:rPr>
      <w:tab/>
      <w:t>[Escriba texto]</w:t>
    </w:r>
    <w:r>
      <w:rPr>
        <w:lang w:val="es-ES"/>
      </w:rPr>
      <w:tab/>
      <w:t>[Escriba texto]</w:t>
    </w:r>
  </w:p>
  <w:p w:rsidR="00755994" w:rsidRDefault="007559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94" w:rsidRPr="003073D1" w:rsidRDefault="00755994" w:rsidP="00540B1A">
    <w:pPr>
      <w:pStyle w:val="Encabezado"/>
      <w:ind w:left="-993"/>
      <w:rPr>
        <w:rFonts w:ascii="Arial" w:hAnsi="Arial" w:cs="Arial"/>
        <w:b/>
        <w:color w:val="7F7F7F"/>
        <w:sz w:val="16"/>
        <w:szCs w:val="16"/>
      </w:rPr>
    </w:pPr>
    <w:r w:rsidRPr="00106CD1">
      <w:rPr>
        <w:b/>
        <w:noProof/>
        <w:color w:val="3366CC"/>
        <w:lang w:val="es-419" w:eastAsia="es-419"/>
      </w:rPr>
      <mc:AlternateContent>
        <mc:Choice Requires="wps">
          <w:drawing>
            <wp:anchor distT="4294967295" distB="4294967295" distL="114300" distR="114300" simplePos="0" relativeHeight="251657728" behindDoc="0" locked="0" layoutInCell="1" allowOverlap="1" wp14:anchorId="04087974" wp14:editId="542815DB">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C02832"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1D"/>
    <w:multiLevelType w:val="hybridMultilevel"/>
    <w:tmpl w:val="3A145E6C"/>
    <w:lvl w:ilvl="0" w:tplc="1DD6FD82">
      <w:start w:val="94"/>
      <w:numFmt w:val="bullet"/>
      <w:lvlText w:val="-"/>
      <w:lvlJc w:val="left"/>
      <w:pPr>
        <w:ind w:left="1428" w:hanging="360"/>
      </w:pPr>
      <w:rPr>
        <w:rFonts w:ascii="Arial" w:eastAsiaTheme="minorEastAsia"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 w15:restartNumberingAfterBreak="0">
    <w:nsid w:val="076E468A"/>
    <w:multiLevelType w:val="hybridMultilevel"/>
    <w:tmpl w:val="D3C8398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0CFF509A"/>
    <w:multiLevelType w:val="hybridMultilevel"/>
    <w:tmpl w:val="EC88C136"/>
    <w:lvl w:ilvl="0" w:tplc="240A0001">
      <w:start w:val="1"/>
      <w:numFmt w:val="bullet"/>
      <w:lvlText w:val=""/>
      <w:lvlJc w:val="left"/>
      <w:pPr>
        <w:ind w:left="1027" w:hanging="360"/>
      </w:pPr>
      <w:rPr>
        <w:rFonts w:ascii="Symbol" w:hAnsi="Symbol" w:hint="default"/>
      </w:rPr>
    </w:lvl>
    <w:lvl w:ilvl="1" w:tplc="240A0003" w:tentative="1">
      <w:start w:val="1"/>
      <w:numFmt w:val="bullet"/>
      <w:lvlText w:val="o"/>
      <w:lvlJc w:val="left"/>
      <w:pPr>
        <w:ind w:left="1747" w:hanging="360"/>
      </w:pPr>
      <w:rPr>
        <w:rFonts w:ascii="Courier New" w:hAnsi="Courier New" w:cs="Courier New" w:hint="default"/>
      </w:rPr>
    </w:lvl>
    <w:lvl w:ilvl="2" w:tplc="240A0005" w:tentative="1">
      <w:start w:val="1"/>
      <w:numFmt w:val="bullet"/>
      <w:lvlText w:val=""/>
      <w:lvlJc w:val="left"/>
      <w:pPr>
        <w:ind w:left="2467" w:hanging="360"/>
      </w:pPr>
      <w:rPr>
        <w:rFonts w:ascii="Wingdings" w:hAnsi="Wingdings" w:hint="default"/>
      </w:rPr>
    </w:lvl>
    <w:lvl w:ilvl="3" w:tplc="240A0001" w:tentative="1">
      <w:start w:val="1"/>
      <w:numFmt w:val="bullet"/>
      <w:lvlText w:val=""/>
      <w:lvlJc w:val="left"/>
      <w:pPr>
        <w:ind w:left="3187" w:hanging="360"/>
      </w:pPr>
      <w:rPr>
        <w:rFonts w:ascii="Symbol" w:hAnsi="Symbol" w:hint="default"/>
      </w:rPr>
    </w:lvl>
    <w:lvl w:ilvl="4" w:tplc="240A0003" w:tentative="1">
      <w:start w:val="1"/>
      <w:numFmt w:val="bullet"/>
      <w:lvlText w:val="o"/>
      <w:lvlJc w:val="left"/>
      <w:pPr>
        <w:ind w:left="3907" w:hanging="360"/>
      </w:pPr>
      <w:rPr>
        <w:rFonts w:ascii="Courier New" w:hAnsi="Courier New" w:cs="Courier New" w:hint="default"/>
      </w:rPr>
    </w:lvl>
    <w:lvl w:ilvl="5" w:tplc="240A0005" w:tentative="1">
      <w:start w:val="1"/>
      <w:numFmt w:val="bullet"/>
      <w:lvlText w:val=""/>
      <w:lvlJc w:val="left"/>
      <w:pPr>
        <w:ind w:left="4627" w:hanging="360"/>
      </w:pPr>
      <w:rPr>
        <w:rFonts w:ascii="Wingdings" w:hAnsi="Wingdings" w:hint="default"/>
      </w:rPr>
    </w:lvl>
    <w:lvl w:ilvl="6" w:tplc="240A0001" w:tentative="1">
      <w:start w:val="1"/>
      <w:numFmt w:val="bullet"/>
      <w:lvlText w:val=""/>
      <w:lvlJc w:val="left"/>
      <w:pPr>
        <w:ind w:left="5347" w:hanging="360"/>
      </w:pPr>
      <w:rPr>
        <w:rFonts w:ascii="Symbol" w:hAnsi="Symbol" w:hint="default"/>
      </w:rPr>
    </w:lvl>
    <w:lvl w:ilvl="7" w:tplc="240A0003" w:tentative="1">
      <w:start w:val="1"/>
      <w:numFmt w:val="bullet"/>
      <w:lvlText w:val="o"/>
      <w:lvlJc w:val="left"/>
      <w:pPr>
        <w:ind w:left="6067" w:hanging="360"/>
      </w:pPr>
      <w:rPr>
        <w:rFonts w:ascii="Courier New" w:hAnsi="Courier New" w:cs="Courier New" w:hint="default"/>
      </w:rPr>
    </w:lvl>
    <w:lvl w:ilvl="8" w:tplc="240A0005" w:tentative="1">
      <w:start w:val="1"/>
      <w:numFmt w:val="bullet"/>
      <w:lvlText w:val=""/>
      <w:lvlJc w:val="left"/>
      <w:pPr>
        <w:ind w:left="6787" w:hanging="360"/>
      </w:pPr>
      <w:rPr>
        <w:rFonts w:ascii="Wingdings" w:hAnsi="Wingdings" w:hint="default"/>
      </w:rPr>
    </w:lvl>
  </w:abstractNum>
  <w:abstractNum w:abstractNumId="3" w15:restartNumberingAfterBreak="0">
    <w:nsid w:val="10280203"/>
    <w:multiLevelType w:val="hybridMultilevel"/>
    <w:tmpl w:val="C8888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EC5004"/>
    <w:multiLevelType w:val="hybridMultilevel"/>
    <w:tmpl w:val="C8FC1CE0"/>
    <w:lvl w:ilvl="0" w:tplc="580A0001">
      <w:start w:val="1"/>
      <w:numFmt w:val="bullet"/>
      <w:lvlText w:val=""/>
      <w:lvlJc w:val="left"/>
      <w:pPr>
        <w:ind w:left="1113" w:hanging="360"/>
      </w:pPr>
      <w:rPr>
        <w:rFonts w:ascii="Symbol" w:hAnsi="Symbol" w:hint="default"/>
      </w:rPr>
    </w:lvl>
    <w:lvl w:ilvl="1" w:tplc="240A0003">
      <w:start w:val="1"/>
      <w:numFmt w:val="bullet"/>
      <w:lvlText w:val="o"/>
      <w:lvlJc w:val="left"/>
      <w:pPr>
        <w:ind w:left="1833" w:hanging="360"/>
      </w:pPr>
      <w:rPr>
        <w:rFonts w:ascii="Courier New" w:hAnsi="Courier New" w:cs="Courier New" w:hint="default"/>
      </w:rPr>
    </w:lvl>
    <w:lvl w:ilvl="2" w:tplc="240A0005">
      <w:start w:val="1"/>
      <w:numFmt w:val="bullet"/>
      <w:lvlText w:val=""/>
      <w:lvlJc w:val="left"/>
      <w:pPr>
        <w:ind w:left="2553" w:hanging="360"/>
      </w:pPr>
      <w:rPr>
        <w:rFonts w:ascii="Wingdings" w:hAnsi="Wingdings" w:hint="default"/>
      </w:rPr>
    </w:lvl>
    <w:lvl w:ilvl="3" w:tplc="240A0001">
      <w:start w:val="1"/>
      <w:numFmt w:val="bullet"/>
      <w:lvlText w:val=""/>
      <w:lvlJc w:val="left"/>
      <w:pPr>
        <w:ind w:left="3273" w:hanging="360"/>
      </w:pPr>
      <w:rPr>
        <w:rFonts w:ascii="Symbol" w:hAnsi="Symbol" w:hint="default"/>
      </w:rPr>
    </w:lvl>
    <w:lvl w:ilvl="4" w:tplc="240A0003">
      <w:start w:val="1"/>
      <w:numFmt w:val="bullet"/>
      <w:lvlText w:val="o"/>
      <w:lvlJc w:val="left"/>
      <w:pPr>
        <w:ind w:left="3993" w:hanging="360"/>
      </w:pPr>
      <w:rPr>
        <w:rFonts w:ascii="Courier New" w:hAnsi="Courier New" w:cs="Courier New" w:hint="default"/>
      </w:rPr>
    </w:lvl>
    <w:lvl w:ilvl="5" w:tplc="240A0005">
      <w:start w:val="1"/>
      <w:numFmt w:val="bullet"/>
      <w:lvlText w:val=""/>
      <w:lvlJc w:val="left"/>
      <w:pPr>
        <w:ind w:left="4713" w:hanging="360"/>
      </w:pPr>
      <w:rPr>
        <w:rFonts w:ascii="Wingdings" w:hAnsi="Wingdings" w:hint="default"/>
      </w:rPr>
    </w:lvl>
    <w:lvl w:ilvl="6" w:tplc="240A0001">
      <w:start w:val="1"/>
      <w:numFmt w:val="bullet"/>
      <w:lvlText w:val=""/>
      <w:lvlJc w:val="left"/>
      <w:pPr>
        <w:ind w:left="5433" w:hanging="360"/>
      </w:pPr>
      <w:rPr>
        <w:rFonts w:ascii="Symbol" w:hAnsi="Symbol" w:hint="default"/>
      </w:rPr>
    </w:lvl>
    <w:lvl w:ilvl="7" w:tplc="240A0003">
      <w:start w:val="1"/>
      <w:numFmt w:val="bullet"/>
      <w:lvlText w:val="o"/>
      <w:lvlJc w:val="left"/>
      <w:pPr>
        <w:ind w:left="6153" w:hanging="360"/>
      </w:pPr>
      <w:rPr>
        <w:rFonts w:ascii="Courier New" w:hAnsi="Courier New" w:cs="Courier New" w:hint="default"/>
      </w:rPr>
    </w:lvl>
    <w:lvl w:ilvl="8" w:tplc="240A0005">
      <w:start w:val="1"/>
      <w:numFmt w:val="bullet"/>
      <w:lvlText w:val=""/>
      <w:lvlJc w:val="left"/>
      <w:pPr>
        <w:ind w:left="6873" w:hanging="360"/>
      </w:pPr>
      <w:rPr>
        <w:rFonts w:ascii="Wingdings" w:hAnsi="Wingdings" w:hint="default"/>
      </w:rPr>
    </w:lvl>
  </w:abstractNum>
  <w:abstractNum w:abstractNumId="5" w15:restartNumberingAfterBreak="0">
    <w:nsid w:val="1204530A"/>
    <w:multiLevelType w:val="hybridMultilevel"/>
    <w:tmpl w:val="F1FE4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79D1371"/>
    <w:multiLevelType w:val="hybridMultilevel"/>
    <w:tmpl w:val="1C96F3D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80B25A0"/>
    <w:multiLevelType w:val="hybridMultilevel"/>
    <w:tmpl w:val="029C6A92"/>
    <w:lvl w:ilvl="0" w:tplc="25A0B5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FDF6102"/>
    <w:multiLevelType w:val="hybridMultilevel"/>
    <w:tmpl w:val="F93063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6B2DF3"/>
    <w:multiLevelType w:val="hybridMultilevel"/>
    <w:tmpl w:val="FC562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916281"/>
    <w:multiLevelType w:val="hybridMultilevel"/>
    <w:tmpl w:val="31528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DA001C"/>
    <w:multiLevelType w:val="hybridMultilevel"/>
    <w:tmpl w:val="3F1A4B9C"/>
    <w:lvl w:ilvl="0" w:tplc="F2F4203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BF45F0E"/>
    <w:multiLevelType w:val="hybridMultilevel"/>
    <w:tmpl w:val="89BA4B96"/>
    <w:lvl w:ilvl="0" w:tplc="27542954">
      <w:start w:val="1"/>
      <w:numFmt w:val="bullet"/>
      <w:lvlText w:val=""/>
      <w:lvlJc w:val="left"/>
      <w:pPr>
        <w:ind w:left="774" w:hanging="360"/>
      </w:pPr>
      <w:rPr>
        <w:rFonts w:ascii="Symbol" w:hAnsi="Symbol" w:hint="default"/>
        <w:color w:val="auto"/>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3" w15:restartNumberingAfterBreak="0">
    <w:nsid w:val="33F32A70"/>
    <w:multiLevelType w:val="hybridMultilevel"/>
    <w:tmpl w:val="D8DE7396"/>
    <w:lvl w:ilvl="0" w:tplc="240A0001">
      <w:start w:val="1"/>
      <w:numFmt w:val="bullet"/>
      <w:lvlText w:val=""/>
      <w:lvlJc w:val="left"/>
      <w:pPr>
        <w:ind w:left="1068" w:hanging="360"/>
      </w:pPr>
      <w:rPr>
        <w:rFonts w:ascii="Symbol" w:hAnsi="Symbol"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4" w15:restartNumberingAfterBreak="0">
    <w:nsid w:val="34D100E6"/>
    <w:multiLevelType w:val="hybridMultilevel"/>
    <w:tmpl w:val="62D648B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9367BD"/>
    <w:multiLevelType w:val="hybridMultilevel"/>
    <w:tmpl w:val="4C92EB7E"/>
    <w:lvl w:ilvl="0" w:tplc="65A01476">
      <w:start w:val="2019"/>
      <w:numFmt w:val="bullet"/>
      <w:lvlText w:val="-"/>
      <w:lvlJc w:val="left"/>
      <w:pPr>
        <w:ind w:left="720" w:hanging="360"/>
      </w:pPr>
      <w:rPr>
        <w:rFonts w:ascii="Calibri" w:eastAsia="MS Mincho"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C60C20"/>
    <w:multiLevelType w:val="hybridMultilevel"/>
    <w:tmpl w:val="63E01B1E"/>
    <w:lvl w:ilvl="0" w:tplc="736C6306">
      <w:start w:val="29"/>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A75BEF"/>
    <w:multiLevelType w:val="hybridMultilevel"/>
    <w:tmpl w:val="AC4C91F8"/>
    <w:lvl w:ilvl="0" w:tplc="B5C24E1C">
      <w:start w:val="1"/>
      <w:numFmt w:val="decimal"/>
      <w:lvlText w:val="%1."/>
      <w:lvlJc w:val="left"/>
      <w:pPr>
        <w:ind w:left="360" w:hanging="360"/>
      </w:pPr>
      <w:rPr>
        <w:rFonts w:hint="default"/>
        <w:color w:val="auto"/>
      </w:rPr>
    </w:lvl>
    <w:lvl w:ilvl="1" w:tplc="240A0003">
      <w:start w:val="1"/>
      <w:numFmt w:val="bullet"/>
      <w:lvlText w:val="o"/>
      <w:lvlJc w:val="left"/>
      <w:pPr>
        <w:ind w:left="1080" w:hanging="360"/>
      </w:pPr>
      <w:rPr>
        <w:rFonts w:ascii="Courier New" w:hAnsi="Courier New" w:cs="Courier New"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69342C8"/>
    <w:multiLevelType w:val="hybridMultilevel"/>
    <w:tmpl w:val="33024880"/>
    <w:lvl w:ilvl="0" w:tplc="28302F54">
      <w:numFmt w:val="bullet"/>
      <w:lvlText w:val="-"/>
      <w:lvlJc w:val="left"/>
      <w:pPr>
        <w:ind w:left="720" w:hanging="360"/>
      </w:pPr>
      <w:rPr>
        <w:rFonts w:ascii="Calibri" w:eastAsia="Calibri" w:hAnsi="Calibri" w:cs="Calibri" w:hint="default"/>
        <w:color w:val="auto"/>
      </w:rPr>
    </w:lvl>
    <w:lvl w:ilvl="1" w:tplc="58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DB307B7"/>
    <w:multiLevelType w:val="hybridMultilevel"/>
    <w:tmpl w:val="37CE3652"/>
    <w:lvl w:ilvl="0" w:tplc="547A67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662EF3"/>
    <w:multiLevelType w:val="hybridMultilevel"/>
    <w:tmpl w:val="CFBCF2A4"/>
    <w:lvl w:ilvl="0" w:tplc="275429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0B2D6A"/>
    <w:multiLevelType w:val="multilevel"/>
    <w:tmpl w:val="DD1E527A"/>
    <w:lvl w:ilvl="0">
      <w:start w:val="1"/>
      <w:numFmt w:val="bullet"/>
      <w:lvlText w:val=""/>
      <w:lvlJc w:val="left"/>
      <w:pPr>
        <w:ind w:left="1211" w:hanging="360"/>
      </w:pPr>
      <w:rPr>
        <w:rFonts w:ascii="Symbol" w:hAnsi="Symbol" w:hint="default"/>
      </w:rPr>
    </w:lvl>
    <w:lvl w:ilvl="1">
      <w:start w:val="1"/>
      <w:numFmt w:val="decimal"/>
      <w:isLgl/>
      <w:lvlText w:val="%1.%2."/>
      <w:lvlJc w:val="left"/>
      <w:pPr>
        <w:ind w:left="1146"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22" w15:restartNumberingAfterBreak="0">
    <w:nsid w:val="53570655"/>
    <w:multiLevelType w:val="hybridMultilevel"/>
    <w:tmpl w:val="5B02EA8E"/>
    <w:lvl w:ilvl="0" w:tplc="11564F1E">
      <w:start w:val="5"/>
      <w:numFmt w:val="bullet"/>
      <w:lvlText w:val="-"/>
      <w:lvlJc w:val="left"/>
      <w:pPr>
        <w:ind w:left="360" w:hanging="360"/>
      </w:pPr>
      <w:rPr>
        <w:rFonts w:ascii="Arial" w:eastAsiaTheme="minorHAnsi" w:hAnsi="Arial" w:cs="Aria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5BB618EE"/>
    <w:multiLevelType w:val="hybridMultilevel"/>
    <w:tmpl w:val="CF906996"/>
    <w:lvl w:ilvl="0" w:tplc="F67CB85A">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7C3A49"/>
    <w:multiLevelType w:val="hybridMultilevel"/>
    <w:tmpl w:val="4FEED76A"/>
    <w:lvl w:ilvl="0" w:tplc="275429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873D6F"/>
    <w:multiLevelType w:val="hybridMultilevel"/>
    <w:tmpl w:val="2FC041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5F742A51"/>
    <w:multiLevelType w:val="hybridMultilevel"/>
    <w:tmpl w:val="69BE2D62"/>
    <w:lvl w:ilvl="0" w:tplc="5DB433A4">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605F7032"/>
    <w:multiLevelType w:val="hybridMultilevel"/>
    <w:tmpl w:val="C7EC3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455113"/>
    <w:multiLevelType w:val="hybridMultilevel"/>
    <w:tmpl w:val="1166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9A6718"/>
    <w:multiLevelType w:val="hybridMultilevel"/>
    <w:tmpl w:val="91726938"/>
    <w:lvl w:ilvl="0" w:tplc="FB602298">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3FD29A2"/>
    <w:multiLevelType w:val="multilevel"/>
    <w:tmpl w:val="BF861024"/>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31" w15:restartNumberingAfterBreak="0">
    <w:nsid w:val="668705D9"/>
    <w:multiLevelType w:val="hybridMultilevel"/>
    <w:tmpl w:val="68AABEA2"/>
    <w:lvl w:ilvl="0" w:tplc="E95E826C">
      <w:start w:val="1"/>
      <w:numFmt w:val="decimal"/>
      <w:lvlText w:val="%1."/>
      <w:lvlJc w:val="left"/>
      <w:pPr>
        <w:ind w:left="720" w:hanging="360"/>
      </w:pPr>
      <w:rPr>
        <w:rFonts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33" w15:restartNumberingAfterBreak="0">
    <w:nsid w:val="689142F1"/>
    <w:multiLevelType w:val="hybridMultilevel"/>
    <w:tmpl w:val="AC34F67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69250A80"/>
    <w:multiLevelType w:val="hybridMultilevel"/>
    <w:tmpl w:val="10BC80B2"/>
    <w:lvl w:ilvl="0" w:tplc="580A0017">
      <w:start w:val="2"/>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E7B37E0"/>
    <w:multiLevelType w:val="hybridMultilevel"/>
    <w:tmpl w:val="C4E4EACC"/>
    <w:lvl w:ilvl="0" w:tplc="2F32DF72">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FD352FE"/>
    <w:multiLevelType w:val="hybridMultilevel"/>
    <w:tmpl w:val="488447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14C5093"/>
    <w:multiLevelType w:val="hybridMultilevel"/>
    <w:tmpl w:val="C13A52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815C08"/>
    <w:multiLevelType w:val="multilevel"/>
    <w:tmpl w:val="27F08A6A"/>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39" w15:restartNumberingAfterBreak="0">
    <w:nsid w:val="7AA01442"/>
    <w:multiLevelType w:val="hybridMultilevel"/>
    <w:tmpl w:val="8D7068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39"/>
  </w:num>
  <w:num w:numId="3">
    <w:abstractNumId w:val="18"/>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36"/>
  </w:num>
  <w:num w:numId="8">
    <w:abstractNumId w:val="27"/>
  </w:num>
  <w:num w:numId="9">
    <w:abstractNumId w:val="2"/>
  </w:num>
  <w:num w:numId="10">
    <w:abstractNumId w:val="3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0"/>
  </w:num>
  <w:num w:numId="17">
    <w:abstractNumId w:val="5"/>
  </w:num>
  <w:num w:numId="18">
    <w:abstractNumId w:val="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9"/>
  </w:num>
  <w:num w:numId="22">
    <w:abstractNumId w:val="24"/>
  </w:num>
  <w:num w:numId="23">
    <w:abstractNumId w:val="20"/>
  </w:num>
  <w:num w:numId="24">
    <w:abstractNumId w:val="12"/>
  </w:num>
  <w:num w:numId="25">
    <w:abstractNumId w:val="28"/>
  </w:num>
  <w:num w:numId="26">
    <w:abstractNumId w:val="38"/>
  </w:num>
  <w:num w:numId="27">
    <w:abstractNumId w:val="3"/>
  </w:num>
  <w:num w:numId="28">
    <w:abstractNumId w:val="16"/>
  </w:num>
  <w:num w:numId="29">
    <w:abstractNumId w:val="29"/>
  </w:num>
  <w:num w:numId="30">
    <w:abstractNumId w:val="19"/>
  </w:num>
  <w:num w:numId="31">
    <w:abstractNumId w:val="34"/>
  </w:num>
  <w:num w:numId="32">
    <w:abstractNumId w:val="35"/>
  </w:num>
  <w:num w:numId="33">
    <w:abstractNumId w:val="11"/>
  </w:num>
  <w:num w:numId="34">
    <w:abstractNumId w:val="23"/>
  </w:num>
  <w:num w:numId="35">
    <w:abstractNumId w:val="26"/>
  </w:num>
  <w:num w:numId="36">
    <w:abstractNumId w:val="15"/>
  </w:num>
  <w:num w:numId="37">
    <w:abstractNumId w:val="17"/>
  </w:num>
  <w:num w:numId="38">
    <w:abstractNumId w:val="1"/>
  </w:num>
  <w:num w:numId="39">
    <w:abstractNumId w:val="8"/>
  </w:num>
  <w:num w:numId="40">
    <w:abstractNumId w:val="14"/>
  </w:num>
  <w:num w:numId="41">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03A87"/>
    <w:rsid w:val="0000638D"/>
    <w:rsid w:val="00006879"/>
    <w:rsid w:val="00011E24"/>
    <w:rsid w:val="00012A01"/>
    <w:rsid w:val="00025532"/>
    <w:rsid w:val="00033410"/>
    <w:rsid w:val="00033850"/>
    <w:rsid w:val="000340E7"/>
    <w:rsid w:val="00035ACE"/>
    <w:rsid w:val="000410F1"/>
    <w:rsid w:val="00043E91"/>
    <w:rsid w:val="00044ACD"/>
    <w:rsid w:val="0004649B"/>
    <w:rsid w:val="00046919"/>
    <w:rsid w:val="0004722E"/>
    <w:rsid w:val="00051FC5"/>
    <w:rsid w:val="00065BEF"/>
    <w:rsid w:val="000738D7"/>
    <w:rsid w:val="00082982"/>
    <w:rsid w:val="000850B5"/>
    <w:rsid w:val="000A1482"/>
    <w:rsid w:val="000A46CE"/>
    <w:rsid w:val="000A4EEA"/>
    <w:rsid w:val="000A775C"/>
    <w:rsid w:val="000A7F54"/>
    <w:rsid w:val="000B0DB0"/>
    <w:rsid w:val="000B1843"/>
    <w:rsid w:val="000B6499"/>
    <w:rsid w:val="000B693B"/>
    <w:rsid w:val="000B7A88"/>
    <w:rsid w:val="000B7FE8"/>
    <w:rsid w:val="000D6AB9"/>
    <w:rsid w:val="000D7462"/>
    <w:rsid w:val="000E2758"/>
    <w:rsid w:val="000E5AB1"/>
    <w:rsid w:val="000F2876"/>
    <w:rsid w:val="000F43AD"/>
    <w:rsid w:val="00106CD1"/>
    <w:rsid w:val="001118BA"/>
    <w:rsid w:val="00112717"/>
    <w:rsid w:val="00115989"/>
    <w:rsid w:val="00116378"/>
    <w:rsid w:val="00117133"/>
    <w:rsid w:val="00121A50"/>
    <w:rsid w:val="001223BA"/>
    <w:rsid w:val="001241DB"/>
    <w:rsid w:val="00125EBF"/>
    <w:rsid w:val="001267B4"/>
    <w:rsid w:val="001326F6"/>
    <w:rsid w:val="0013296D"/>
    <w:rsid w:val="001360B2"/>
    <w:rsid w:val="0014221E"/>
    <w:rsid w:val="0014284A"/>
    <w:rsid w:val="00142AC1"/>
    <w:rsid w:val="00145A4D"/>
    <w:rsid w:val="00156035"/>
    <w:rsid w:val="0015775D"/>
    <w:rsid w:val="001579FA"/>
    <w:rsid w:val="001613B6"/>
    <w:rsid w:val="00164711"/>
    <w:rsid w:val="00175DB1"/>
    <w:rsid w:val="00177945"/>
    <w:rsid w:val="00185604"/>
    <w:rsid w:val="00187EFB"/>
    <w:rsid w:val="001917F8"/>
    <w:rsid w:val="001948EB"/>
    <w:rsid w:val="00195F8B"/>
    <w:rsid w:val="001B09FF"/>
    <w:rsid w:val="001B3A8F"/>
    <w:rsid w:val="001C0A53"/>
    <w:rsid w:val="001C4486"/>
    <w:rsid w:val="001C6B96"/>
    <w:rsid w:val="001D1AF2"/>
    <w:rsid w:val="001D3BB7"/>
    <w:rsid w:val="001D752E"/>
    <w:rsid w:val="001F54B3"/>
    <w:rsid w:val="001F5E8C"/>
    <w:rsid w:val="001F6758"/>
    <w:rsid w:val="001F6D96"/>
    <w:rsid w:val="00200713"/>
    <w:rsid w:val="0020090B"/>
    <w:rsid w:val="002028A7"/>
    <w:rsid w:val="0020441F"/>
    <w:rsid w:val="00205366"/>
    <w:rsid w:val="00214004"/>
    <w:rsid w:val="00214F81"/>
    <w:rsid w:val="00215F37"/>
    <w:rsid w:val="00221630"/>
    <w:rsid w:val="00236353"/>
    <w:rsid w:val="002403F4"/>
    <w:rsid w:val="00240630"/>
    <w:rsid w:val="00240BCF"/>
    <w:rsid w:val="0024489E"/>
    <w:rsid w:val="00247F3B"/>
    <w:rsid w:val="002633F8"/>
    <w:rsid w:val="0026694B"/>
    <w:rsid w:val="00270AC5"/>
    <w:rsid w:val="00274BCE"/>
    <w:rsid w:val="00282D54"/>
    <w:rsid w:val="00283EED"/>
    <w:rsid w:val="002842A5"/>
    <w:rsid w:val="00293FFC"/>
    <w:rsid w:val="002A1AB6"/>
    <w:rsid w:val="002A23A4"/>
    <w:rsid w:val="002B291D"/>
    <w:rsid w:val="002B39D8"/>
    <w:rsid w:val="002B6968"/>
    <w:rsid w:val="002C1411"/>
    <w:rsid w:val="002C6C33"/>
    <w:rsid w:val="002D0B36"/>
    <w:rsid w:val="002D3B42"/>
    <w:rsid w:val="002D7197"/>
    <w:rsid w:val="002E10C6"/>
    <w:rsid w:val="002E3320"/>
    <w:rsid w:val="002E6E3F"/>
    <w:rsid w:val="002F4D9A"/>
    <w:rsid w:val="00305717"/>
    <w:rsid w:val="00307197"/>
    <w:rsid w:val="003073D1"/>
    <w:rsid w:val="00307ADC"/>
    <w:rsid w:val="003122A3"/>
    <w:rsid w:val="00317316"/>
    <w:rsid w:val="0032076F"/>
    <w:rsid w:val="0032147F"/>
    <w:rsid w:val="003235A1"/>
    <w:rsid w:val="00323668"/>
    <w:rsid w:val="003314CA"/>
    <w:rsid w:val="003329DD"/>
    <w:rsid w:val="003430FD"/>
    <w:rsid w:val="003434BB"/>
    <w:rsid w:val="00346502"/>
    <w:rsid w:val="00346C3B"/>
    <w:rsid w:val="00354F35"/>
    <w:rsid w:val="00366ED1"/>
    <w:rsid w:val="003706D5"/>
    <w:rsid w:val="003712ED"/>
    <w:rsid w:val="003742C8"/>
    <w:rsid w:val="003767F6"/>
    <w:rsid w:val="00383B7A"/>
    <w:rsid w:val="0038416B"/>
    <w:rsid w:val="0038447A"/>
    <w:rsid w:val="00386303"/>
    <w:rsid w:val="00386969"/>
    <w:rsid w:val="00386B7D"/>
    <w:rsid w:val="003872B8"/>
    <w:rsid w:val="003900E0"/>
    <w:rsid w:val="0039042A"/>
    <w:rsid w:val="003923AC"/>
    <w:rsid w:val="003A07A5"/>
    <w:rsid w:val="003A5D29"/>
    <w:rsid w:val="003B2FCB"/>
    <w:rsid w:val="003B39AF"/>
    <w:rsid w:val="003B64F3"/>
    <w:rsid w:val="003B7658"/>
    <w:rsid w:val="003C3196"/>
    <w:rsid w:val="003C4782"/>
    <w:rsid w:val="003D2B40"/>
    <w:rsid w:val="003D515E"/>
    <w:rsid w:val="003D6A15"/>
    <w:rsid w:val="003E39EC"/>
    <w:rsid w:val="003E684A"/>
    <w:rsid w:val="003F399F"/>
    <w:rsid w:val="003F448B"/>
    <w:rsid w:val="003F4D92"/>
    <w:rsid w:val="003F7887"/>
    <w:rsid w:val="00407656"/>
    <w:rsid w:val="0041455D"/>
    <w:rsid w:val="00426A6B"/>
    <w:rsid w:val="004275F3"/>
    <w:rsid w:val="00427BC2"/>
    <w:rsid w:val="0043013D"/>
    <w:rsid w:val="00430CB2"/>
    <w:rsid w:val="00432808"/>
    <w:rsid w:val="0043339E"/>
    <w:rsid w:val="004338C7"/>
    <w:rsid w:val="00437705"/>
    <w:rsid w:val="00437A11"/>
    <w:rsid w:val="004408E0"/>
    <w:rsid w:val="00441283"/>
    <w:rsid w:val="0044251E"/>
    <w:rsid w:val="00443A93"/>
    <w:rsid w:val="00445336"/>
    <w:rsid w:val="00447509"/>
    <w:rsid w:val="00451FD9"/>
    <w:rsid w:val="00453B6A"/>
    <w:rsid w:val="00461269"/>
    <w:rsid w:val="0046172E"/>
    <w:rsid w:val="00465476"/>
    <w:rsid w:val="004713AC"/>
    <w:rsid w:val="00472FBB"/>
    <w:rsid w:val="004731D1"/>
    <w:rsid w:val="00482E7C"/>
    <w:rsid w:val="00484642"/>
    <w:rsid w:val="004A050D"/>
    <w:rsid w:val="004A1CB7"/>
    <w:rsid w:val="004B70FB"/>
    <w:rsid w:val="004D2FC7"/>
    <w:rsid w:val="004D6D0A"/>
    <w:rsid w:val="004E36DA"/>
    <w:rsid w:val="004E552E"/>
    <w:rsid w:val="004F416F"/>
    <w:rsid w:val="004F4AD2"/>
    <w:rsid w:val="00505018"/>
    <w:rsid w:val="005073E4"/>
    <w:rsid w:val="00512815"/>
    <w:rsid w:val="00514686"/>
    <w:rsid w:val="00515376"/>
    <w:rsid w:val="0051542A"/>
    <w:rsid w:val="00520042"/>
    <w:rsid w:val="0052453A"/>
    <w:rsid w:val="005248D3"/>
    <w:rsid w:val="00530946"/>
    <w:rsid w:val="005362B8"/>
    <w:rsid w:val="00540B1A"/>
    <w:rsid w:val="00547458"/>
    <w:rsid w:val="00547DCE"/>
    <w:rsid w:val="005507CF"/>
    <w:rsid w:val="00551A5B"/>
    <w:rsid w:val="00555DAC"/>
    <w:rsid w:val="0056379C"/>
    <w:rsid w:val="00573395"/>
    <w:rsid w:val="00575766"/>
    <w:rsid w:val="00575C3A"/>
    <w:rsid w:val="00584092"/>
    <w:rsid w:val="00586542"/>
    <w:rsid w:val="00592172"/>
    <w:rsid w:val="005929A8"/>
    <w:rsid w:val="005979A7"/>
    <w:rsid w:val="005B0E36"/>
    <w:rsid w:val="005B199D"/>
    <w:rsid w:val="005B3086"/>
    <w:rsid w:val="005B3A55"/>
    <w:rsid w:val="005B6819"/>
    <w:rsid w:val="005B6A35"/>
    <w:rsid w:val="005D00CF"/>
    <w:rsid w:val="005D02AF"/>
    <w:rsid w:val="005D0D5D"/>
    <w:rsid w:val="005D2514"/>
    <w:rsid w:val="005D2E97"/>
    <w:rsid w:val="005D5345"/>
    <w:rsid w:val="005E1BDF"/>
    <w:rsid w:val="005E3863"/>
    <w:rsid w:val="005E71C9"/>
    <w:rsid w:val="005F3776"/>
    <w:rsid w:val="005F51C8"/>
    <w:rsid w:val="0060026A"/>
    <w:rsid w:val="0060214C"/>
    <w:rsid w:val="00614FD4"/>
    <w:rsid w:val="00617C11"/>
    <w:rsid w:val="006205E4"/>
    <w:rsid w:val="0062078F"/>
    <w:rsid w:val="00622864"/>
    <w:rsid w:val="0062528F"/>
    <w:rsid w:val="00637303"/>
    <w:rsid w:val="00641C81"/>
    <w:rsid w:val="00644701"/>
    <w:rsid w:val="00652B95"/>
    <w:rsid w:val="00656807"/>
    <w:rsid w:val="00663CBF"/>
    <w:rsid w:val="006663F4"/>
    <w:rsid w:val="006773EE"/>
    <w:rsid w:val="00680CAC"/>
    <w:rsid w:val="006835B1"/>
    <w:rsid w:val="0068713B"/>
    <w:rsid w:val="0069235D"/>
    <w:rsid w:val="006938F2"/>
    <w:rsid w:val="00696580"/>
    <w:rsid w:val="006966C6"/>
    <w:rsid w:val="006A3637"/>
    <w:rsid w:val="006B07C0"/>
    <w:rsid w:val="006B2363"/>
    <w:rsid w:val="006C20FD"/>
    <w:rsid w:val="006C275F"/>
    <w:rsid w:val="006C62BD"/>
    <w:rsid w:val="006C7553"/>
    <w:rsid w:val="006C7D9A"/>
    <w:rsid w:val="006D3FEC"/>
    <w:rsid w:val="006D5264"/>
    <w:rsid w:val="006D54ED"/>
    <w:rsid w:val="006E02F5"/>
    <w:rsid w:val="006E6150"/>
    <w:rsid w:val="007032E0"/>
    <w:rsid w:val="007034B8"/>
    <w:rsid w:val="00703E9D"/>
    <w:rsid w:val="00705A9F"/>
    <w:rsid w:val="007069D2"/>
    <w:rsid w:val="00711D5C"/>
    <w:rsid w:val="00731437"/>
    <w:rsid w:val="0073224E"/>
    <w:rsid w:val="00734E76"/>
    <w:rsid w:val="00740D66"/>
    <w:rsid w:val="00742414"/>
    <w:rsid w:val="00744AE4"/>
    <w:rsid w:val="00755994"/>
    <w:rsid w:val="00762AD7"/>
    <w:rsid w:val="00773DF8"/>
    <w:rsid w:val="00782661"/>
    <w:rsid w:val="00784A92"/>
    <w:rsid w:val="00787FD7"/>
    <w:rsid w:val="00790C9A"/>
    <w:rsid w:val="00797388"/>
    <w:rsid w:val="007A3AAB"/>
    <w:rsid w:val="007A666C"/>
    <w:rsid w:val="007A7A06"/>
    <w:rsid w:val="007C288D"/>
    <w:rsid w:val="007C490A"/>
    <w:rsid w:val="007D2176"/>
    <w:rsid w:val="007D419D"/>
    <w:rsid w:val="007D493C"/>
    <w:rsid w:val="007D5879"/>
    <w:rsid w:val="007F3936"/>
    <w:rsid w:val="007F5999"/>
    <w:rsid w:val="00803968"/>
    <w:rsid w:val="00804446"/>
    <w:rsid w:val="00807D9C"/>
    <w:rsid w:val="00845800"/>
    <w:rsid w:val="008474AE"/>
    <w:rsid w:val="008515C7"/>
    <w:rsid w:val="00852CDF"/>
    <w:rsid w:val="008617B4"/>
    <w:rsid w:val="008648DB"/>
    <w:rsid w:val="00867506"/>
    <w:rsid w:val="00870161"/>
    <w:rsid w:val="00870A87"/>
    <w:rsid w:val="00874BE1"/>
    <w:rsid w:val="00882D1A"/>
    <w:rsid w:val="00884B12"/>
    <w:rsid w:val="00885CEB"/>
    <w:rsid w:val="00886514"/>
    <w:rsid w:val="008916BD"/>
    <w:rsid w:val="00892E6F"/>
    <w:rsid w:val="00892FD5"/>
    <w:rsid w:val="008A1102"/>
    <w:rsid w:val="008A4834"/>
    <w:rsid w:val="008B2AB8"/>
    <w:rsid w:val="008B6E31"/>
    <w:rsid w:val="008B7EAD"/>
    <w:rsid w:val="008C02BB"/>
    <w:rsid w:val="008C2273"/>
    <w:rsid w:val="008C2B1A"/>
    <w:rsid w:val="008C2B86"/>
    <w:rsid w:val="008C7387"/>
    <w:rsid w:val="008C7D33"/>
    <w:rsid w:val="008D2568"/>
    <w:rsid w:val="008D335A"/>
    <w:rsid w:val="008E3689"/>
    <w:rsid w:val="008E7731"/>
    <w:rsid w:val="008F2A3F"/>
    <w:rsid w:val="008F79BF"/>
    <w:rsid w:val="00901519"/>
    <w:rsid w:val="00903C7C"/>
    <w:rsid w:val="00910F6F"/>
    <w:rsid w:val="0091183B"/>
    <w:rsid w:val="009124C7"/>
    <w:rsid w:val="00912656"/>
    <w:rsid w:val="00920B2B"/>
    <w:rsid w:val="009227F2"/>
    <w:rsid w:val="00923B6F"/>
    <w:rsid w:val="009300E1"/>
    <w:rsid w:val="00934ECA"/>
    <w:rsid w:val="00942BFB"/>
    <w:rsid w:val="00943101"/>
    <w:rsid w:val="00944D25"/>
    <w:rsid w:val="00946A75"/>
    <w:rsid w:val="00952F89"/>
    <w:rsid w:val="0095327A"/>
    <w:rsid w:val="0096082D"/>
    <w:rsid w:val="00965B3D"/>
    <w:rsid w:val="0097321C"/>
    <w:rsid w:val="00980A31"/>
    <w:rsid w:val="00980C93"/>
    <w:rsid w:val="00981435"/>
    <w:rsid w:val="00981D02"/>
    <w:rsid w:val="0098349F"/>
    <w:rsid w:val="00984982"/>
    <w:rsid w:val="009907CC"/>
    <w:rsid w:val="00993C49"/>
    <w:rsid w:val="0099477A"/>
    <w:rsid w:val="00994B4C"/>
    <w:rsid w:val="009A38C5"/>
    <w:rsid w:val="009A401D"/>
    <w:rsid w:val="009B7621"/>
    <w:rsid w:val="009C14F7"/>
    <w:rsid w:val="009C3FB2"/>
    <w:rsid w:val="009E40A8"/>
    <w:rsid w:val="009F0FBD"/>
    <w:rsid w:val="009F4BB7"/>
    <w:rsid w:val="009F4E34"/>
    <w:rsid w:val="00A01B71"/>
    <w:rsid w:val="00A11522"/>
    <w:rsid w:val="00A20FB3"/>
    <w:rsid w:val="00A24184"/>
    <w:rsid w:val="00A2709E"/>
    <w:rsid w:val="00A43399"/>
    <w:rsid w:val="00A47912"/>
    <w:rsid w:val="00A61F91"/>
    <w:rsid w:val="00A6328C"/>
    <w:rsid w:val="00A66621"/>
    <w:rsid w:val="00A677FB"/>
    <w:rsid w:val="00A71DC5"/>
    <w:rsid w:val="00A72651"/>
    <w:rsid w:val="00A73473"/>
    <w:rsid w:val="00A778BC"/>
    <w:rsid w:val="00A83DA9"/>
    <w:rsid w:val="00A8490F"/>
    <w:rsid w:val="00A91B15"/>
    <w:rsid w:val="00A9393F"/>
    <w:rsid w:val="00A95A52"/>
    <w:rsid w:val="00AA2073"/>
    <w:rsid w:val="00AA587E"/>
    <w:rsid w:val="00AA6BA1"/>
    <w:rsid w:val="00AB3A21"/>
    <w:rsid w:val="00AB5011"/>
    <w:rsid w:val="00AC14E9"/>
    <w:rsid w:val="00AC1960"/>
    <w:rsid w:val="00AD02F0"/>
    <w:rsid w:val="00AD4D6B"/>
    <w:rsid w:val="00AD5044"/>
    <w:rsid w:val="00AD6E1C"/>
    <w:rsid w:val="00AE6A6B"/>
    <w:rsid w:val="00AF66D7"/>
    <w:rsid w:val="00AF69E5"/>
    <w:rsid w:val="00B027C9"/>
    <w:rsid w:val="00B0737C"/>
    <w:rsid w:val="00B11708"/>
    <w:rsid w:val="00B13C44"/>
    <w:rsid w:val="00B150BD"/>
    <w:rsid w:val="00B27957"/>
    <w:rsid w:val="00B32160"/>
    <w:rsid w:val="00B35B3F"/>
    <w:rsid w:val="00B35DFB"/>
    <w:rsid w:val="00B413D7"/>
    <w:rsid w:val="00B42A2A"/>
    <w:rsid w:val="00B4394E"/>
    <w:rsid w:val="00B47A81"/>
    <w:rsid w:val="00B62FD6"/>
    <w:rsid w:val="00B71814"/>
    <w:rsid w:val="00B7557C"/>
    <w:rsid w:val="00B83618"/>
    <w:rsid w:val="00B841CD"/>
    <w:rsid w:val="00B91E72"/>
    <w:rsid w:val="00B92577"/>
    <w:rsid w:val="00B94574"/>
    <w:rsid w:val="00B94748"/>
    <w:rsid w:val="00BA62C4"/>
    <w:rsid w:val="00BB04E0"/>
    <w:rsid w:val="00BB1398"/>
    <w:rsid w:val="00BC041E"/>
    <w:rsid w:val="00BC1715"/>
    <w:rsid w:val="00BC43F5"/>
    <w:rsid w:val="00BD7164"/>
    <w:rsid w:val="00BE4235"/>
    <w:rsid w:val="00BF74DF"/>
    <w:rsid w:val="00BF76FB"/>
    <w:rsid w:val="00BF7E95"/>
    <w:rsid w:val="00C000A7"/>
    <w:rsid w:val="00C008D1"/>
    <w:rsid w:val="00C06B52"/>
    <w:rsid w:val="00C1032A"/>
    <w:rsid w:val="00C10334"/>
    <w:rsid w:val="00C126E8"/>
    <w:rsid w:val="00C14461"/>
    <w:rsid w:val="00C21D8C"/>
    <w:rsid w:val="00C3069B"/>
    <w:rsid w:val="00C34401"/>
    <w:rsid w:val="00C40294"/>
    <w:rsid w:val="00C41F58"/>
    <w:rsid w:val="00C44B11"/>
    <w:rsid w:val="00C52DE2"/>
    <w:rsid w:val="00C60225"/>
    <w:rsid w:val="00C76024"/>
    <w:rsid w:val="00C839F9"/>
    <w:rsid w:val="00C842C9"/>
    <w:rsid w:val="00C854CB"/>
    <w:rsid w:val="00C87F9D"/>
    <w:rsid w:val="00CA2E86"/>
    <w:rsid w:val="00CA59F8"/>
    <w:rsid w:val="00CB0BF6"/>
    <w:rsid w:val="00CB6551"/>
    <w:rsid w:val="00CC3BD5"/>
    <w:rsid w:val="00CC5ABC"/>
    <w:rsid w:val="00CD2823"/>
    <w:rsid w:val="00CD6466"/>
    <w:rsid w:val="00CF4D69"/>
    <w:rsid w:val="00CF6D49"/>
    <w:rsid w:val="00D17AD0"/>
    <w:rsid w:val="00D2020E"/>
    <w:rsid w:val="00D24195"/>
    <w:rsid w:val="00D26A9E"/>
    <w:rsid w:val="00D377B1"/>
    <w:rsid w:val="00D37CED"/>
    <w:rsid w:val="00D37D44"/>
    <w:rsid w:val="00D47492"/>
    <w:rsid w:val="00D47C4C"/>
    <w:rsid w:val="00D673B3"/>
    <w:rsid w:val="00D75126"/>
    <w:rsid w:val="00D76AA0"/>
    <w:rsid w:val="00D77F24"/>
    <w:rsid w:val="00D81135"/>
    <w:rsid w:val="00D84283"/>
    <w:rsid w:val="00D84A68"/>
    <w:rsid w:val="00D97F2C"/>
    <w:rsid w:val="00DA0F3F"/>
    <w:rsid w:val="00DA30C5"/>
    <w:rsid w:val="00DA62EB"/>
    <w:rsid w:val="00DB37EF"/>
    <w:rsid w:val="00DB4824"/>
    <w:rsid w:val="00DC5705"/>
    <w:rsid w:val="00DC6273"/>
    <w:rsid w:val="00DC63E1"/>
    <w:rsid w:val="00DC7AC2"/>
    <w:rsid w:val="00DC7F18"/>
    <w:rsid w:val="00DD46A0"/>
    <w:rsid w:val="00E001C9"/>
    <w:rsid w:val="00E00805"/>
    <w:rsid w:val="00E015C0"/>
    <w:rsid w:val="00E0438C"/>
    <w:rsid w:val="00E1433A"/>
    <w:rsid w:val="00E16595"/>
    <w:rsid w:val="00E2453D"/>
    <w:rsid w:val="00E27706"/>
    <w:rsid w:val="00E27CCC"/>
    <w:rsid w:val="00E36F27"/>
    <w:rsid w:val="00E459E5"/>
    <w:rsid w:val="00E45C95"/>
    <w:rsid w:val="00E52BBB"/>
    <w:rsid w:val="00E539DB"/>
    <w:rsid w:val="00E549BB"/>
    <w:rsid w:val="00E5688D"/>
    <w:rsid w:val="00E616E2"/>
    <w:rsid w:val="00E7262E"/>
    <w:rsid w:val="00E73961"/>
    <w:rsid w:val="00E740BD"/>
    <w:rsid w:val="00E773BA"/>
    <w:rsid w:val="00E9713F"/>
    <w:rsid w:val="00E97A55"/>
    <w:rsid w:val="00EA7F37"/>
    <w:rsid w:val="00EB4ECB"/>
    <w:rsid w:val="00EB6FEC"/>
    <w:rsid w:val="00EC0339"/>
    <w:rsid w:val="00EC20EE"/>
    <w:rsid w:val="00EC6FBB"/>
    <w:rsid w:val="00EE4026"/>
    <w:rsid w:val="00EF13D8"/>
    <w:rsid w:val="00EF52AB"/>
    <w:rsid w:val="00EF7A67"/>
    <w:rsid w:val="00EF7B18"/>
    <w:rsid w:val="00EF7EF3"/>
    <w:rsid w:val="00F01707"/>
    <w:rsid w:val="00F06FB8"/>
    <w:rsid w:val="00F070AD"/>
    <w:rsid w:val="00F152CF"/>
    <w:rsid w:val="00F163B7"/>
    <w:rsid w:val="00F21008"/>
    <w:rsid w:val="00F21F63"/>
    <w:rsid w:val="00F245FD"/>
    <w:rsid w:val="00F25AF0"/>
    <w:rsid w:val="00F25B30"/>
    <w:rsid w:val="00F356FD"/>
    <w:rsid w:val="00F503AA"/>
    <w:rsid w:val="00F54D0C"/>
    <w:rsid w:val="00F61A94"/>
    <w:rsid w:val="00F65221"/>
    <w:rsid w:val="00F65FF3"/>
    <w:rsid w:val="00F66A34"/>
    <w:rsid w:val="00F67B04"/>
    <w:rsid w:val="00F72F5C"/>
    <w:rsid w:val="00F766C2"/>
    <w:rsid w:val="00F77FE2"/>
    <w:rsid w:val="00F81A71"/>
    <w:rsid w:val="00F85887"/>
    <w:rsid w:val="00F90227"/>
    <w:rsid w:val="00FA3E42"/>
    <w:rsid w:val="00FA555D"/>
    <w:rsid w:val="00FB052E"/>
    <w:rsid w:val="00FB0E50"/>
    <w:rsid w:val="00FB135F"/>
    <w:rsid w:val="00FB420F"/>
    <w:rsid w:val="00FB4B4F"/>
    <w:rsid w:val="00FB7522"/>
    <w:rsid w:val="00FD196C"/>
    <w:rsid w:val="00FD1BA0"/>
    <w:rsid w:val="00FE0B1A"/>
    <w:rsid w:val="00FE121E"/>
    <w:rsid w:val="00FE182F"/>
    <w:rsid w:val="00FE1AC6"/>
    <w:rsid w:val="00FE41BE"/>
    <w:rsid w:val="00FF07EF"/>
    <w:rsid w:val="00FF3FF5"/>
    <w:rsid w:val="00FF5C36"/>
    <w:rsid w:val="00FF6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03DB6"/>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3D8"/>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744AE4"/>
    <w:pPr>
      <w:ind w:left="720"/>
      <w:contextualSpacing/>
    </w:p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9A38C5"/>
    <w:pPr>
      <w:spacing w:after="0" w:line="240" w:lineRule="auto"/>
    </w:pPr>
    <w:rPr>
      <w:sz w:val="20"/>
      <w:szCs w:val="20"/>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9A38C5"/>
    <w:rPr>
      <w:lang w:eastAsia="en-US"/>
    </w:rPr>
  </w:style>
  <w:style w:type="character" w:styleId="Refdenotaalpie">
    <w:name w:val="footnote reference"/>
    <w:aliases w:val="BVI fnr,referencia nota al pie,ftref,Footnotes refss,Texto de nota al pie,Appel note de bas de page,Footnote symbol,Footnote,Footnote number,f,BVI fnr Car Car,BVI fnr Car,BVI fnr Car Car Car Car,BVI fnr Car Car Car Car Char,Ref,Ref1"/>
    <w:basedOn w:val="Fuentedeprrafopredeter"/>
    <w:link w:val="Char2"/>
    <w:uiPriority w:val="99"/>
    <w:unhideWhenUsed/>
    <w:qFormat/>
    <w:rsid w:val="009A38C5"/>
    <w:rPr>
      <w:vertAlign w:val="superscript"/>
    </w:rPr>
  </w:style>
  <w:style w:type="character" w:customStyle="1" w:styleId="Mencinsinresolver1">
    <w:name w:val="Mención sin resolver1"/>
    <w:basedOn w:val="Fuentedeprrafopredeter"/>
    <w:uiPriority w:val="99"/>
    <w:semiHidden/>
    <w:unhideWhenUsed/>
    <w:rsid w:val="0096082D"/>
    <w:rPr>
      <w:color w:val="605E5C"/>
      <w:shd w:val="clear" w:color="auto" w:fill="E1DFDD"/>
    </w:rPr>
  </w:style>
  <w:style w:type="table" w:styleId="Cuadrculadetablaclara">
    <w:name w:val="Grid Table Light"/>
    <w:basedOn w:val="Tablanormal"/>
    <w:uiPriority w:val="40"/>
    <w:rsid w:val="005200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2E3320"/>
    <w:rPr>
      <w:color w:val="605E5C"/>
      <w:shd w:val="clear" w:color="auto" w:fill="E1DFDD"/>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locked/>
    <w:rsid w:val="00432808"/>
    <w:rPr>
      <w:sz w:val="22"/>
      <w:szCs w:val="22"/>
      <w:lang w:eastAsia="en-US"/>
    </w:rPr>
  </w:style>
  <w:style w:type="paragraph" w:customStyle="1" w:styleId="CM18">
    <w:name w:val="CM18"/>
    <w:basedOn w:val="Normal"/>
    <w:next w:val="Normal"/>
    <w:uiPriority w:val="99"/>
    <w:rsid w:val="0043013D"/>
    <w:pPr>
      <w:autoSpaceDE w:val="0"/>
      <w:autoSpaceDN w:val="0"/>
      <w:adjustRightInd w:val="0"/>
      <w:spacing w:after="0" w:line="240" w:lineRule="auto"/>
    </w:pPr>
    <w:rPr>
      <w:rFonts w:ascii="Arial" w:hAnsi="Arial" w:cs="Arial"/>
      <w:sz w:val="24"/>
      <w:szCs w:val="24"/>
      <w:lang w:eastAsia="es-419"/>
    </w:rPr>
  </w:style>
  <w:style w:type="paragraph" w:styleId="NormalWeb">
    <w:name w:val="Normal (Web)"/>
    <w:basedOn w:val="Normal"/>
    <w:uiPriority w:val="99"/>
    <w:semiHidden/>
    <w:unhideWhenUsed/>
    <w:rsid w:val="0043013D"/>
    <w:pPr>
      <w:spacing w:after="0" w:line="240" w:lineRule="auto"/>
    </w:pPr>
    <w:rPr>
      <w:rFonts w:ascii="Times New Roman" w:eastAsiaTheme="minorHAnsi" w:hAnsi="Times New Roman"/>
      <w:sz w:val="24"/>
      <w:szCs w:val="24"/>
      <w:lang w:eastAsia="es-CO"/>
    </w:rPr>
  </w:style>
  <w:style w:type="character" w:styleId="nfasis">
    <w:name w:val="Emphasis"/>
    <w:basedOn w:val="Fuentedeprrafopredeter"/>
    <w:uiPriority w:val="20"/>
    <w:qFormat/>
    <w:rsid w:val="0043013D"/>
    <w:rPr>
      <w:i/>
      <w:iCs/>
    </w:rPr>
  </w:style>
  <w:style w:type="paragraph" w:customStyle="1" w:styleId="Default">
    <w:name w:val="Default"/>
    <w:rsid w:val="000D7462"/>
    <w:pPr>
      <w:autoSpaceDE w:val="0"/>
      <w:autoSpaceDN w:val="0"/>
      <w:adjustRightInd w:val="0"/>
    </w:pPr>
    <w:rPr>
      <w:rFonts w:ascii="Futura Std Book" w:hAnsi="Futura Std Book" w:cs="Futura Std Book"/>
      <w:color w:val="000000"/>
      <w:sz w:val="24"/>
      <w:szCs w:val="24"/>
      <w:lang w:eastAsia="es-419"/>
    </w:rPr>
  </w:style>
  <w:style w:type="paragraph" w:styleId="Textonotaalfinal">
    <w:name w:val="endnote text"/>
    <w:basedOn w:val="Normal"/>
    <w:link w:val="TextonotaalfinalCar"/>
    <w:uiPriority w:val="99"/>
    <w:semiHidden/>
    <w:unhideWhenUsed/>
    <w:rsid w:val="002842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842A5"/>
    <w:rPr>
      <w:lang w:eastAsia="en-US"/>
    </w:rPr>
  </w:style>
  <w:style w:type="character" w:styleId="Refdenotaalfinal">
    <w:name w:val="endnote reference"/>
    <w:basedOn w:val="Fuentedeprrafopredeter"/>
    <w:uiPriority w:val="99"/>
    <w:semiHidden/>
    <w:unhideWhenUsed/>
    <w:rsid w:val="002842A5"/>
    <w:rPr>
      <w:vertAlign w:val="superscript"/>
    </w:rPr>
  </w:style>
  <w:style w:type="paragraph" w:styleId="Revisin">
    <w:name w:val="Revision"/>
    <w:hidden/>
    <w:uiPriority w:val="99"/>
    <w:semiHidden/>
    <w:rsid w:val="00E616E2"/>
    <w:rPr>
      <w:sz w:val="22"/>
      <w:szCs w:val="22"/>
      <w:lang w:eastAsia="en-US"/>
    </w:rPr>
  </w:style>
  <w:style w:type="paragraph" w:customStyle="1" w:styleId="CM14">
    <w:name w:val="CM14"/>
    <w:basedOn w:val="Default"/>
    <w:next w:val="Default"/>
    <w:uiPriority w:val="99"/>
    <w:rsid w:val="006D54ED"/>
    <w:pPr>
      <w:spacing w:line="278" w:lineRule="atLeast"/>
    </w:pPr>
    <w:rPr>
      <w:rFonts w:ascii="Arial" w:hAnsi="Arial" w:cs="Arial"/>
      <w:color w:val="auto"/>
    </w:rPr>
  </w:style>
  <w:style w:type="paragraph" w:customStyle="1" w:styleId="Char2">
    <w:name w:val="Char2"/>
    <w:basedOn w:val="Normal"/>
    <w:link w:val="Refdenotaalpie"/>
    <w:uiPriority w:val="99"/>
    <w:rsid w:val="00B35DFB"/>
    <w:pPr>
      <w:spacing w:line="240" w:lineRule="exact"/>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659">
      <w:bodyDiv w:val="1"/>
      <w:marLeft w:val="0"/>
      <w:marRight w:val="0"/>
      <w:marTop w:val="0"/>
      <w:marBottom w:val="0"/>
      <w:divBdr>
        <w:top w:val="none" w:sz="0" w:space="0" w:color="auto"/>
        <w:left w:val="none" w:sz="0" w:space="0" w:color="auto"/>
        <w:bottom w:val="none" w:sz="0" w:space="0" w:color="auto"/>
        <w:right w:val="none" w:sz="0" w:space="0" w:color="auto"/>
      </w:divBdr>
    </w:div>
    <w:div w:id="63721492">
      <w:bodyDiv w:val="1"/>
      <w:marLeft w:val="0"/>
      <w:marRight w:val="0"/>
      <w:marTop w:val="0"/>
      <w:marBottom w:val="0"/>
      <w:divBdr>
        <w:top w:val="none" w:sz="0" w:space="0" w:color="auto"/>
        <w:left w:val="none" w:sz="0" w:space="0" w:color="auto"/>
        <w:bottom w:val="none" w:sz="0" w:space="0" w:color="auto"/>
        <w:right w:val="none" w:sz="0" w:space="0" w:color="auto"/>
      </w:divBdr>
    </w:div>
    <w:div w:id="108159650">
      <w:bodyDiv w:val="1"/>
      <w:marLeft w:val="0"/>
      <w:marRight w:val="0"/>
      <w:marTop w:val="0"/>
      <w:marBottom w:val="0"/>
      <w:divBdr>
        <w:top w:val="none" w:sz="0" w:space="0" w:color="auto"/>
        <w:left w:val="none" w:sz="0" w:space="0" w:color="auto"/>
        <w:bottom w:val="none" w:sz="0" w:space="0" w:color="auto"/>
        <w:right w:val="none" w:sz="0" w:space="0" w:color="auto"/>
      </w:divBdr>
    </w:div>
    <w:div w:id="143864081">
      <w:bodyDiv w:val="1"/>
      <w:marLeft w:val="0"/>
      <w:marRight w:val="0"/>
      <w:marTop w:val="0"/>
      <w:marBottom w:val="0"/>
      <w:divBdr>
        <w:top w:val="none" w:sz="0" w:space="0" w:color="auto"/>
        <w:left w:val="none" w:sz="0" w:space="0" w:color="auto"/>
        <w:bottom w:val="none" w:sz="0" w:space="0" w:color="auto"/>
        <w:right w:val="none" w:sz="0" w:space="0" w:color="auto"/>
      </w:divBdr>
    </w:div>
    <w:div w:id="145586967">
      <w:bodyDiv w:val="1"/>
      <w:marLeft w:val="0"/>
      <w:marRight w:val="0"/>
      <w:marTop w:val="0"/>
      <w:marBottom w:val="0"/>
      <w:divBdr>
        <w:top w:val="none" w:sz="0" w:space="0" w:color="auto"/>
        <w:left w:val="none" w:sz="0" w:space="0" w:color="auto"/>
        <w:bottom w:val="none" w:sz="0" w:space="0" w:color="auto"/>
        <w:right w:val="none" w:sz="0" w:space="0" w:color="auto"/>
      </w:divBdr>
    </w:div>
    <w:div w:id="258758310">
      <w:bodyDiv w:val="1"/>
      <w:marLeft w:val="0"/>
      <w:marRight w:val="0"/>
      <w:marTop w:val="0"/>
      <w:marBottom w:val="0"/>
      <w:divBdr>
        <w:top w:val="none" w:sz="0" w:space="0" w:color="auto"/>
        <w:left w:val="none" w:sz="0" w:space="0" w:color="auto"/>
        <w:bottom w:val="none" w:sz="0" w:space="0" w:color="auto"/>
        <w:right w:val="none" w:sz="0" w:space="0" w:color="auto"/>
      </w:divBdr>
    </w:div>
    <w:div w:id="305669880">
      <w:bodyDiv w:val="1"/>
      <w:marLeft w:val="0"/>
      <w:marRight w:val="0"/>
      <w:marTop w:val="0"/>
      <w:marBottom w:val="0"/>
      <w:divBdr>
        <w:top w:val="none" w:sz="0" w:space="0" w:color="auto"/>
        <w:left w:val="none" w:sz="0" w:space="0" w:color="auto"/>
        <w:bottom w:val="none" w:sz="0" w:space="0" w:color="auto"/>
        <w:right w:val="none" w:sz="0" w:space="0" w:color="auto"/>
      </w:divBdr>
    </w:div>
    <w:div w:id="311182778">
      <w:bodyDiv w:val="1"/>
      <w:marLeft w:val="0"/>
      <w:marRight w:val="0"/>
      <w:marTop w:val="0"/>
      <w:marBottom w:val="0"/>
      <w:divBdr>
        <w:top w:val="none" w:sz="0" w:space="0" w:color="auto"/>
        <w:left w:val="none" w:sz="0" w:space="0" w:color="auto"/>
        <w:bottom w:val="none" w:sz="0" w:space="0" w:color="auto"/>
        <w:right w:val="none" w:sz="0" w:space="0" w:color="auto"/>
      </w:divBdr>
    </w:div>
    <w:div w:id="336884573">
      <w:bodyDiv w:val="1"/>
      <w:marLeft w:val="0"/>
      <w:marRight w:val="0"/>
      <w:marTop w:val="0"/>
      <w:marBottom w:val="0"/>
      <w:divBdr>
        <w:top w:val="none" w:sz="0" w:space="0" w:color="auto"/>
        <w:left w:val="none" w:sz="0" w:space="0" w:color="auto"/>
        <w:bottom w:val="none" w:sz="0" w:space="0" w:color="auto"/>
        <w:right w:val="none" w:sz="0" w:space="0" w:color="auto"/>
      </w:divBdr>
    </w:div>
    <w:div w:id="515311061">
      <w:bodyDiv w:val="1"/>
      <w:marLeft w:val="0"/>
      <w:marRight w:val="0"/>
      <w:marTop w:val="0"/>
      <w:marBottom w:val="0"/>
      <w:divBdr>
        <w:top w:val="none" w:sz="0" w:space="0" w:color="auto"/>
        <w:left w:val="none" w:sz="0" w:space="0" w:color="auto"/>
        <w:bottom w:val="none" w:sz="0" w:space="0" w:color="auto"/>
        <w:right w:val="none" w:sz="0" w:space="0" w:color="auto"/>
      </w:divBdr>
    </w:div>
    <w:div w:id="530802040">
      <w:bodyDiv w:val="1"/>
      <w:marLeft w:val="0"/>
      <w:marRight w:val="0"/>
      <w:marTop w:val="0"/>
      <w:marBottom w:val="0"/>
      <w:divBdr>
        <w:top w:val="none" w:sz="0" w:space="0" w:color="auto"/>
        <w:left w:val="none" w:sz="0" w:space="0" w:color="auto"/>
        <w:bottom w:val="none" w:sz="0" w:space="0" w:color="auto"/>
        <w:right w:val="none" w:sz="0" w:space="0" w:color="auto"/>
      </w:divBdr>
    </w:div>
    <w:div w:id="567225993">
      <w:bodyDiv w:val="1"/>
      <w:marLeft w:val="0"/>
      <w:marRight w:val="0"/>
      <w:marTop w:val="0"/>
      <w:marBottom w:val="0"/>
      <w:divBdr>
        <w:top w:val="none" w:sz="0" w:space="0" w:color="auto"/>
        <w:left w:val="none" w:sz="0" w:space="0" w:color="auto"/>
        <w:bottom w:val="none" w:sz="0" w:space="0" w:color="auto"/>
        <w:right w:val="none" w:sz="0" w:space="0" w:color="auto"/>
      </w:divBdr>
    </w:div>
    <w:div w:id="659119017">
      <w:bodyDiv w:val="1"/>
      <w:marLeft w:val="0"/>
      <w:marRight w:val="0"/>
      <w:marTop w:val="0"/>
      <w:marBottom w:val="0"/>
      <w:divBdr>
        <w:top w:val="none" w:sz="0" w:space="0" w:color="auto"/>
        <w:left w:val="none" w:sz="0" w:space="0" w:color="auto"/>
        <w:bottom w:val="none" w:sz="0" w:space="0" w:color="auto"/>
        <w:right w:val="none" w:sz="0" w:space="0" w:color="auto"/>
      </w:divBdr>
    </w:div>
    <w:div w:id="776026433">
      <w:bodyDiv w:val="1"/>
      <w:marLeft w:val="0"/>
      <w:marRight w:val="0"/>
      <w:marTop w:val="0"/>
      <w:marBottom w:val="0"/>
      <w:divBdr>
        <w:top w:val="none" w:sz="0" w:space="0" w:color="auto"/>
        <w:left w:val="none" w:sz="0" w:space="0" w:color="auto"/>
        <w:bottom w:val="none" w:sz="0" w:space="0" w:color="auto"/>
        <w:right w:val="none" w:sz="0" w:space="0" w:color="auto"/>
      </w:divBdr>
    </w:div>
    <w:div w:id="828592603">
      <w:bodyDiv w:val="1"/>
      <w:marLeft w:val="0"/>
      <w:marRight w:val="0"/>
      <w:marTop w:val="0"/>
      <w:marBottom w:val="0"/>
      <w:divBdr>
        <w:top w:val="none" w:sz="0" w:space="0" w:color="auto"/>
        <w:left w:val="none" w:sz="0" w:space="0" w:color="auto"/>
        <w:bottom w:val="none" w:sz="0" w:space="0" w:color="auto"/>
        <w:right w:val="none" w:sz="0" w:space="0" w:color="auto"/>
      </w:divBdr>
    </w:div>
    <w:div w:id="844784548">
      <w:bodyDiv w:val="1"/>
      <w:marLeft w:val="0"/>
      <w:marRight w:val="0"/>
      <w:marTop w:val="0"/>
      <w:marBottom w:val="0"/>
      <w:divBdr>
        <w:top w:val="none" w:sz="0" w:space="0" w:color="auto"/>
        <w:left w:val="none" w:sz="0" w:space="0" w:color="auto"/>
        <w:bottom w:val="none" w:sz="0" w:space="0" w:color="auto"/>
        <w:right w:val="none" w:sz="0" w:space="0" w:color="auto"/>
      </w:divBdr>
    </w:div>
    <w:div w:id="890270207">
      <w:bodyDiv w:val="1"/>
      <w:marLeft w:val="0"/>
      <w:marRight w:val="0"/>
      <w:marTop w:val="0"/>
      <w:marBottom w:val="0"/>
      <w:divBdr>
        <w:top w:val="none" w:sz="0" w:space="0" w:color="auto"/>
        <w:left w:val="none" w:sz="0" w:space="0" w:color="auto"/>
        <w:bottom w:val="none" w:sz="0" w:space="0" w:color="auto"/>
        <w:right w:val="none" w:sz="0" w:space="0" w:color="auto"/>
      </w:divBdr>
    </w:div>
    <w:div w:id="914240558">
      <w:bodyDiv w:val="1"/>
      <w:marLeft w:val="0"/>
      <w:marRight w:val="0"/>
      <w:marTop w:val="0"/>
      <w:marBottom w:val="0"/>
      <w:divBdr>
        <w:top w:val="none" w:sz="0" w:space="0" w:color="auto"/>
        <w:left w:val="none" w:sz="0" w:space="0" w:color="auto"/>
        <w:bottom w:val="none" w:sz="0" w:space="0" w:color="auto"/>
        <w:right w:val="none" w:sz="0" w:space="0" w:color="auto"/>
      </w:divBdr>
    </w:div>
    <w:div w:id="1048988842">
      <w:bodyDiv w:val="1"/>
      <w:marLeft w:val="0"/>
      <w:marRight w:val="0"/>
      <w:marTop w:val="0"/>
      <w:marBottom w:val="0"/>
      <w:divBdr>
        <w:top w:val="none" w:sz="0" w:space="0" w:color="auto"/>
        <w:left w:val="none" w:sz="0" w:space="0" w:color="auto"/>
        <w:bottom w:val="none" w:sz="0" w:space="0" w:color="auto"/>
        <w:right w:val="none" w:sz="0" w:space="0" w:color="auto"/>
      </w:divBdr>
    </w:div>
    <w:div w:id="1204751879">
      <w:bodyDiv w:val="1"/>
      <w:marLeft w:val="0"/>
      <w:marRight w:val="0"/>
      <w:marTop w:val="0"/>
      <w:marBottom w:val="0"/>
      <w:divBdr>
        <w:top w:val="none" w:sz="0" w:space="0" w:color="auto"/>
        <w:left w:val="none" w:sz="0" w:space="0" w:color="auto"/>
        <w:bottom w:val="none" w:sz="0" w:space="0" w:color="auto"/>
        <w:right w:val="none" w:sz="0" w:space="0" w:color="auto"/>
      </w:divBdr>
    </w:div>
    <w:div w:id="1326670730">
      <w:bodyDiv w:val="1"/>
      <w:marLeft w:val="0"/>
      <w:marRight w:val="0"/>
      <w:marTop w:val="0"/>
      <w:marBottom w:val="0"/>
      <w:divBdr>
        <w:top w:val="none" w:sz="0" w:space="0" w:color="auto"/>
        <w:left w:val="none" w:sz="0" w:space="0" w:color="auto"/>
        <w:bottom w:val="none" w:sz="0" w:space="0" w:color="auto"/>
        <w:right w:val="none" w:sz="0" w:space="0" w:color="auto"/>
      </w:divBdr>
    </w:div>
    <w:div w:id="1371414199">
      <w:bodyDiv w:val="1"/>
      <w:marLeft w:val="0"/>
      <w:marRight w:val="0"/>
      <w:marTop w:val="0"/>
      <w:marBottom w:val="0"/>
      <w:divBdr>
        <w:top w:val="none" w:sz="0" w:space="0" w:color="auto"/>
        <w:left w:val="none" w:sz="0" w:space="0" w:color="auto"/>
        <w:bottom w:val="none" w:sz="0" w:space="0" w:color="auto"/>
        <w:right w:val="none" w:sz="0" w:space="0" w:color="auto"/>
      </w:divBdr>
    </w:div>
    <w:div w:id="1474250348">
      <w:bodyDiv w:val="1"/>
      <w:marLeft w:val="0"/>
      <w:marRight w:val="0"/>
      <w:marTop w:val="0"/>
      <w:marBottom w:val="0"/>
      <w:divBdr>
        <w:top w:val="none" w:sz="0" w:space="0" w:color="auto"/>
        <w:left w:val="none" w:sz="0" w:space="0" w:color="auto"/>
        <w:bottom w:val="none" w:sz="0" w:space="0" w:color="auto"/>
        <w:right w:val="none" w:sz="0" w:space="0" w:color="auto"/>
      </w:divBdr>
    </w:div>
    <w:div w:id="1524053652">
      <w:bodyDiv w:val="1"/>
      <w:marLeft w:val="0"/>
      <w:marRight w:val="0"/>
      <w:marTop w:val="0"/>
      <w:marBottom w:val="0"/>
      <w:divBdr>
        <w:top w:val="none" w:sz="0" w:space="0" w:color="auto"/>
        <w:left w:val="none" w:sz="0" w:space="0" w:color="auto"/>
        <w:bottom w:val="none" w:sz="0" w:space="0" w:color="auto"/>
        <w:right w:val="none" w:sz="0" w:space="0" w:color="auto"/>
      </w:divBdr>
    </w:div>
    <w:div w:id="1566522806">
      <w:bodyDiv w:val="1"/>
      <w:marLeft w:val="0"/>
      <w:marRight w:val="0"/>
      <w:marTop w:val="0"/>
      <w:marBottom w:val="0"/>
      <w:divBdr>
        <w:top w:val="none" w:sz="0" w:space="0" w:color="auto"/>
        <w:left w:val="none" w:sz="0" w:space="0" w:color="auto"/>
        <w:bottom w:val="none" w:sz="0" w:space="0" w:color="auto"/>
        <w:right w:val="none" w:sz="0" w:space="0" w:color="auto"/>
      </w:divBdr>
    </w:div>
    <w:div w:id="1575313396">
      <w:bodyDiv w:val="1"/>
      <w:marLeft w:val="0"/>
      <w:marRight w:val="0"/>
      <w:marTop w:val="0"/>
      <w:marBottom w:val="0"/>
      <w:divBdr>
        <w:top w:val="none" w:sz="0" w:space="0" w:color="auto"/>
        <w:left w:val="none" w:sz="0" w:space="0" w:color="auto"/>
        <w:bottom w:val="none" w:sz="0" w:space="0" w:color="auto"/>
        <w:right w:val="none" w:sz="0" w:space="0" w:color="auto"/>
      </w:divBdr>
    </w:div>
    <w:div w:id="1717198070">
      <w:bodyDiv w:val="1"/>
      <w:marLeft w:val="0"/>
      <w:marRight w:val="0"/>
      <w:marTop w:val="0"/>
      <w:marBottom w:val="0"/>
      <w:divBdr>
        <w:top w:val="none" w:sz="0" w:space="0" w:color="auto"/>
        <w:left w:val="none" w:sz="0" w:space="0" w:color="auto"/>
        <w:bottom w:val="none" w:sz="0" w:space="0" w:color="auto"/>
        <w:right w:val="none" w:sz="0" w:space="0" w:color="auto"/>
      </w:divBdr>
    </w:div>
    <w:div w:id="1727027168">
      <w:bodyDiv w:val="1"/>
      <w:marLeft w:val="0"/>
      <w:marRight w:val="0"/>
      <w:marTop w:val="0"/>
      <w:marBottom w:val="0"/>
      <w:divBdr>
        <w:top w:val="none" w:sz="0" w:space="0" w:color="auto"/>
        <w:left w:val="none" w:sz="0" w:space="0" w:color="auto"/>
        <w:bottom w:val="none" w:sz="0" w:space="0" w:color="auto"/>
        <w:right w:val="none" w:sz="0" w:space="0" w:color="auto"/>
      </w:divBdr>
    </w:div>
    <w:div w:id="1749305991">
      <w:bodyDiv w:val="1"/>
      <w:marLeft w:val="0"/>
      <w:marRight w:val="0"/>
      <w:marTop w:val="0"/>
      <w:marBottom w:val="0"/>
      <w:divBdr>
        <w:top w:val="none" w:sz="0" w:space="0" w:color="auto"/>
        <w:left w:val="none" w:sz="0" w:space="0" w:color="auto"/>
        <w:bottom w:val="none" w:sz="0" w:space="0" w:color="auto"/>
        <w:right w:val="none" w:sz="0" w:space="0" w:color="auto"/>
      </w:divBdr>
    </w:div>
    <w:div w:id="1842616832">
      <w:bodyDiv w:val="1"/>
      <w:marLeft w:val="0"/>
      <w:marRight w:val="0"/>
      <w:marTop w:val="0"/>
      <w:marBottom w:val="0"/>
      <w:divBdr>
        <w:top w:val="none" w:sz="0" w:space="0" w:color="auto"/>
        <w:left w:val="none" w:sz="0" w:space="0" w:color="auto"/>
        <w:bottom w:val="none" w:sz="0" w:space="0" w:color="auto"/>
        <w:right w:val="none" w:sz="0" w:space="0" w:color="auto"/>
      </w:divBdr>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 w:id="1871991455">
      <w:bodyDiv w:val="1"/>
      <w:marLeft w:val="0"/>
      <w:marRight w:val="0"/>
      <w:marTop w:val="0"/>
      <w:marBottom w:val="0"/>
      <w:divBdr>
        <w:top w:val="none" w:sz="0" w:space="0" w:color="auto"/>
        <w:left w:val="none" w:sz="0" w:space="0" w:color="auto"/>
        <w:bottom w:val="none" w:sz="0" w:space="0" w:color="auto"/>
        <w:right w:val="none" w:sz="0" w:space="0" w:color="auto"/>
      </w:divBdr>
    </w:div>
    <w:div w:id="1916474695">
      <w:bodyDiv w:val="1"/>
      <w:marLeft w:val="0"/>
      <w:marRight w:val="0"/>
      <w:marTop w:val="0"/>
      <w:marBottom w:val="0"/>
      <w:divBdr>
        <w:top w:val="none" w:sz="0" w:space="0" w:color="auto"/>
        <w:left w:val="none" w:sz="0" w:space="0" w:color="auto"/>
        <w:bottom w:val="none" w:sz="0" w:space="0" w:color="auto"/>
        <w:right w:val="none" w:sz="0" w:space="0" w:color="auto"/>
      </w:divBdr>
    </w:div>
    <w:div w:id="1927570071">
      <w:bodyDiv w:val="1"/>
      <w:marLeft w:val="0"/>
      <w:marRight w:val="0"/>
      <w:marTop w:val="0"/>
      <w:marBottom w:val="0"/>
      <w:divBdr>
        <w:top w:val="none" w:sz="0" w:space="0" w:color="auto"/>
        <w:left w:val="none" w:sz="0" w:space="0" w:color="auto"/>
        <w:bottom w:val="none" w:sz="0" w:space="0" w:color="auto"/>
        <w:right w:val="none" w:sz="0" w:space="0" w:color="auto"/>
      </w:divBdr>
    </w:div>
    <w:div w:id="1932200926">
      <w:bodyDiv w:val="1"/>
      <w:marLeft w:val="0"/>
      <w:marRight w:val="0"/>
      <w:marTop w:val="0"/>
      <w:marBottom w:val="0"/>
      <w:divBdr>
        <w:top w:val="none" w:sz="0" w:space="0" w:color="auto"/>
        <w:left w:val="none" w:sz="0" w:space="0" w:color="auto"/>
        <w:bottom w:val="none" w:sz="0" w:space="0" w:color="auto"/>
        <w:right w:val="none" w:sz="0" w:space="0" w:color="auto"/>
      </w:divBdr>
    </w:div>
    <w:div w:id="1943799248">
      <w:bodyDiv w:val="1"/>
      <w:marLeft w:val="0"/>
      <w:marRight w:val="0"/>
      <w:marTop w:val="0"/>
      <w:marBottom w:val="0"/>
      <w:divBdr>
        <w:top w:val="none" w:sz="0" w:space="0" w:color="auto"/>
        <w:left w:val="none" w:sz="0" w:space="0" w:color="auto"/>
        <w:bottom w:val="none" w:sz="0" w:space="0" w:color="auto"/>
        <w:right w:val="none" w:sz="0" w:space="0" w:color="auto"/>
      </w:divBdr>
    </w:div>
    <w:div w:id="2002342740">
      <w:bodyDiv w:val="1"/>
      <w:marLeft w:val="0"/>
      <w:marRight w:val="0"/>
      <w:marTop w:val="0"/>
      <w:marBottom w:val="0"/>
      <w:divBdr>
        <w:top w:val="none" w:sz="0" w:space="0" w:color="auto"/>
        <w:left w:val="none" w:sz="0" w:space="0" w:color="auto"/>
        <w:bottom w:val="none" w:sz="0" w:space="0" w:color="auto"/>
        <w:right w:val="none" w:sz="0" w:space="0" w:color="auto"/>
      </w:divBdr>
    </w:div>
    <w:div w:id="2004505428">
      <w:bodyDiv w:val="1"/>
      <w:marLeft w:val="0"/>
      <w:marRight w:val="0"/>
      <w:marTop w:val="0"/>
      <w:marBottom w:val="0"/>
      <w:divBdr>
        <w:top w:val="none" w:sz="0" w:space="0" w:color="auto"/>
        <w:left w:val="none" w:sz="0" w:space="0" w:color="auto"/>
        <w:bottom w:val="none" w:sz="0" w:space="0" w:color="auto"/>
        <w:right w:val="none" w:sz="0" w:space="0" w:color="auto"/>
      </w:divBdr>
    </w:div>
    <w:div w:id="20636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tratos.gov.co/consultas/detalleProceso.do?numConstancia=18-4-7733643n" TargetMode="External"/><Relationship Id="rId21" Type="http://schemas.openxmlformats.org/officeDocument/2006/relationships/image" Target="media/image7.png"/><Relationship Id="rId42" Type="http://schemas.openxmlformats.org/officeDocument/2006/relationships/hyperlink" Target="https://www.contratos.gov.co/consultas/detalleProceso.do?numConstancia=19-12-9844969b" TargetMode="External"/><Relationship Id="rId47" Type="http://schemas.openxmlformats.org/officeDocument/2006/relationships/hyperlink" Target="https://www.colombiacompra.gov.co/secop/busqueda-de-procesos-de-contratacion" TargetMode="External"/><Relationship Id="rId63" Type="http://schemas.openxmlformats.org/officeDocument/2006/relationships/image" Target="media/image19.png"/><Relationship Id="rId68" Type="http://schemas.openxmlformats.org/officeDocument/2006/relationships/hyperlink" Target="https://www.contratos.gov.co/consultas/resultadoListadoProcesos.jsp" TargetMode="External"/><Relationship Id="rId84" Type="http://schemas.openxmlformats.org/officeDocument/2006/relationships/hyperlink" Target="http://tel:018000940808" TargetMode="External"/><Relationship Id="rId89" Type="http://schemas.openxmlformats.org/officeDocument/2006/relationships/fontTable" Target="fontTable.xml"/><Relationship Id="rId16" Type="http://schemas.openxmlformats.org/officeDocument/2006/relationships/image" Target="media/image21.png"/><Relationship Id="rId11" Type="http://schemas.openxmlformats.org/officeDocument/2006/relationships/image" Target="media/image1.png"/><Relationship Id="rId32" Type="http://schemas.openxmlformats.org/officeDocument/2006/relationships/image" Target="media/image15.png"/><Relationship Id="rId37" Type="http://schemas.openxmlformats.org/officeDocument/2006/relationships/hyperlink" Target="https://community.secop.gov.co/Public/Tendering/ContractNoticeManagement/Index?currentLanguage=es-CO&amp;Page=login&amp;Country=CO&amp;SkinName=CCEb" TargetMode="External"/><Relationship Id="rId53" Type="http://schemas.openxmlformats.org/officeDocument/2006/relationships/hyperlink" Target="https://www.contratos.gov.co/consultas/inicioConsulta.don" TargetMode="External"/><Relationship Id="rId58" Type="http://schemas.openxmlformats.org/officeDocument/2006/relationships/hyperlink" Target="https://www.contratos.gov.co/consultas/inicioConsulta.dov" TargetMode="External"/><Relationship Id="rId74" Type="http://schemas.openxmlformats.org/officeDocument/2006/relationships/image" Target="media/image20.png"/><Relationship Id="rId79" Type="http://schemas.openxmlformats.org/officeDocument/2006/relationships/hyperlink" Target="https://www.colombiacompra.gov.co/secop/busqueda-de-procesos-de-contratacionb"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contratos.gov.co/consultas/inicioConsulta.do" TargetMode="External"/><Relationship Id="rId43" Type="http://schemas.openxmlformats.org/officeDocument/2006/relationships/hyperlink" Target="https://www.contratos.gov.co/consultas/inicioConsulta.dob" TargetMode="External"/><Relationship Id="rId48" Type="http://schemas.openxmlformats.org/officeDocument/2006/relationships/hyperlink" Target="https://www.contratos.gov.co/consultas/inicioConsulta.do" TargetMode="External"/><Relationship Id="rId56" Type="http://schemas.openxmlformats.org/officeDocument/2006/relationships/hyperlink" Target="http://www.colombiacompra.gov.cob" TargetMode="External"/><Relationship Id="rId64" Type="http://schemas.openxmlformats.org/officeDocument/2006/relationships/hyperlink" Target="http://www.colombiacompra.gov.cov" TargetMode="External"/><Relationship Id="rId69" Type="http://schemas.openxmlformats.org/officeDocument/2006/relationships/hyperlink" Target="https://community.secop.gov.co/Public/Tendering/ContractNoticeManagement/Index?currentLanguage=es-CO&amp;Page=login&amp;Country=CO&amp;SkinName=CCEv" TargetMode="External"/><Relationship Id="rId77" Type="http://schemas.openxmlformats.org/officeDocument/2006/relationships/hyperlink" Target="https://www.contratos.gov.co/consultas/inicioConsulta.dof" TargetMode="External"/><Relationship Id="rId8" Type="http://schemas.openxmlformats.org/officeDocument/2006/relationships/webSettings" Target="webSettings.xml"/><Relationship Id="rId51" Type="http://schemas.openxmlformats.org/officeDocument/2006/relationships/hyperlink" Target="http://www.colombiacompra.gov.con" TargetMode="External"/><Relationship Id="rId72" Type="http://schemas.openxmlformats.org/officeDocument/2006/relationships/hyperlink" Target="https://community.secop.gov.co/Public/Tendering/ContractNoticeManagement/Index?currentLanguage=es-CO&amp;Page=login&amp;Country=CO&amp;SkinName=CCEv" TargetMode="External"/><Relationship Id="rId80" Type="http://schemas.openxmlformats.org/officeDocument/2006/relationships/hyperlink" Target="mailto:cgr@contraloria.gov.co?subject=Solicitudes%20Generales" TargetMode="External"/><Relationship Id="rId85" Type="http://schemas.openxmlformats.org/officeDocument/2006/relationships/hyperlink" Target="mailto:Atencion@reincorporacion.gov.co" TargetMode="External"/><Relationship Id="rId3" Type="http://schemas.openxmlformats.org/officeDocument/2006/relationships/customXml" Target="../customXml/item3.xml"/><Relationship Id="rId12" Type="http://schemas.openxmlformats.org/officeDocument/2006/relationships/image" Target="cid:image002.png@01D5EB44.852007B0" TargetMode="External"/><Relationship Id="rId17" Type="http://schemas.openxmlformats.org/officeDocument/2006/relationships/image" Target="media/image3.png"/><Relationship Id="rId25" Type="http://schemas.openxmlformats.org/officeDocument/2006/relationships/hyperlink" Target="https://www.contratos.gov.co/consultas/inicioConsulta.dob" TargetMode="External"/><Relationship Id="rId33" Type="http://schemas.openxmlformats.org/officeDocument/2006/relationships/hyperlink" Target="http://www.colombiacompra.gov.co" TargetMode="External"/><Relationship Id="rId38" Type="http://schemas.openxmlformats.org/officeDocument/2006/relationships/hyperlink" Target="https://community.secop.gov.co/Public/Tendering/ContractNoticeManagement/Index?currentLanguage=es-CO&amp;Page=login&amp;Country=CO&amp;SkinName=CCEv" TargetMode="External"/><Relationship Id="rId46" Type="http://schemas.openxmlformats.org/officeDocument/2006/relationships/hyperlink" Target="http://www.colombiacompra.gov.co" TargetMode="External"/><Relationship Id="rId59" Type="http://schemas.openxmlformats.org/officeDocument/2006/relationships/hyperlink" Target="https://www.contratos.gov.co/consultas/inicioConsulta.dov" TargetMode="External"/><Relationship Id="rId67" Type="http://schemas.openxmlformats.org/officeDocument/2006/relationships/hyperlink" Target="https://www.contratos.gov.co/consultas/detalleProceso.do?numConstancia=19-4-9506197v" TargetMode="External"/><Relationship Id="rId20" Type="http://schemas.openxmlformats.org/officeDocument/2006/relationships/image" Target="media/image6.png"/><Relationship Id="rId41" Type="http://schemas.openxmlformats.org/officeDocument/2006/relationships/hyperlink" Target="https://community.secop.gov.co/Public/Tendering/ContractNoticeManagement/Index?currentLanguage=es-CO&amp;Page=login&amp;Country=CO&amp;SkinName=CCEb" TargetMode="External"/><Relationship Id="rId54" Type="http://schemas.openxmlformats.org/officeDocument/2006/relationships/hyperlink" Target="https://www.contratos.gov.co/consultas/inicioConsulta.dov" TargetMode="External"/><Relationship Id="rId62" Type="http://schemas.openxmlformats.org/officeDocument/2006/relationships/image" Target="media/image18.png"/><Relationship Id="rId70" Type="http://schemas.openxmlformats.org/officeDocument/2006/relationships/hyperlink" Target="https://www.contratos.gov.co/consultas/detalleProceso.do?numConstancia=19-4-9506197v" TargetMode="External"/><Relationship Id="rId75" Type="http://schemas.openxmlformats.org/officeDocument/2006/relationships/hyperlink" Target="http://www.colombiacompra.gov.co" TargetMode="External"/><Relationship Id="rId83" Type="http://schemas.openxmlformats.org/officeDocument/2006/relationships/hyperlink" Target="mailto:quejas@procuraduria.gov.co" TargetMode="External"/><Relationship Id="rId88" Type="http://schemas.openxmlformats.org/officeDocument/2006/relationships/footer" Target="footer1.xm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2.png@01D5EB44.852007B0" TargetMode="External"/><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hyperlink" Target="https://www.contratos.gov.co/consultas/detalleProceso.do?numConstancia=19-4-9506197b" TargetMode="External"/><Relationship Id="rId49" Type="http://schemas.openxmlformats.org/officeDocument/2006/relationships/hyperlink" Target="https://www.colombiacompra.gov.co/secop/busqueda-de-procesos-de-contrataciong" TargetMode="External"/><Relationship Id="rId57" Type="http://schemas.openxmlformats.org/officeDocument/2006/relationships/hyperlink" Target="https://www.colombiacompra.gov.co/secop/busqueda-de-procesos-de-contratacionv"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16.png"/><Relationship Id="rId52" Type="http://schemas.openxmlformats.org/officeDocument/2006/relationships/hyperlink" Target="https://www.colombiacompra.gov.co/secop/busqueda-de-procesos-de-contratacionn" TargetMode="External"/><Relationship Id="rId60" Type="http://schemas.openxmlformats.org/officeDocument/2006/relationships/hyperlink" Target="https://www.contratos.gov.co/consultas/detalleProceso.do?numConstancia=18-12-7733056v" TargetMode="External"/><Relationship Id="rId65" Type="http://schemas.openxmlformats.org/officeDocument/2006/relationships/hyperlink" Target="https://www.colombiacompra.gov.co/secop/busqueda-de-procesos-de-contratacionf" TargetMode="External"/><Relationship Id="rId73" Type="http://schemas.openxmlformats.org/officeDocument/2006/relationships/hyperlink" Target="https://www.contratos.gov.co/consultas/detalleProceso.do?numConstancia=19-12-9844969v" TargetMode="External"/><Relationship Id="rId78" Type="http://schemas.openxmlformats.org/officeDocument/2006/relationships/hyperlink" Target="https://www.contratos.gov.co/consultas/inicioConsulta.do" TargetMode="External"/><Relationship Id="rId81" Type="http://schemas.openxmlformats.org/officeDocument/2006/relationships/hyperlink" Target="http://www.contraloria.gov.co/web/guest/atencion-al-ciudadano/denuncias-y-otras-solicitudes-pqrd"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hyperlink" Target="https://community.secop.gov.co/Public/Tendering/ContractNoticeManagement/Index?currentLanguage=es-CO&amp;Page=login&amp;Country=CO&amp;SkinName=CCEb" TargetMode="External"/><Relationship Id="rId34" Type="http://schemas.openxmlformats.org/officeDocument/2006/relationships/hyperlink" Target="https://www.colombiacompra.gov.co/secop/busqueda-de-procesos-de-contratacion" TargetMode="External"/><Relationship Id="rId50" Type="http://schemas.openxmlformats.org/officeDocument/2006/relationships/hyperlink" Target="https://www.contratos.gov.co/consultas/inicioConsulta.dob" TargetMode="External"/><Relationship Id="rId55" Type="http://schemas.openxmlformats.org/officeDocument/2006/relationships/hyperlink" Target="https://www.contratos.gov.co/consultas/detalleProceso.do?numConstancia=18-12-7733056b" TargetMode="External"/><Relationship Id="rId76" Type="http://schemas.openxmlformats.org/officeDocument/2006/relationships/hyperlink" Target="https://www.colombiacompra.gov.co/secop/busqueda-de-procesos-de-contratacionf" TargetMode="External"/><Relationship Id="rId7" Type="http://schemas.openxmlformats.org/officeDocument/2006/relationships/settings" Target="settings.xml"/><Relationship Id="rId71" Type="http://schemas.openxmlformats.org/officeDocument/2006/relationships/hyperlink" Target="https://community.secop.gov.co/Public/Tendering/ContractNoticeManagement/Index?currentLanguage=es-CO&amp;Page=login&amp;Country=CO&amp;SkinName=CCEv" TargetMode="External"/><Relationship Id="rId92" Type="http://schemas.openxmlformats.org/officeDocument/2006/relationships/customXml" Target="../customXml/item5.xml"/><Relationship Id="rId2" Type="http://schemas.openxmlformats.org/officeDocument/2006/relationships/customXml" Target="../customXml/item2.xml"/><Relationship Id="rId29" Type="http://schemas.openxmlformats.org/officeDocument/2006/relationships/image" Target="media/image12.emf"/><Relationship Id="rId24" Type="http://schemas.openxmlformats.org/officeDocument/2006/relationships/hyperlink" Target="javascript:%20popUpSecop('/consultas/detalleProceso.do?numConstancia=18-4-7733643')" TargetMode="External"/><Relationship Id="rId40" Type="http://schemas.openxmlformats.org/officeDocument/2006/relationships/hyperlink" Target="https://www.contratos.gov.co/consultas/detalleProceso.do?numConstancia=18-4-8040740b" TargetMode="External"/><Relationship Id="rId45" Type="http://schemas.openxmlformats.org/officeDocument/2006/relationships/chart" Target="charts/chart1.xml"/><Relationship Id="rId66" Type="http://schemas.openxmlformats.org/officeDocument/2006/relationships/hyperlink" Target="https://www.contratos.gov.co/consultas/inicioConsulta.dof" TargetMode="External"/><Relationship Id="rId87" Type="http://schemas.openxmlformats.org/officeDocument/2006/relationships/header" Target="header2.xml"/><Relationship Id="rId61" Type="http://schemas.openxmlformats.org/officeDocument/2006/relationships/image" Target="media/image17.png"/><Relationship Id="rId82" Type="http://schemas.openxmlformats.org/officeDocument/2006/relationships/hyperlink" Target="https://www.procuraduria.gov.co/portal/index.jsp?option=co.gov.pgn.portal.frontend.component.pagefactory.DenunciaImplAcuerdoPazComponentPageFactory" TargetMode="External"/><Relationship Id="rId1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2.500000000000000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5C-449D-A03B-B0FB9272C8C3}"/>
                </c:ext>
              </c:extLst>
            </c:dLbl>
            <c:dLbl>
              <c:idx val="1"/>
              <c:layout>
                <c:manualLayout>
                  <c:x val="-4.7222222222222221E-2"/>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5C-449D-A03B-B0FB9272C8C3}"/>
                </c:ext>
              </c:extLst>
            </c:dLbl>
            <c:dLbl>
              <c:idx val="2"/>
              <c:layout>
                <c:manualLayout>
                  <c:x val="-4.7222222222222249E-2"/>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5C-449D-A03B-B0FB9272C8C3}"/>
                </c:ext>
              </c:extLst>
            </c:dLbl>
            <c:dLbl>
              <c:idx val="3"/>
              <c:layout>
                <c:manualLayout>
                  <c:x val="-3.611111111111116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5C-449D-A03B-B0FB9272C8C3}"/>
                </c:ext>
              </c:extLst>
            </c:dLbl>
            <c:dLbl>
              <c:idx val="4"/>
              <c:layout>
                <c:manualLayout>
                  <c:x val="-3.3333333333333381E-2"/>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5C-449D-A03B-B0FB9272C8C3}"/>
                </c:ext>
              </c:extLst>
            </c:dLbl>
            <c:dLbl>
              <c:idx val="5"/>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5C-449D-A03B-B0FB9272C8C3}"/>
                </c:ext>
              </c:extLst>
            </c:dLbl>
            <c:dLbl>
              <c:idx val="6"/>
              <c:layout>
                <c:manualLayout>
                  <c:x val="-3.888888888888899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5C-449D-A03B-B0FB9272C8C3}"/>
                </c:ext>
              </c:extLst>
            </c:dLbl>
            <c:dLbl>
              <c:idx val="7"/>
              <c:layout>
                <c:manualLayout>
                  <c:x val="-4.4444444444444543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5C-449D-A03B-B0FB9272C8C3}"/>
                </c:ext>
              </c:extLst>
            </c:dLbl>
            <c:dLbl>
              <c:idx val="8"/>
              <c:layout>
                <c:manualLayout>
                  <c:x val="-4.4444444444444446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5C-449D-A03B-B0FB9272C8C3}"/>
                </c:ext>
              </c:extLst>
            </c:dLbl>
            <c:dLbl>
              <c:idx val="9"/>
              <c:layout>
                <c:manualLayout>
                  <c:x val="-4.1666666666666664E-2"/>
                  <c:y val="-2.77777777777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5C-449D-A03B-B0FB9272C8C3}"/>
                </c:ext>
              </c:extLst>
            </c:dLbl>
            <c:dLbl>
              <c:idx val="10"/>
              <c:layout>
                <c:manualLayout>
                  <c:x val="-5.833333333333343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5C-449D-A03B-B0FB9272C8C3}"/>
                </c:ext>
              </c:extLst>
            </c:dLbl>
            <c:dLbl>
              <c:idx val="11"/>
              <c:layout>
                <c:manualLayout>
                  <c:x val="-3.6111111111111108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5C-449D-A03B-B0FB9272C8C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Hoja1!$A$1:$L$1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Hoja1!$A$2:$L$2</c:f>
              <c:numCache>
                <c:formatCode>0%</c:formatCode>
                <c:ptCount val="12"/>
                <c:pt idx="0">
                  <c:v>0.53</c:v>
                </c:pt>
                <c:pt idx="1">
                  <c:v>0.62</c:v>
                </c:pt>
                <c:pt idx="2">
                  <c:v>0.63</c:v>
                </c:pt>
                <c:pt idx="3">
                  <c:v>0.72</c:v>
                </c:pt>
                <c:pt idx="4">
                  <c:v>0.72</c:v>
                </c:pt>
                <c:pt idx="5">
                  <c:v>0.75</c:v>
                </c:pt>
                <c:pt idx="6">
                  <c:v>0.69</c:v>
                </c:pt>
                <c:pt idx="7">
                  <c:v>0.7</c:v>
                </c:pt>
                <c:pt idx="8">
                  <c:v>0.77</c:v>
                </c:pt>
                <c:pt idx="9">
                  <c:v>0.8</c:v>
                </c:pt>
                <c:pt idx="10">
                  <c:v>0.81</c:v>
                </c:pt>
                <c:pt idx="11">
                  <c:v>0.83</c:v>
                </c:pt>
              </c:numCache>
            </c:numRef>
          </c:val>
          <c:smooth val="0"/>
          <c:extLst>
            <c:ext xmlns:c16="http://schemas.microsoft.com/office/drawing/2014/chart" uri="{C3380CC4-5D6E-409C-BE32-E72D297353CC}">
              <c16:uniqueId val="{0000000C-7C5C-449D-A03B-B0FB9272C8C3}"/>
            </c:ext>
          </c:extLst>
        </c:ser>
        <c:dLbls>
          <c:showLegendKey val="0"/>
          <c:showVal val="0"/>
          <c:showCatName val="0"/>
          <c:showSerName val="0"/>
          <c:showPercent val="0"/>
          <c:showBubbleSize val="0"/>
        </c:dLbls>
        <c:smooth val="0"/>
        <c:axId val="1053905663"/>
        <c:axId val="1057746239"/>
      </c:lineChart>
      <c:catAx>
        <c:axId val="105390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057746239"/>
        <c:crosses val="autoZero"/>
        <c:auto val="1"/>
        <c:lblAlgn val="ctr"/>
        <c:lblOffset val="100"/>
        <c:noMultiLvlLbl val="0"/>
      </c:catAx>
      <c:valAx>
        <c:axId val="1057746239"/>
        <c:scaling>
          <c:orientation val="minMax"/>
        </c:scaling>
        <c:delete val="1"/>
        <c:axPos val="l"/>
        <c:majorGridlines>
          <c:spPr>
            <a:ln w="9525" cap="flat" cmpd="sng" algn="ctr">
              <a:solidFill>
                <a:schemeClr val="tx1">
                  <a:lumMod val="15000"/>
                  <a:lumOff val="85000"/>
                </a:schemeClr>
              </a:solidFill>
              <a:prstDash val="sysDash"/>
              <a:round/>
            </a:ln>
            <a:effectLst/>
          </c:spPr>
        </c:majorGridlines>
        <c:numFmt formatCode="0%" sourceLinked="1"/>
        <c:majorTickMark val="none"/>
        <c:minorTickMark val="none"/>
        <c:tickLblPos val="nextTo"/>
        <c:crossAx val="1053905663"/>
        <c:crosses val="autoZero"/>
        <c:crossBetween val="between"/>
      </c:valAx>
      <c:spPr>
        <a:noFill/>
        <a:ln>
          <a:solidFill>
            <a:schemeClr val="tx1">
              <a:lumMod val="15000"/>
              <a:lumOff val="85000"/>
            </a:schemeClr>
          </a:solidFill>
          <a:prstDash val="solid"/>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3CFCSSYJ6V66-94-356</_dlc_DocId>
    <_dlc_DocIdUrl xmlns="6e2a57a2-9d48-4009-82e5-3fe89fb6c543">
      <Url>http://www.reincorporacion.gov.co/es/agencia/_layouts/15/DocIdRedir.aspx?ID=3CFCSSYJ6V66-94-356</Url>
      <Description>3CFCSSYJ6V66-94-356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12B59-B27F-4E49-8A57-580A4E841DE9}"/>
</file>

<file path=customXml/itemProps2.xml><?xml version="1.0" encoding="utf-8"?>
<ds:datastoreItem xmlns:ds="http://schemas.openxmlformats.org/officeDocument/2006/customXml" ds:itemID="{206634AF-7965-4542-A750-05F1E467AF51}"/>
</file>

<file path=customXml/itemProps3.xml><?xml version="1.0" encoding="utf-8"?>
<ds:datastoreItem xmlns:ds="http://schemas.openxmlformats.org/officeDocument/2006/customXml" ds:itemID="{62636A3F-F155-40FA-A523-95B61DF44864}"/>
</file>

<file path=customXml/itemProps4.xml><?xml version="1.0" encoding="utf-8"?>
<ds:datastoreItem xmlns:ds="http://schemas.openxmlformats.org/officeDocument/2006/customXml" ds:itemID="{056F00EB-8D14-4CCC-8DE6-3270D00363B0}"/>
</file>

<file path=customXml/itemProps5.xml><?xml version="1.0" encoding="utf-8"?>
<ds:datastoreItem xmlns:ds="http://schemas.openxmlformats.org/officeDocument/2006/customXml" ds:itemID="{DF8B6653-B2AF-4283-94CA-4BF4B3B0B8A7}"/>
</file>

<file path=docProps/app.xml><?xml version="1.0" encoding="utf-8"?>
<Properties xmlns="http://schemas.openxmlformats.org/officeDocument/2006/extended-properties" xmlns:vt="http://schemas.openxmlformats.org/officeDocument/2006/docPropsVTypes">
  <Template>Normal</Template>
  <TotalTime>0</TotalTime>
  <Pages>56</Pages>
  <Words>18954</Words>
  <Characters>104251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122960</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Wbiter Vanessa Bonilla Navia</cp:lastModifiedBy>
  <cp:revision>2</cp:revision>
  <cp:lastPrinted>2020-03-21T00:37:00Z</cp:lastPrinted>
  <dcterms:created xsi:type="dcterms:W3CDTF">2020-03-21T00:42:00Z</dcterms:created>
  <dcterms:modified xsi:type="dcterms:W3CDTF">2020-03-21T00:42:00Z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4d1bc81a-5d31-41b9-9ead-0f44c4a8f635</vt:lpwstr>
  </property>
</Properties>
</file>