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E5B51" w14:textId="77777777" w:rsidR="007C5C0B" w:rsidRDefault="007C5C0B" w:rsidP="0009302A">
      <w:pPr>
        <w:jc w:val="center"/>
        <w:rPr>
          <w:rFonts w:ascii="Arial Narrow" w:hAnsi="Arial Narrow" w:cs="Arial"/>
          <w:i/>
          <w:iCs/>
          <w:sz w:val="22"/>
          <w:szCs w:val="22"/>
        </w:rPr>
      </w:pPr>
      <w:bookmarkStart w:id="0" w:name="_Hlk172127841"/>
    </w:p>
    <w:p w14:paraId="6BE1A171" w14:textId="781A984D" w:rsidR="00CF32C3" w:rsidRPr="0009302A" w:rsidRDefault="00CF32C3" w:rsidP="0009302A">
      <w:pPr>
        <w:jc w:val="center"/>
        <w:rPr>
          <w:rFonts w:ascii="Arial Narrow" w:hAnsi="Arial Narrow" w:cs="Arial"/>
          <w:i/>
          <w:iCs/>
          <w:sz w:val="22"/>
          <w:szCs w:val="22"/>
        </w:rPr>
      </w:pPr>
      <w:r w:rsidRPr="0009302A">
        <w:rPr>
          <w:rFonts w:ascii="Arial Narrow" w:hAnsi="Arial Narrow" w:cs="Arial"/>
          <w:i/>
          <w:iCs/>
          <w:sz w:val="22"/>
          <w:szCs w:val="22"/>
        </w:rPr>
        <w:t>“Por la cual se modifica</w:t>
      </w:r>
      <w:r w:rsidR="00F07D44">
        <w:rPr>
          <w:rFonts w:ascii="Arial Narrow" w:hAnsi="Arial Narrow" w:cs="Arial"/>
          <w:i/>
          <w:iCs/>
          <w:sz w:val="22"/>
          <w:szCs w:val="22"/>
        </w:rPr>
        <w:t xml:space="preserve"> el</w:t>
      </w:r>
      <w:r w:rsidR="00766FB2" w:rsidRPr="0009302A">
        <w:rPr>
          <w:rFonts w:ascii="Arial Narrow" w:hAnsi="Arial Narrow" w:cs="Arial"/>
          <w:i/>
          <w:iCs/>
          <w:sz w:val="22"/>
          <w:szCs w:val="22"/>
        </w:rPr>
        <w:t xml:space="preserve"> </w:t>
      </w:r>
      <w:r w:rsidR="002527B7" w:rsidRPr="0009302A">
        <w:rPr>
          <w:rFonts w:ascii="Arial Narrow" w:hAnsi="Arial Narrow" w:cs="Arial"/>
          <w:i/>
          <w:iCs/>
          <w:sz w:val="22"/>
          <w:szCs w:val="22"/>
        </w:rPr>
        <w:t>artículo</w:t>
      </w:r>
      <w:r w:rsidR="006A2E15">
        <w:rPr>
          <w:rFonts w:ascii="Arial Narrow" w:hAnsi="Arial Narrow" w:cs="Arial"/>
          <w:i/>
          <w:iCs/>
          <w:sz w:val="22"/>
          <w:szCs w:val="22"/>
        </w:rPr>
        <w:t xml:space="preserve"> 7 </w:t>
      </w:r>
      <w:r w:rsidRPr="0009302A">
        <w:rPr>
          <w:rFonts w:ascii="Arial Narrow" w:hAnsi="Arial Narrow" w:cs="Arial"/>
          <w:i/>
          <w:iCs/>
          <w:sz w:val="22"/>
          <w:szCs w:val="22"/>
        </w:rPr>
        <w:t xml:space="preserve">de la Resolución </w:t>
      </w:r>
      <w:r w:rsidR="00DB23AE">
        <w:rPr>
          <w:rFonts w:ascii="Arial Narrow" w:hAnsi="Arial Narrow" w:cs="Arial"/>
          <w:i/>
          <w:iCs/>
          <w:sz w:val="22"/>
          <w:szCs w:val="22"/>
        </w:rPr>
        <w:t xml:space="preserve">1797 </w:t>
      </w:r>
      <w:r w:rsidR="000216FB">
        <w:rPr>
          <w:rFonts w:ascii="Arial Narrow" w:hAnsi="Arial Narrow" w:cs="Arial"/>
          <w:i/>
          <w:iCs/>
          <w:sz w:val="22"/>
          <w:szCs w:val="22"/>
        </w:rPr>
        <w:t>de</w:t>
      </w:r>
      <w:r w:rsidR="00DB23AE">
        <w:rPr>
          <w:rFonts w:ascii="Arial Narrow" w:hAnsi="Arial Narrow" w:cs="Arial"/>
          <w:i/>
          <w:iCs/>
          <w:sz w:val="22"/>
          <w:szCs w:val="22"/>
        </w:rPr>
        <w:t xml:space="preserve"> 2023</w:t>
      </w:r>
      <w:r w:rsidR="002527B7">
        <w:rPr>
          <w:rFonts w:ascii="Arial Narrow" w:hAnsi="Arial Narrow" w:cs="Arial"/>
          <w:i/>
          <w:iCs/>
          <w:sz w:val="22"/>
          <w:szCs w:val="22"/>
        </w:rPr>
        <w:t xml:space="preserve"> modificad</w:t>
      </w:r>
      <w:r w:rsidR="00F74DA0">
        <w:rPr>
          <w:rFonts w:ascii="Arial Narrow" w:hAnsi="Arial Narrow" w:cs="Arial"/>
          <w:i/>
          <w:iCs/>
          <w:sz w:val="22"/>
          <w:szCs w:val="22"/>
        </w:rPr>
        <w:t>o</w:t>
      </w:r>
      <w:r w:rsidR="002527B7">
        <w:rPr>
          <w:rFonts w:ascii="Arial Narrow" w:hAnsi="Arial Narrow" w:cs="Arial"/>
          <w:i/>
          <w:iCs/>
          <w:sz w:val="22"/>
          <w:szCs w:val="22"/>
        </w:rPr>
        <w:t xml:space="preserve"> por </w:t>
      </w:r>
      <w:r w:rsidR="00CC3B07">
        <w:rPr>
          <w:rFonts w:ascii="Arial Narrow" w:hAnsi="Arial Narrow" w:cs="Arial"/>
          <w:i/>
          <w:iCs/>
          <w:sz w:val="22"/>
          <w:szCs w:val="22"/>
        </w:rPr>
        <w:t xml:space="preserve">el artículo 1 de </w:t>
      </w:r>
      <w:r w:rsidR="002527B7">
        <w:rPr>
          <w:rFonts w:ascii="Arial Narrow" w:hAnsi="Arial Narrow" w:cs="Arial"/>
          <w:i/>
          <w:iCs/>
          <w:sz w:val="22"/>
          <w:szCs w:val="22"/>
        </w:rPr>
        <w:t xml:space="preserve">la </w:t>
      </w:r>
      <w:r w:rsidR="0000358E">
        <w:rPr>
          <w:rFonts w:ascii="Arial Narrow" w:hAnsi="Arial Narrow" w:cs="Arial"/>
          <w:i/>
          <w:iCs/>
          <w:sz w:val="22"/>
          <w:szCs w:val="22"/>
        </w:rPr>
        <w:t>R</w:t>
      </w:r>
      <w:r w:rsidR="002527B7">
        <w:rPr>
          <w:rFonts w:ascii="Arial Narrow" w:hAnsi="Arial Narrow" w:cs="Arial"/>
          <w:i/>
          <w:iCs/>
          <w:sz w:val="22"/>
          <w:szCs w:val="22"/>
        </w:rPr>
        <w:t xml:space="preserve">esolución </w:t>
      </w:r>
      <w:r w:rsidR="00DB23AE">
        <w:rPr>
          <w:rFonts w:ascii="Arial Narrow" w:hAnsi="Arial Narrow" w:cs="Arial"/>
          <w:i/>
          <w:iCs/>
          <w:sz w:val="22"/>
          <w:szCs w:val="22"/>
        </w:rPr>
        <w:t>146</w:t>
      </w:r>
      <w:r w:rsidR="002527B7">
        <w:rPr>
          <w:rFonts w:ascii="Arial Narrow" w:hAnsi="Arial Narrow" w:cs="Arial"/>
          <w:i/>
          <w:iCs/>
          <w:sz w:val="22"/>
          <w:szCs w:val="22"/>
        </w:rPr>
        <w:t xml:space="preserve"> de 2025</w:t>
      </w:r>
      <w:r w:rsidR="007E7B2B">
        <w:rPr>
          <w:rFonts w:ascii="Arial Narrow" w:hAnsi="Arial Narrow" w:cs="Arial"/>
          <w:i/>
          <w:iCs/>
          <w:sz w:val="22"/>
          <w:szCs w:val="22"/>
        </w:rPr>
        <w:t>.</w:t>
      </w:r>
      <w:r w:rsidRPr="0009302A">
        <w:rPr>
          <w:rFonts w:ascii="Arial Narrow" w:hAnsi="Arial Narrow" w:cs="Arial"/>
          <w:i/>
          <w:iCs/>
          <w:sz w:val="22"/>
          <w:szCs w:val="22"/>
        </w:rPr>
        <w:t>”</w:t>
      </w:r>
    </w:p>
    <w:p w14:paraId="49FB4FC8" w14:textId="77777777" w:rsidR="00CF32C3" w:rsidRPr="0009302A" w:rsidRDefault="00CF32C3" w:rsidP="0009302A">
      <w:pPr>
        <w:jc w:val="both"/>
        <w:rPr>
          <w:rFonts w:ascii="Arial Narrow" w:hAnsi="Arial Narrow" w:cs="Arial"/>
          <w:sz w:val="22"/>
          <w:szCs w:val="22"/>
        </w:rPr>
      </w:pPr>
    </w:p>
    <w:p w14:paraId="0D09C3B6" w14:textId="77777777" w:rsidR="00025E6F" w:rsidRDefault="00025E6F" w:rsidP="0009302A">
      <w:pPr>
        <w:jc w:val="center"/>
        <w:rPr>
          <w:rFonts w:ascii="Arial Narrow" w:hAnsi="Arial Narrow" w:cs="Arial"/>
          <w:b/>
          <w:bCs/>
          <w:sz w:val="22"/>
          <w:szCs w:val="22"/>
        </w:rPr>
      </w:pPr>
    </w:p>
    <w:p w14:paraId="4930936F" w14:textId="67C1B355" w:rsidR="00CF32C3" w:rsidRPr="0009302A" w:rsidRDefault="00CF32C3" w:rsidP="0009302A">
      <w:pPr>
        <w:jc w:val="center"/>
        <w:rPr>
          <w:rFonts w:ascii="Arial Narrow" w:hAnsi="Arial Narrow" w:cs="Arial"/>
          <w:b/>
          <w:bCs/>
          <w:sz w:val="22"/>
          <w:szCs w:val="22"/>
        </w:rPr>
      </w:pPr>
      <w:r w:rsidRPr="0009302A">
        <w:rPr>
          <w:rFonts w:ascii="Arial Narrow" w:hAnsi="Arial Narrow" w:cs="Arial"/>
          <w:b/>
          <w:bCs/>
          <w:sz w:val="22"/>
          <w:szCs w:val="22"/>
        </w:rPr>
        <w:t>LA DIRECTORA GENERAL DE LA AGENCIA PARA LA REINCORPORACIÓN Y LA NORMALIZACIÓN</w:t>
      </w:r>
    </w:p>
    <w:p w14:paraId="6794D2C0" w14:textId="77777777" w:rsidR="00CF32C3" w:rsidRPr="0009302A" w:rsidRDefault="00CF32C3" w:rsidP="0009302A">
      <w:pPr>
        <w:jc w:val="both"/>
        <w:rPr>
          <w:rFonts w:ascii="Arial Narrow" w:hAnsi="Arial Narrow" w:cs="Arial"/>
          <w:sz w:val="22"/>
          <w:szCs w:val="22"/>
        </w:rPr>
      </w:pPr>
    </w:p>
    <w:p w14:paraId="558DF0E8" w14:textId="77777777" w:rsidR="00025E6F" w:rsidRDefault="00025E6F" w:rsidP="0009302A">
      <w:pPr>
        <w:jc w:val="center"/>
        <w:rPr>
          <w:rFonts w:ascii="Arial Narrow" w:hAnsi="Arial Narrow" w:cs="Arial"/>
          <w:sz w:val="22"/>
          <w:szCs w:val="22"/>
        </w:rPr>
      </w:pPr>
    </w:p>
    <w:p w14:paraId="53661040" w14:textId="20CC574B" w:rsidR="00CF32C3" w:rsidRPr="0009302A" w:rsidRDefault="00CF32C3" w:rsidP="0009302A">
      <w:pPr>
        <w:jc w:val="center"/>
        <w:rPr>
          <w:rFonts w:ascii="Arial Narrow" w:hAnsi="Arial Narrow" w:cs="Arial"/>
          <w:sz w:val="22"/>
          <w:szCs w:val="22"/>
        </w:rPr>
      </w:pPr>
      <w:r w:rsidRPr="0009302A">
        <w:rPr>
          <w:rFonts w:ascii="Arial Narrow" w:hAnsi="Arial Narrow" w:cs="Arial"/>
          <w:sz w:val="22"/>
          <w:szCs w:val="22"/>
        </w:rPr>
        <w:t xml:space="preserve">En ejercicio de sus facultades legales y </w:t>
      </w:r>
      <w:r w:rsidR="00CF04F7" w:rsidRPr="00536C15">
        <w:rPr>
          <w:rFonts w:ascii="Arial Narrow" w:hAnsi="Arial Narrow"/>
          <w:sz w:val="23"/>
          <w:szCs w:val="23"/>
          <w:lang w:val="es-MX"/>
        </w:rPr>
        <w:t>en particular, la prevista en el numeral 23 del artículo 5 del Decreto Ley 4138 de 2011</w:t>
      </w:r>
      <w:r w:rsidRPr="0009302A">
        <w:rPr>
          <w:rFonts w:ascii="Arial Narrow" w:hAnsi="Arial Narrow" w:cs="Arial"/>
          <w:sz w:val="22"/>
          <w:szCs w:val="22"/>
        </w:rPr>
        <w:t>, y</w:t>
      </w:r>
    </w:p>
    <w:p w14:paraId="0D8A54CC" w14:textId="77777777" w:rsidR="00CF32C3" w:rsidRPr="0009302A" w:rsidRDefault="00CF32C3" w:rsidP="0009302A">
      <w:pPr>
        <w:jc w:val="both"/>
        <w:rPr>
          <w:rFonts w:ascii="Arial Narrow" w:hAnsi="Arial Narrow" w:cs="Arial"/>
          <w:sz w:val="22"/>
          <w:szCs w:val="22"/>
        </w:rPr>
      </w:pPr>
    </w:p>
    <w:p w14:paraId="172DA200" w14:textId="77777777" w:rsidR="00025E6F" w:rsidRDefault="00025E6F" w:rsidP="0009302A">
      <w:pPr>
        <w:jc w:val="center"/>
        <w:rPr>
          <w:rFonts w:ascii="Arial Narrow" w:hAnsi="Arial Narrow" w:cs="Arial"/>
          <w:b/>
          <w:bCs/>
          <w:sz w:val="22"/>
          <w:szCs w:val="22"/>
        </w:rPr>
      </w:pPr>
    </w:p>
    <w:p w14:paraId="5715ABCC" w14:textId="415FE6FF" w:rsidR="00CF32C3" w:rsidRPr="0009302A" w:rsidRDefault="00CF32C3" w:rsidP="0009302A">
      <w:pPr>
        <w:jc w:val="center"/>
        <w:rPr>
          <w:rFonts w:ascii="Arial Narrow" w:hAnsi="Arial Narrow" w:cs="Arial"/>
          <w:b/>
          <w:bCs/>
          <w:sz w:val="22"/>
          <w:szCs w:val="22"/>
        </w:rPr>
      </w:pPr>
      <w:r w:rsidRPr="0009302A">
        <w:rPr>
          <w:rFonts w:ascii="Arial Narrow" w:hAnsi="Arial Narrow" w:cs="Arial"/>
          <w:b/>
          <w:bCs/>
          <w:sz w:val="22"/>
          <w:szCs w:val="22"/>
        </w:rPr>
        <w:t>CONSIDERANDO</w:t>
      </w:r>
    </w:p>
    <w:p w14:paraId="5F35684B" w14:textId="77777777" w:rsidR="00CF32C3" w:rsidRPr="0009302A" w:rsidRDefault="00CF32C3" w:rsidP="0009302A">
      <w:pPr>
        <w:jc w:val="both"/>
        <w:rPr>
          <w:rFonts w:ascii="Arial Narrow" w:hAnsi="Arial Narrow"/>
          <w:sz w:val="22"/>
          <w:szCs w:val="22"/>
          <w:lang w:val="es-MX"/>
        </w:rPr>
      </w:pPr>
    </w:p>
    <w:p w14:paraId="0157D396" w14:textId="77777777" w:rsidR="00913F03" w:rsidRPr="00913F03" w:rsidRDefault="00913F03" w:rsidP="00913F03">
      <w:pPr>
        <w:jc w:val="both"/>
        <w:rPr>
          <w:rFonts w:ascii="Arial Narrow" w:hAnsi="Arial Narrow"/>
          <w:sz w:val="22"/>
          <w:szCs w:val="22"/>
          <w:lang w:val="es-CO"/>
        </w:rPr>
      </w:pPr>
    </w:p>
    <w:p w14:paraId="215CCD7A" w14:textId="5A3D8953" w:rsidR="00913F03" w:rsidRDefault="00913F03" w:rsidP="00913F03">
      <w:pPr>
        <w:jc w:val="both"/>
        <w:rPr>
          <w:rFonts w:ascii="Arial Narrow" w:hAnsi="Arial Narrow"/>
          <w:sz w:val="22"/>
          <w:szCs w:val="22"/>
          <w:lang w:val="es-CO"/>
        </w:rPr>
      </w:pPr>
      <w:r w:rsidRPr="00913F03">
        <w:rPr>
          <w:rFonts w:ascii="Arial Narrow" w:hAnsi="Arial Narrow"/>
          <w:sz w:val="22"/>
          <w:szCs w:val="22"/>
          <w:lang w:val="es-CO"/>
        </w:rPr>
        <w:t xml:space="preserve">Que mediante el Decreto Ley 4138 de 2011, se creó la Agencia Colombiana para la Reintegración de Personas y Grupos Alzados en Armas (ACR), como una Unidad Administrativa Especial del orden nacional, dotada de personería jurídica y patrimonio independiente, adscrita al Departamento Administrativo de la Presidencia de la República. </w:t>
      </w:r>
    </w:p>
    <w:p w14:paraId="02534485" w14:textId="77777777" w:rsidR="009A5146" w:rsidRPr="00913F03" w:rsidRDefault="009A5146" w:rsidP="00913F03">
      <w:pPr>
        <w:jc w:val="both"/>
        <w:rPr>
          <w:rFonts w:ascii="Arial Narrow" w:hAnsi="Arial Narrow"/>
          <w:sz w:val="22"/>
          <w:szCs w:val="22"/>
          <w:lang w:val="es-CO"/>
        </w:rPr>
      </w:pPr>
    </w:p>
    <w:p w14:paraId="00438CB4" w14:textId="338899A1" w:rsidR="00913F03" w:rsidRDefault="00913F03" w:rsidP="00913F03">
      <w:pPr>
        <w:jc w:val="both"/>
        <w:rPr>
          <w:rFonts w:ascii="Arial Narrow" w:hAnsi="Arial Narrow"/>
          <w:i/>
          <w:iCs/>
          <w:sz w:val="22"/>
          <w:szCs w:val="22"/>
          <w:lang w:val="es-CO"/>
        </w:rPr>
      </w:pPr>
      <w:r w:rsidRPr="00913F03">
        <w:rPr>
          <w:rFonts w:ascii="Arial Narrow" w:hAnsi="Arial Narrow"/>
          <w:sz w:val="22"/>
          <w:szCs w:val="22"/>
          <w:lang w:val="es-CO"/>
        </w:rPr>
        <w:t xml:space="preserve">Que el Decreto Ley 897 de 2017 en su artículo 1, modificó la denominación de la </w:t>
      </w:r>
      <w:r w:rsidR="00CC3B07">
        <w:rPr>
          <w:rFonts w:ascii="Arial Narrow" w:hAnsi="Arial Narrow"/>
          <w:sz w:val="22"/>
          <w:szCs w:val="22"/>
          <w:lang w:val="es-CO"/>
        </w:rPr>
        <w:t>E</w:t>
      </w:r>
      <w:r w:rsidRPr="00913F03">
        <w:rPr>
          <w:rFonts w:ascii="Arial Narrow" w:hAnsi="Arial Narrow"/>
          <w:sz w:val="22"/>
          <w:szCs w:val="22"/>
          <w:lang w:val="es-CO"/>
        </w:rPr>
        <w:t xml:space="preserve">ntidad por Agencia para la Reincorporación y la Normalización (ARN) y por medio de la Ley 2294 de 2023, en su artículo 17 modificó el objeto de la ARN de la siguiente manera: </w:t>
      </w:r>
      <w:r w:rsidRPr="00025C84">
        <w:rPr>
          <w:rFonts w:ascii="Arial Narrow" w:hAnsi="Arial Narrow"/>
          <w:sz w:val="22"/>
          <w:szCs w:val="22"/>
          <w:lang w:val="es-CO"/>
        </w:rPr>
        <w:t>“La Agencia para la Reincorporación y la Normalización (ARN), tiene como objeto gestionar, implementar, coordinar y evaluar, de forma articulada con las entidades e instancias competentes, las políticas de inclusión en la vida civil en el marco de los programas de reinserción, reintegración, reincorporación 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Jurisdicción Especial para la Paz, con el fin de promover la construcción de la paz, la seguridad humana y la reconciliación.”</w:t>
      </w:r>
      <w:r w:rsidRPr="00913F03">
        <w:rPr>
          <w:rFonts w:ascii="Arial Narrow" w:hAnsi="Arial Narrow"/>
          <w:i/>
          <w:iCs/>
          <w:sz w:val="22"/>
          <w:szCs w:val="22"/>
          <w:lang w:val="es-CO"/>
        </w:rPr>
        <w:t xml:space="preserve"> </w:t>
      </w:r>
    </w:p>
    <w:p w14:paraId="69FF8D3A" w14:textId="77777777" w:rsidR="00DA21F8" w:rsidRPr="00913F03" w:rsidRDefault="00DA21F8" w:rsidP="00913F03">
      <w:pPr>
        <w:jc w:val="both"/>
        <w:rPr>
          <w:rFonts w:ascii="Arial Narrow" w:hAnsi="Arial Narrow"/>
          <w:sz w:val="22"/>
          <w:szCs w:val="22"/>
          <w:lang w:val="es-CO"/>
        </w:rPr>
      </w:pPr>
    </w:p>
    <w:p w14:paraId="3A798A07" w14:textId="77777777" w:rsidR="00913F03" w:rsidRDefault="00913F03" w:rsidP="00913F03">
      <w:pPr>
        <w:jc w:val="both"/>
        <w:rPr>
          <w:rFonts w:ascii="Arial Narrow" w:hAnsi="Arial Narrow"/>
          <w:sz w:val="22"/>
          <w:szCs w:val="22"/>
          <w:lang w:val="es-CO"/>
        </w:rPr>
      </w:pPr>
      <w:r w:rsidRPr="00913F03">
        <w:rPr>
          <w:rFonts w:ascii="Arial Narrow" w:hAnsi="Arial Narrow"/>
          <w:sz w:val="22"/>
          <w:szCs w:val="22"/>
          <w:lang w:val="es-CO"/>
        </w:rPr>
        <w:t xml:space="preserve">Que el Decreto Ley 899 de 2017, establece medidas e instrumentos para la reincorporación económica y social, colectiva e individual de los exintegrantes de las FARC-EP, acreditados por la Oficina del Alto Comisionado para la Paz, en materia de salud, protección social, proyectos productivos y de vivienda, así como los beneficios de Asignación Única de Normalización, Renta Básica, Asignación Mensual y acceso al sistema financiero, entre otras disposiciones. </w:t>
      </w:r>
    </w:p>
    <w:p w14:paraId="1639DE95" w14:textId="77777777" w:rsidR="009A5146" w:rsidRPr="00913F03" w:rsidRDefault="009A5146" w:rsidP="00913F03">
      <w:pPr>
        <w:jc w:val="both"/>
        <w:rPr>
          <w:rFonts w:ascii="Arial Narrow" w:hAnsi="Arial Narrow"/>
          <w:sz w:val="22"/>
          <w:szCs w:val="22"/>
          <w:lang w:val="es-CO"/>
        </w:rPr>
      </w:pPr>
    </w:p>
    <w:p w14:paraId="63B10C51" w14:textId="1DE0F85F" w:rsidR="00913F03" w:rsidRDefault="00913F03" w:rsidP="00913F03">
      <w:pPr>
        <w:jc w:val="both"/>
        <w:rPr>
          <w:rFonts w:ascii="Arial Narrow" w:hAnsi="Arial Narrow"/>
          <w:sz w:val="22"/>
          <w:szCs w:val="22"/>
          <w:lang w:val="es-CO"/>
        </w:rPr>
      </w:pPr>
      <w:r w:rsidRPr="00913F03">
        <w:rPr>
          <w:rFonts w:ascii="Arial Narrow" w:hAnsi="Arial Narrow"/>
          <w:sz w:val="22"/>
          <w:szCs w:val="22"/>
          <w:lang w:val="es-CO"/>
        </w:rPr>
        <w:t>Que, con el propósito de afianzar la propuesta institucional de acompañamiento en el tránsito a la vida civil de la población en reincorporación, el Gobierno nacional</w:t>
      </w:r>
      <w:r w:rsidR="009A5146">
        <w:rPr>
          <w:rFonts w:ascii="Arial Narrow" w:hAnsi="Arial Narrow"/>
          <w:sz w:val="22"/>
          <w:szCs w:val="22"/>
          <w:lang w:val="es-CO"/>
        </w:rPr>
        <w:t>,</w:t>
      </w:r>
      <w:r w:rsidRPr="00913F03">
        <w:rPr>
          <w:rFonts w:ascii="Arial Narrow" w:hAnsi="Arial Narrow"/>
          <w:sz w:val="22"/>
          <w:szCs w:val="22"/>
          <w:lang w:val="es-CO"/>
        </w:rPr>
        <w:t xml:space="preserve"> mediante el Decreto 1629 de 2019, adicionó</w:t>
      </w:r>
      <w:r w:rsidR="00CC3B07">
        <w:rPr>
          <w:rFonts w:ascii="Arial Narrow" w:hAnsi="Arial Narrow"/>
          <w:sz w:val="22"/>
          <w:szCs w:val="22"/>
          <w:lang w:val="es-CO"/>
        </w:rPr>
        <w:t xml:space="preserve"> en el artículo 1 el numeral 23 del artículo 5 del Decreto Ley 4138 de 2011, asignándole</w:t>
      </w:r>
      <w:r w:rsidR="00025C84">
        <w:rPr>
          <w:rFonts w:ascii="Arial Narrow" w:hAnsi="Arial Narrow"/>
          <w:sz w:val="22"/>
          <w:szCs w:val="22"/>
          <w:lang w:val="es-CO"/>
        </w:rPr>
        <w:t xml:space="preserve"> </w:t>
      </w:r>
      <w:r w:rsidRPr="00913F03">
        <w:rPr>
          <w:rFonts w:ascii="Arial Narrow" w:hAnsi="Arial Narrow"/>
          <w:sz w:val="22"/>
          <w:szCs w:val="22"/>
          <w:lang w:val="es-CO"/>
        </w:rPr>
        <w:t>a la Agencia para la Reincorporación y la Normalización (ARN)</w:t>
      </w:r>
      <w:r w:rsidR="009A5146">
        <w:rPr>
          <w:rFonts w:ascii="Arial Narrow" w:hAnsi="Arial Narrow"/>
          <w:sz w:val="22"/>
          <w:szCs w:val="22"/>
          <w:lang w:val="es-CO"/>
        </w:rPr>
        <w:t xml:space="preserve"> la función de</w:t>
      </w:r>
      <w:r w:rsidRPr="00913F03">
        <w:rPr>
          <w:rFonts w:ascii="Arial Narrow" w:hAnsi="Arial Narrow"/>
          <w:sz w:val="22"/>
          <w:szCs w:val="22"/>
          <w:lang w:val="es-CO"/>
        </w:rPr>
        <w:t xml:space="preserve"> establecer los suministros necesarios para adelantar el proceso de reincorporación en los lugares y por el término definido por el Gobierno nacional. </w:t>
      </w:r>
    </w:p>
    <w:p w14:paraId="73C803B6" w14:textId="77777777" w:rsidR="004A69E8" w:rsidRPr="00913F03" w:rsidRDefault="004A69E8" w:rsidP="00913F03">
      <w:pPr>
        <w:jc w:val="both"/>
        <w:rPr>
          <w:rFonts w:ascii="Arial Narrow" w:hAnsi="Arial Narrow"/>
          <w:sz w:val="22"/>
          <w:szCs w:val="22"/>
          <w:lang w:val="es-CO"/>
        </w:rPr>
      </w:pPr>
    </w:p>
    <w:p w14:paraId="14997D87" w14:textId="38A140B0" w:rsidR="00025E6F" w:rsidRDefault="00913F03" w:rsidP="00913F03">
      <w:pPr>
        <w:jc w:val="both"/>
        <w:rPr>
          <w:rFonts w:ascii="Arial Narrow" w:hAnsi="Arial Narrow"/>
          <w:sz w:val="22"/>
          <w:szCs w:val="22"/>
          <w:lang w:val="es-CO"/>
        </w:rPr>
      </w:pPr>
      <w:r w:rsidRPr="00913F03">
        <w:rPr>
          <w:rFonts w:ascii="Arial Narrow" w:hAnsi="Arial Narrow"/>
          <w:sz w:val="22"/>
          <w:szCs w:val="22"/>
          <w:lang w:val="es-CO"/>
        </w:rPr>
        <w:t>Que mediante el Decreto 1230 de 2023 se modificó la</w:t>
      </w:r>
      <w:r w:rsidR="00CC3B07">
        <w:rPr>
          <w:rFonts w:ascii="Arial Narrow" w:hAnsi="Arial Narrow"/>
          <w:sz w:val="22"/>
          <w:szCs w:val="22"/>
          <w:lang w:val="es-CO"/>
        </w:rPr>
        <w:t xml:space="preserve"> citada</w:t>
      </w:r>
      <w:r w:rsidR="00025C84">
        <w:rPr>
          <w:rFonts w:ascii="Arial Narrow" w:hAnsi="Arial Narrow"/>
          <w:sz w:val="22"/>
          <w:szCs w:val="22"/>
          <w:lang w:val="es-CO"/>
        </w:rPr>
        <w:t xml:space="preserve"> </w:t>
      </w:r>
      <w:r w:rsidRPr="00913F03">
        <w:rPr>
          <w:rFonts w:ascii="Arial Narrow" w:hAnsi="Arial Narrow"/>
          <w:sz w:val="22"/>
          <w:szCs w:val="22"/>
          <w:lang w:val="es-CO"/>
        </w:rPr>
        <w:t>función adicionada por el Decreto 1629 de 2019 a la Agencia para la Reincorporación y la Normalización (ARN)</w:t>
      </w:r>
      <w:r w:rsidR="00CC3B07">
        <w:rPr>
          <w:rFonts w:ascii="Arial Narrow" w:hAnsi="Arial Narrow"/>
          <w:sz w:val="22"/>
          <w:szCs w:val="22"/>
          <w:lang w:val="es-CO"/>
        </w:rPr>
        <w:t xml:space="preserve">, </w:t>
      </w:r>
      <w:r w:rsidRPr="00913F03">
        <w:rPr>
          <w:rFonts w:ascii="Arial Narrow" w:hAnsi="Arial Narrow"/>
          <w:sz w:val="22"/>
          <w:szCs w:val="22"/>
          <w:lang w:val="es-CO"/>
        </w:rPr>
        <w:t>con el propósito de ampliar el margen de gestión institucional para administrar los bienes y servicios, así como establecer los suministros económicos y en especie para alimentación necesarios para el proceso de reincorporación, en el marco de sus competencias legales.</w:t>
      </w:r>
    </w:p>
    <w:p w14:paraId="4B13EBD5" w14:textId="77777777" w:rsidR="00A61A97" w:rsidRDefault="00A61A97" w:rsidP="00913F03">
      <w:pPr>
        <w:jc w:val="both"/>
        <w:rPr>
          <w:rFonts w:ascii="Arial Narrow" w:hAnsi="Arial Narrow"/>
          <w:sz w:val="22"/>
          <w:szCs w:val="22"/>
          <w:lang w:val="es-CO"/>
        </w:rPr>
      </w:pPr>
    </w:p>
    <w:p w14:paraId="7B7AE31B" w14:textId="78C1F211" w:rsidR="00A61A97" w:rsidRDefault="00A61A97" w:rsidP="00A61A97">
      <w:pPr>
        <w:jc w:val="both"/>
        <w:rPr>
          <w:rFonts w:ascii="Arial Narrow" w:hAnsi="Arial Narrow"/>
          <w:sz w:val="22"/>
          <w:szCs w:val="22"/>
          <w:lang w:val="es-CO"/>
        </w:rPr>
      </w:pPr>
      <w:r w:rsidRPr="00A61A97">
        <w:rPr>
          <w:rFonts w:ascii="Arial Narrow" w:hAnsi="Arial Narrow"/>
          <w:sz w:val="22"/>
          <w:szCs w:val="22"/>
          <w:lang w:val="es-CO"/>
        </w:rPr>
        <w:t xml:space="preserve">Que la Agencia para la Reincorporación y la Normalización (ARN) en el marco de la expedición del Decreto 1230 de e 2023, realizó un estudio titulado </w:t>
      </w:r>
      <w:r w:rsidRPr="00025C84">
        <w:rPr>
          <w:rFonts w:ascii="Arial Narrow" w:hAnsi="Arial Narrow"/>
          <w:sz w:val="22"/>
          <w:szCs w:val="22"/>
          <w:lang w:val="es-CO"/>
        </w:rPr>
        <w:t>“Estudio Técnico para Modificar la Función Contenida en el numeral 23 del Artículo 5 del Decreto Ley 4138 de 2011, norma que establece las Funciones de la Agencia para la Reincorporación y la Normalización (ARN)”</w:t>
      </w:r>
      <w:r w:rsidRPr="00A61A97">
        <w:rPr>
          <w:rFonts w:ascii="Arial Narrow" w:hAnsi="Arial Narrow"/>
          <w:sz w:val="22"/>
          <w:szCs w:val="22"/>
          <w:lang w:val="es-CO"/>
        </w:rPr>
        <w:t xml:space="preserve">, con el fin de valorar la posibilidad de </w:t>
      </w:r>
      <w:r w:rsidR="00226D4D" w:rsidRPr="00A61A97">
        <w:rPr>
          <w:rFonts w:ascii="Arial Narrow" w:hAnsi="Arial Narrow"/>
          <w:sz w:val="22"/>
          <w:szCs w:val="22"/>
          <w:lang w:val="es-CO"/>
        </w:rPr>
        <w:t>varia</w:t>
      </w:r>
      <w:r w:rsidR="00226D4D">
        <w:rPr>
          <w:rFonts w:ascii="Arial Narrow" w:hAnsi="Arial Narrow"/>
          <w:sz w:val="22"/>
          <w:szCs w:val="22"/>
          <w:lang w:val="es-CO"/>
        </w:rPr>
        <w:t xml:space="preserve">r </w:t>
      </w:r>
      <w:r w:rsidRPr="00A61A97">
        <w:rPr>
          <w:rFonts w:ascii="Arial Narrow" w:hAnsi="Arial Narrow"/>
          <w:sz w:val="22"/>
          <w:szCs w:val="22"/>
          <w:lang w:val="es-CO"/>
        </w:rPr>
        <w:t xml:space="preserve">el modelo </w:t>
      </w:r>
      <w:r w:rsidR="00226D4D">
        <w:rPr>
          <w:rFonts w:ascii="Arial Narrow" w:hAnsi="Arial Narrow"/>
          <w:sz w:val="22"/>
          <w:szCs w:val="22"/>
          <w:lang w:val="es-CO"/>
        </w:rPr>
        <w:t xml:space="preserve">entonces vigente </w:t>
      </w:r>
      <w:r w:rsidRPr="00A61A97">
        <w:rPr>
          <w:rFonts w:ascii="Arial Narrow" w:hAnsi="Arial Narrow"/>
          <w:sz w:val="22"/>
          <w:szCs w:val="22"/>
          <w:lang w:val="es-CO"/>
        </w:rPr>
        <w:t>de suministro de víveres secos</w:t>
      </w:r>
      <w:r w:rsidR="00CF04F7">
        <w:rPr>
          <w:rFonts w:ascii="Arial Narrow" w:hAnsi="Arial Narrow"/>
          <w:sz w:val="22"/>
          <w:szCs w:val="22"/>
          <w:lang w:val="es-CO"/>
        </w:rPr>
        <w:t>.</w:t>
      </w:r>
      <w:r w:rsidRPr="00A61A97">
        <w:rPr>
          <w:rFonts w:ascii="Arial Narrow" w:hAnsi="Arial Narrow"/>
          <w:sz w:val="22"/>
          <w:szCs w:val="22"/>
          <w:lang w:val="es-CO"/>
        </w:rPr>
        <w:t xml:space="preserve"> </w:t>
      </w:r>
    </w:p>
    <w:p w14:paraId="3F2CA978" w14:textId="77777777" w:rsidR="004A69E8" w:rsidRPr="00A61A97" w:rsidRDefault="004A69E8" w:rsidP="00A61A97">
      <w:pPr>
        <w:jc w:val="both"/>
        <w:rPr>
          <w:rFonts w:ascii="Arial Narrow" w:hAnsi="Arial Narrow"/>
          <w:sz w:val="22"/>
          <w:szCs w:val="22"/>
          <w:lang w:val="es-CO"/>
        </w:rPr>
      </w:pPr>
    </w:p>
    <w:p w14:paraId="34676BC9" w14:textId="3CF449B7" w:rsidR="00A61A97" w:rsidRDefault="00A61A97" w:rsidP="00A61A97">
      <w:pPr>
        <w:jc w:val="both"/>
        <w:rPr>
          <w:rFonts w:ascii="Arial Narrow" w:hAnsi="Arial Narrow"/>
          <w:sz w:val="22"/>
          <w:szCs w:val="22"/>
          <w:lang w:val="es-CO"/>
        </w:rPr>
      </w:pPr>
      <w:r w:rsidRPr="00A61A97">
        <w:rPr>
          <w:rFonts w:ascii="Arial Narrow" w:hAnsi="Arial Narrow"/>
          <w:sz w:val="22"/>
          <w:szCs w:val="22"/>
          <w:lang w:val="es-CO"/>
        </w:rPr>
        <w:t>Que, bajo este contexto, mediante Resolución 1797 de 2023</w:t>
      </w:r>
      <w:r w:rsidR="00226D4D">
        <w:rPr>
          <w:rFonts w:ascii="Arial Narrow" w:hAnsi="Arial Narrow"/>
          <w:sz w:val="22"/>
          <w:szCs w:val="22"/>
          <w:lang w:val="es-CO"/>
        </w:rPr>
        <w:t>,</w:t>
      </w:r>
      <w:r w:rsidR="00730184">
        <w:rPr>
          <w:rFonts w:ascii="Arial Narrow" w:hAnsi="Arial Narrow"/>
          <w:sz w:val="22"/>
          <w:szCs w:val="22"/>
          <w:lang w:val="es-CO"/>
        </w:rPr>
        <w:t xml:space="preserve"> modificada por la </w:t>
      </w:r>
      <w:r w:rsidR="00226D4D">
        <w:rPr>
          <w:rFonts w:ascii="Arial Narrow" w:hAnsi="Arial Narrow"/>
          <w:sz w:val="22"/>
          <w:szCs w:val="22"/>
          <w:lang w:val="es-CO"/>
        </w:rPr>
        <w:t>R</w:t>
      </w:r>
      <w:r w:rsidR="00730184">
        <w:rPr>
          <w:rFonts w:ascii="Arial Narrow" w:hAnsi="Arial Narrow"/>
          <w:sz w:val="22"/>
          <w:szCs w:val="22"/>
          <w:lang w:val="es-CO"/>
        </w:rPr>
        <w:t xml:space="preserve">esolución </w:t>
      </w:r>
      <w:r w:rsidR="0037766B">
        <w:rPr>
          <w:rFonts w:ascii="Arial Narrow" w:hAnsi="Arial Narrow"/>
          <w:sz w:val="22"/>
          <w:szCs w:val="22"/>
          <w:lang w:val="es-CO"/>
        </w:rPr>
        <w:t>0146 de 2025</w:t>
      </w:r>
      <w:r w:rsidRPr="00A61A97">
        <w:rPr>
          <w:rFonts w:ascii="Arial Narrow" w:hAnsi="Arial Narrow"/>
          <w:sz w:val="22"/>
          <w:szCs w:val="22"/>
          <w:lang w:val="es-CO"/>
        </w:rPr>
        <w:t>, la Agencia para la Reincorporación y la Normalización (ARN) reg</w:t>
      </w:r>
      <w:r w:rsidR="00745466">
        <w:rPr>
          <w:rFonts w:ascii="Arial Narrow" w:hAnsi="Arial Narrow"/>
          <w:sz w:val="22"/>
          <w:szCs w:val="22"/>
          <w:lang w:val="es-CO"/>
        </w:rPr>
        <w:t>uló</w:t>
      </w:r>
      <w:r w:rsidRPr="00A61A97">
        <w:rPr>
          <w:rFonts w:ascii="Arial Narrow" w:hAnsi="Arial Narrow"/>
          <w:sz w:val="22"/>
          <w:szCs w:val="22"/>
          <w:lang w:val="es-CO"/>
        </w:rPr>
        <w:t xml:space="preserve"> las condiciones de acceso al Suministro Económico de Alimentación para las personas en proceso de reincorporación</w:t>
      </w:r>
      <w:r w:rsidR="00C1276A">
        <w:rPr>
          <w:rFonts w:ascii="Arial Narrow" w:hAnsi="Arial Narrow"/>
          <w:sz w:val="22"/>
          <w:szCs w:val="22"/>
          <w:lang w:val="es-CO"/>
        </w:rPr>
        <w:t xml:space="preserve">, estableciendo </w:t>
      </w:r>
      <w:r w:rsidR="00AA0004">
        <w:rPr>
          <w:rFonts w:ascii="Arial Narrow" w:hAnsi="Arial Narrow"/>
          <w:sz w:val="22"/>
          <w:szCs w:val="22"/>
          <w:lang w:val="es-CO"/>
        </w:rPr>
        <w:t>en su</w:t>
      </w:r>
      <w:r w:rsidR="00025C84">
        <w:rPr>
          <w:rFonts w:ascii="Arial Narrow" w:hAnsi="Arial Narrow"/>
          <w:sz w:val="22"/>
          <w:szCs w:val="22"/>
          <w:lang w:val="es-CO"/>
        </w:rPr>
        <w:t xml:space="preserve"> </w:t>
      </w:r>
      <w:r w:rsidR="00AA0004">
        <w:rPr>
          <w:rFonts w:ascii="Arial Narrow" w:hAnsi="Arial Narrow"/>
          <w:sz w:val="22"/>
          <w:szCs w:val="22"/>
          <w:lang w:val="es-CO"/>
        </w:rPr>
        <w:t xml:space="preserve">artículo 7 </w:t>
      </w:r>
      <w:r w:rsidR="00C1276A">
        <w:rPr>
          <w:rFonts w:ascii="Arial Narrow" w:hAnsi="Arial Narrow"/>
          <w:sz w:val="22"/>
          <w:szCs w:val="22"/>
          <w:lang w:val="es-CO"/>
        </w:rPr>
        <w:t xml:space="preserve">como </w:t>
      </w:r>
      <w:r w:rsidR="00381CBF">
        <w:rPr>
          <w:rFonts w:ascii="Arial Narrow" w:hAnsi="Arial Narrow"/>
          <w:sz w:val="22"/>
          <w:szCs w:val="22"/>
          <w:lang w:val="es-CO"/>
        </w:rPr>
        <w:t xml:space="preserve">requisito </w:t>
      </w:r>
      <w:r w:rsidR="00AA0004">
        <w:rPr>
          <w:rFonts w:ascii="Arial Narrow" w:hAnsi="Arial Narrow"/>
          <w:sz w:val="22"/>
          <w:szCs w:val="22"/>
          <w:lang w:val="es-CO"/>
        </w:rPr>
        <w:t>para</w:t>
      </w:r>
      <w:r w:rsidR="00025C84">
        <w:rPr>
          <w:rFonts w:ascii="Arial Narrow" w:hAnsi="Arial Narrow"/>
          <w:sz w:val="22"/>
          <w:szCs w:val="22"/>
          <w:lang w:val="es-CO"/>
        </w:rPr>
        <w:t xml:space="preserve"> </w:t>
      </w:r>
      <w:r w:rsidR="00AA0004">
        <w:rPr>
          <w:rFonts w:ascii="Arial Narrow" w:hAnsi="Arial Narrow"/>
          <w:sz w:val="22"/>
          <w:szCs w:val="22"/>
          <w:lang w:val="es-CO"/>
        </w:rPr>
        <w:t xml:space="preserve">el </w:t>
      </w:r>
      <w:r w:rsidR="00381CBF">
        <w:rPr>
          <w:rFonts w:ascii="Arial Narrow" w:hAnsi="Arial Narrow"/>
          <w:sz w:val="22"/>
          <w:szCs w:val="22"/>
          <w:lang w:val="es-CO"/>
        </w:rPr>
        <w:t>otorgamiento</w:t>
      </w:r>
      <w:r w:rsidR="00C1276A">
        <w:rPr>
          <w:rFonts w:ascii="Arial Narrow" w:hAnsi="Arial Narrow"/>
          <w:sz w:val="22"/>
          <w:szCs w:val="22"/>
          <w:lang w:val="es-CO"/>
        </w:rPr>
        <w:t xml:space="preserve"> </w:t>
      </w:r>
      <w:r w:rsidR="00AA0004">
        <w:rPr>
          <w:rFonts w:ascii="Arial Narrow" w:hAnsi="Arial Narrow"/>
          <w:sz w:val="22"/>
          <w:szCs w:val="22"/>
          <w:lang w:val="es-CO"/>
        </w:rPr>
        <w:t xml:space="preserve">del Suministro </w:t>
      </w:r>
      <w:r w:rsidR="00745466">
        <w:rPr>
          <w:rFonts w:ascii="Arial Narrow" w:hAnsi="Arial Narrow"/>
          <w:sz w:val="22"/>
          <w:szCs w:val="22"/>
          <w:lang w:val="es-CO"/>
        </w:rPr>
        <w:t>E</w:t>
      </w:r>
      <w:r w:rsidR="00AA0004">
        <w:rPr>
          <w:rFonts w:ascii="Arial Narrow" w:hAnsi="Arial Narrow"/>
          <w:sz w:val="22"/>
          <w:szCs w:val="22"/>
          <w:lang w:val="es-CO"/>
        </w:rPr>
        <w:t xml:space="preserve">conómico de Alimentación, </w:t>
      </w:r>
      <w:r w:rsidR="00C1276A">
        <w:rPr>
          <w:rFonts w:ascii="Arial Narrow" w:hAnsi="Arial Narrow"/>
          <w:sz w:val="22"/>
          <w:szCs w:val="22"/>
        </w:rPr>
        <w:t>n</w:t>
      </w:r>
      <w:r w:rsidR="00C1276A" w:rsidRPr="00C1276A">
        <w:rPr>
          <w:rFonts w:ascii="Arial Narrow" w:hAnsi="Arial Narrow"/>
          <w:sz w:val="22"/>
          <w:szCs w:val="22"/>
        </w:rPr>
        <w:t>o tener ingresos mensuales superiores a Tres (3) Salarios Mínimos Mensuales Legales Vigentes (S.M.M.L.V.)</w:t>
      </w:r>
      <w:r w:rsidR="00C1276A">
        <w:rPr>
          <w:rFonts w:ascii="Arial Narrow" w:hAnsi="Arial Narrow"/>
          <w:sz w:val="22"/>
          <w:szCs w:val="22"/>
          <w:lang w:val="es-CO"/>
        </w:rPr>
        <w:t xml:space="preserve"> </w:t>
      </w:r>
      <w:r w:rsidRPr="00A61A97">
        <w:rPr>
          <w:rFonts w:ascii="Arial Narrow" w:hAnsi="Arial Narrow"/>
          <w:sz w:val="22"/>
          <w:szCs w:val="22"/>
          <w:lang w:val="es-CO"/>
        </w:rPr>
        <w:t xml:space="preserve">. </w:t>
      </w:r>
    </w:p>
    <w:p w14:paraId="3AB27A8A" w14:textId="29C4FA71" w:rsidR="006B53D9" w:rsidRDefault="006B53D9" w:rsidP="002527B7">
      <w:pPr>
        <w:jc w:val="both"/>
        <w:rPr>
          <w:rFonts w:ascii="Arial Narrow" w:hAnsi="Arial Narrow" w:cs="Arial"/>
          <w:i/>
          <w:iCs/>
          <w:sz w:val="22"/>
          <w:szCs w:val="22"/>
        </w:rPr>
      </w:pPr>
    </w:p>
    <w:p w14:paraId="2B7957CC" w14:textId="77777777" w:rsidR="00226D4D" w:rsidRPr="00025C84" w:rsidRDefault="00226D4D" w:rsidP="00226D4D">
      <w:pPr>
        <w:jc w:val="both"/>
        <w:rPr>
          <w:rFonts w:ascii="Arial Narrow" w:hAnsi="Arial Narrow" w:cs="Arial"/>
          <w:sz w:val="22"/>
          <w:szCs w:val="22"/>
        </w:rPr>
      </w:pPr>
      <w:r w:rsidRPr="00025C84">
        <w:rPr>
          <w:rFonts w:ascii="Arial Narrow" w:hAnsi="Arial Narrow" w:cs="Arial"/>
          <w:sz w:val="22"/>
          <w:szCs w:val="22"/>
        </w:rPr>
        <w:t>Que, desde la creación del proceso de reincorporación en el año 2017, el Salario Mínimo Legal Mensual Vigente ha presentado incrementos significativos que han superado la inflación causada el año inmediatamente anterior, permitiendo incrementos reales en el poder adquisitivo de quienes lo devengan, conforme al mandato constitucional de salario mínimo vital y móvil consagrado en el artículo 53 de la Constitución Política.</w:t>
      </w:r>
    </w:p>
    <w:p w14:paraId="6929E9CD" w14:textId="77777777" w:rsidR="00226D4D" w:rsidRPr="00025C84" w:rsidRDefault="00226D4D" w:rsidP="00226D4D">
      <w:pPr>
        <w:jc w:val="both"/>
        <w:rPr>
          <w:rFonts w:ascii="Arial Narrow" w:hAnsi="Arial Narrow" w:cs="Arial"/>
          <w:sz w:val="22"/>
          <w:szCs w:val="22"/>
        </w:rPr>
      </w:pPr>
    </w:p>
    <w:p w14:paraId="07FB3C43" w14:textId="77777777" w:rsidR="00226D4D" w:rsidRPr="00025C84" w:rsidRDefault="00226D4D" w:rsidP="00226D4D">
      <w:pPr>
        <w:jc w:val="both"/>
        <w:rPr>
          <w:rFonts w:ascii="Arial Narrow" w:hAnsi="Arial Narrow" w:cs="Arial"/>
          <w:sz w:val="22"/>
          <w:szCs w:val="22"/>
        </w:rPr>
      </w:pPr>
      <w:r w:rsidRPr="00025C84">
        <w:rPr>
          <w:rFonts w:ascii="Arial Narrow" w:hAnsi="Arial Narrow" w:cs="Arial"/>
          <w:sz w:val="22"/>
          <w:szCs w:val="22"/>
        </w:rPr>
        <w:t>Que, en efecto, la evolución del Salario Mínimo Legal Mensual Vigente desde el año 2017 hasta el año 2026 evidencia el siguiente comportamiento comparativo:</w:t>
      </w:r>
    </w:p>
    <w:p w14:paraId="0221302A" w14:textId="77777777" w:rsidR="00226D4D" w:rsidRDefault="00226D4D" w:rsidP="00226D4D">
      <w:pPr>
        <w:jc w:val="both"/>
        <w:rPr>
          <w:rFonts w:ascii="Arial Narrow" w:hAnsi="Arial Narrow" w:cs="Arial"/>
          <w:i/>
          <w:iCs/>
          <w:sz w:val="22"/>
          <w:szCs w:val="22"/>
        </w:rPr>
      </w:pPr>
    </w:p>
    <w:tbl>
      <w:tblPr>
        <w:tblStyle w:val="Tablaconcuadrcula"/>
        <w:tblW w:w="9493" w:type="dxa"/>
        <w:tblLook w:val="04A0" w:firstRow="1" w:lastRow="0" w:firstColumn="1" w:lastColumn="0" w:noHBand="0" w:noVBand="1"/>
      </w:tblPr>
      <w:tblGrid>
        <w:gridCol w:w="1765"/>
        <w:gridCol w:w="1765"/>
        <w:gridCol w:w="1710"/>
        <w:gridCol w:w="2268"/>
        <w:gridCol w:w="1985"/>
      </w:tblGrid>
      <w:tr w:rsidR="00226D4D" w14:paraId="646819F9" w14:textId="77777777" w:rsidTr="00025C84">
        <w:tc>
          <w:tcPr>
            <w:tcW w:w="1765" w:type="dxa"/>
          </w:tcPr>
          <w:p w14:paraId="635F9852" w14:textId="77777777" w:rsidR="00226D4D" w:rsidRPr="001D685C" w:rsidRDefault="00226D4D" w:rsidP="00695B36">
            <w:pPr>
              <w:jc w:val="center"/>
              <w:rPr>
                <w:rFonts w:ascii="Arial Narrow" w:hAnsi="Arial Narrow"/>
                <w:b/>
                <w:bCs/>
                <w:sz w:val="22"/>
                <w:szCs w:val="22"/>
              </w:rPr>
            </w:pPr>
            <w:r w:rsidRPr="001D685C">
              <w:rPr>
                <w:rFonts w:ascii="Arial Narrow" w:hAnsi="Arial Narrow"/>
                <w:b/>
                <w:bCs/>
                <w:sz w:val="22"/>
                <w:szCs w:val="22"/>
              </w:rPr>
              <w:t>Año</w:t>
            </w:r>
          </w:p>
        </w:tc>
        <w:tc>
          <w:tcPr>
            <w:tcW w:w="1765" w:type="dxa"/>
          </w:tcPr>
          <w:p w14:paraId="65636EE2" w14:textId="77777777" w:rsidR="00226D4D" w:rsidRPr="001D685C" w:rsidRDefault="00226D4D" w:rsidP="00695B36">
            <w:pPr>
              <w:jc w:val="center"/>
              <w:rPr>
                <w:rFonts w:ascii="Arial Narrow" w:hAnsi="Arial Narrow"/>
                <w:b/>
                <w:bCs/>
                <w:sz w:val="22"/>
                <w:szCs w:val="22"/>
              </w:rPr>
            </w:pPr>
            <w:r w:rsidRPr="001D685C">
              <w:rPr>
                <w:rFonts w:ascii="Arial Narrow" w:hAnsi="Arial Narrow"/>
                <w:b/>
                <w:bCs/>
                <w:sz w:val="22"/>
                <w:szCs w:val="22"/>
              </w:rPr>
              <w:t>SMLMV ($)</w:t>
            </w:r>
          </w:p>
        </w:tc>
        <w:tc>
          <w:tcPr>
            <w:tcW w:w="1710" w:type="dxa"/>
          </w:tcPr>
          <w:p w14:paraId="32A1BFED" w14:textId="77777777" w:rsidR="00226D4D" w:rsidRPr="001D685C" w:rsidRDefault="00226D4D" w:rsidP="00695B36">
            <w:pPr>
              <w:jc w:val="center"/>
              <w:rPr>
                <w:rFonts w:ascii="Arial Narrow" w:hAnsi="Arial Narrow"/>
                <w:b/>
                <w:bCs/>
                <w:sz w:val="22"/>
                <w:szCs w:val="22"/>
              </w:rPr>
            </w:pPr>
            <w:r w:rsidRPr="001D685C">
              <w:rPr>
                <w:rFonts w:ascii="Arial Narrow" w:hAnsi="Arial Narrow"/>
                <w:b/>
                <w:bCs/>
                <w:sz w:val="22"/>
                <w:szCs w:val="22"/>
              </w:rPr>
              <w:t>Incremento nominal (%)</w:t>
            </w:r>
          </w:p>
        </w:tc>
        <w:tc>
          <w:tcPr>
            <w:tcW w:w="2268" w:type="dxa"/>
          </w:tcPr>
          <w:p w14:paraId="024CA930" w14:textId="77777777" w:rsidR="00226D4D" w:rsidRPr="001D685C" w:rsidRDefault="00226D4D" w:rsidP="00695B36">
            <w:pPr>
              <w:jc w:val="center"/>
              <w:rPr>
                <w:rFonts w:ascii="Arial Narrow" w:hAnsi="Arial Narrow"/>
                <w:b/>
                <w:bCs/>
                <w:sz w:val="22"/>
                <w:szCs w:val="22"/>
              </w:rPr>
            </w:pPr>
            <w:r w:rsidRPr="001D685C">
              <w:rPr>
                <w:rFonts w:ascii="Arial Narrow" w:hAnsi="Arial Narrow"/>
                <w:b/>
                <w:bCs/>
                <w:sz w:val="22"/>
                <w:szCs w:val="22"/>
              </w:rPr>
              <w:t>Inflación año anterior (%)</w:t>
            </w:r>
          </w:p>
        </w:tc>
        <w:tc>
          <w:tcPr>
            <w:tcW w:w="1985" w:type="dxa"/>
          </w:tcPr>
          <w:p w14:paraId="520351DB" w14:textId="77777777" w:rsidR="00226D4D" w:rsidRPr="001D685C" w:rsidRDefault="00226D4D" w:rsidP="00695B36">
            <w:pPr>
              <w:jc w:val="center"/>
              <w:rPr>
                <w:rFonts w:ascii="Arial Narrow" w:hAnsi="Arial Narrow"/>
                <w:b/>
                <w:bCs/>
                <w:sz w:val="22"/>
                <w:szCs w:val="22"/>
              </w:rPr>
            </w:pPr>
            <w:r w:rsidRPr="001D685C">
              <w:rPr>
                <w:rFonts w:ascii="Arial Narrow" w:hAnsi="Arial Narrow"/>
                <w:b/>
                <w:bCs/>
                <w:sz w:val="22"/>
                <w:szCs w:val="22"/>
              </w:rPr>
              <w:t>Incremento real aproximado (%)</w:t>
            </w:r>
          </w:p>
        </w:tc>
      </w:tr>
      <w:tr w:rsidR="00226D4D" w14:paraId="6E2449BA" w14:textId="77777777" w:rsidTr="00025C84">
        <w:tc>
          <w:tcPr>
            <w:tcW w:w="1765" w:type="dxa"/>
          </w:tcPr>
          <w:p w14:paraId="08B9470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2017</w:t>
            </w:r>
          </w:p>
        </w:tc>
        <w:tc>
          <w:tcPr>
            <w:tcW w:w="1765" w:type="dxa"/>
          </w:tcPr>
          <w:p w14:paraId="46E62AF6"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737.717</w:t>
            </w:r>
          </w:p>
        </w:tc>
        <w:tc>
          <w:tcPr>
            <w:tcW w:w="1710" w:type="dxa"/>
          </w:tcPr>
          <w:p w14:paraId="070AF64A"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7,0</w:t>
            </w:r>
          </w:p>
        </w:tc>
        <w:tc>
          <w:tcPr>
            <w:tcW w:w="2268" w:type="dxa"/>
          </w:tcPr>
          <w:p w14:paraId="4A971CF8"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5,75</w:t>
            </w:r>
            <w:r>
              <w:rPr>
                <w:rFonts w:ascii="Arial Narrow" w:hAnsi="Arial Narrow"/>
                <w:sz w:val="22"/>
                <w:szCs w:val="22"/>
              </w:rPr>
              <w:t xml:space="preserve"> (2016)</w:t>
            </w:r>
          </w:p>
        </w:tc>
        <w:tc>
          <w:tcPr>
            <w:tcW w:w="1985" w:type="dxa"/>
          </w:tcPr>
          <w:p w14:paraId="223F36C1"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+1,25</w:t>
            </w:r>
          </w:p>
        </w:tc>
      </w:tr>
      <w:tr w:rsidR="00226D4D" w14:paraId="7E119E5B" w14:textId="77777777" w:rsidTr="00025C84">
        <w:tc>
          <w:tcPr>
            <w:tcW w:w="1765" w:type="dxa"/>
          </w:tcPr>
          <w:p w14:paraId="012D4695"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2018</w:t>
            </w:r>
          </w:p>
        </w:tc>
        <w:tc>
          <w:tcPr>
            <w:tcW w:w="1765" w:type="dxa"/>
          </w:tcPr>
          <w:p w14:paraId="40F965B8"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781.242</w:t>
            </w:r>
          </w:p>
        </w:tc>
        <w:tc>
          <w:tcPr>
            <w:tcW w:w="1710" w:type="dxa"/>
          </w:tcPr>
          <w:p w14:paraId="3AC02866"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5,9</w:t>
            </w:r>
          </w:p>
        </w:tc>
        <w:tc>
          <w:tcPr>
            <w:tcW w:w="2268" w:type="dxa"/>
          </w:tcPr>
          <w:p w14:paraId="78DAAD37"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4,09</w:t>
            </w:r>
            <w:r>
              <w:rPr>
                <w:rFonts w:ascii="Arial Narrow" w:hAnsi="Arial Narrow"/>
                <w:sz w:val="22"/>
                <w:szCs w:val="22"/>
              </w:rPr>
              <w:t xml:space="preserve"> (2017)</w:t>
            </w:r>
          </w:p>
        </w:tc>
        <w:tc>
          <w:tcPr>
            <w:tcW w:w="1985" w:type="dxa"/>
          </w:tcPr>
          <w:p w14:paraId="783400DA"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+1,81</w:t>
            </w:r>
          </w:p>
        </w:tc>
      </w:tr>
      <w:tr w:rsidR="00226D4D" w14:paraId="51BA249B" w14:textId="77777777" w:rsidTr="00025C84">
        <w:tc>
          <w:tcPr>
            <w:tcW w:w="1765" w:type="dxa"/>
          </w:tcPr>
          <w:p w14:paraId="04F5104F"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2019</w:t>
            </w:r>
          </w:p>
        </w:tc>
        <w:tc>
          <w:tcPr>
            <w:tcW w:w="1765" w:type="dxa"/>
          </w:tcPr>
          <w:p w14:paraId="487F54EE"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828.116</w:t>
            </w:r>
          </w:p>
        </w:tc>
        <w:tc>
          <w:tcPr>
            <w:tcW w:w="1710" w:type="dxa"/>
          </w:tcPr>
          <w:p w14:paraId="57EA0B12"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6,0</w:t>
            </w:r>
          </w:p>
        </w:tc>
        <w:tc>
          <w:tcPr>
            <w:tcW w:w="2268" w:type="dxa"/>
          </w:tcPr>
          <w:p w14:paraId="48B79EDC"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3,18</w:t>
            </w:r>
            <w:r>
              <w:rPr>
                <w:rFonts w:ascii="Arial Narrow" w:hAnsi="Arial Narrow"/>
                <w:sz w:val="22"/>
                <w:szCs w:val="22"/>
              </w:rPr>
              <w:t xml:space="preserve"> (2018)</w:t>
            </w:r>
          </w:p>
        </w:tc>
        <w:tc>
          <w:tcPr>
            <w:tcW w:w="1985" w:type="dxa"/>
          </w:tcPr>
          <w:p w14:paraId="47563849"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+2,82</w:t>
            </w:r>
          </w:p>
        </w:tc>
      </w:tr>
      <w:tr w:rsidR="00226D4D" w14:paraId="7C71F810" w14:textId="77777777" w:rsidTr="00025C84">
        <w:tc>
          <w:tcPr>
            <w:tcW w:w="1765" w:type="dxa"/>
          </w:tcPr>
          <w:p w14:paraId="6D1B3136"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2020</w:t>
            </w:r>
          </w:p>
        </w:tc>
        <w:tc>
          <w:tcPr>
            <w:tcW w:w="1765" w:type="dxa"/>
          </w:tcPr>
          <w:p w14:paraId="473BDBD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877.803</w:t>
            </w:r>
          </w:p>
        </w:tc>
        <w:tc>
          <w:tcPr>
            <w:tcW w:w="1710" w:type="dxa"/>
          </w:tcPr>
          <w:p w14:paraId="5E6D2D8E"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6,0</w:t>
            </w:r>
          </w:p>
        </w:tc>
        <w:tc>
          <w:tcPr>
            <w:tcW w:w="2268" w:type="dxa"/>
          </w:tcPr>
          <w:p w14:paraId="1D797CC0"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3,80</w:t>
            </w:r>
            <w:r>
              <w:rPr>
                <w:rFonts w:ascii="Arial Narrow" w:hAnsi="Arial Narrow"/>
                <w:sz w:val="22"/>
                <w:szCs w:val="22"/>
              </w:rPr>
              <w:t xml:space="preserve"> (2019)</w:t>
            </w:r>
          </w:p>
        </w:tc>
        <w:tc>
          <w:tcPr>
            <w:tcW w:w="1985" w:type="dxa"/>
          </w:tcPr>
          <w:p w14:paraId="58B39542"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+2,20</w:t>
            </w:r>
          </w:p>
        </w:tc>
      </w:tr>
      <w:tr w:rsidR="00226D4D" w14:paraId="33826614" w14:textId="77777777" w:rsidTr="00025C84">
        <w:tc>
          <w:tcPr>
            <w:tcW w:w="1765" w:type="dxa"/>
          </w:tcPr>
          <w:p w14:paraId="3B467E0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2021</w:t>
            </w:r>
          </w:p>
        </w:tc>
        <w:tc>
          <w:tcPr>
            <w:tcW w:w="1765" w:type="dxa"/>
          </w:tcPr>
          <w:p w14:paraId="1A5D313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908.526</w:t>
            </w:r>
          </w:p>
        </w:tc>
        <w:tc>
          <w:tcPr>
            <w:tcW w:w="1710" w:type="dxa"/>
          </w:tcPr>
          <w:p w14:paraId="043551E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3,5</w:t>
            </w:r>
          </w:p>
        </w:tc>
        <w:tc>
          <w:tcPr>
            <w:tcW w:w="2268" w:type="dxa"/>
          </w:tcPr>
          <w:p w14:paraId="0C933B93"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1,61</w:t>
            </w:r>
            <w:r>
              <w:rPr>
                <w:rFonts w:ascii="Arial Narrow" w:hAnsi="Arial Narrow"/>
                <w:sz w:val="22"/>
                <w:szCs w:val="22"/>
              </w:rPr>
              <w:t xml:space="preserve"> (2020)</w:t>
            </w:r>
          </w:p>
        </w:tc>
        <w:tc>
          <w:tcPr>
            <w:tcW w:w="1985" w:type="dxa"/>
          </w:tcPr>
          <w:p w14:paraId="07611C2C"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+1,89</w:t>
            </w:r>
          </w:p>
        </w:tc>
      </w:tr>
      <w:tr w:rsidR="00226D4D" w14:paraId="42206EEF" w14:textId="77777777" w:rsidTr="00025C84">
        <w:tc>
          <w:tcPr>
            <w:tcW w:w="1765" w:type="dxa"/>
          </w:tcPr>
          <w:p w14:paraId="2C92D98B"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2022</w:t>
            </w:r>
          </w:p>
        </w:tc>
        <w:tc>
          <w:tcPr>
            <w:tcW w:w="1765" w:type="dxa"/>
          </w:tcPr>
          <w:p w14:paraId="18B07FE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1.000.000</w:t>
            </w:r>
          </w:p>
        </w:tc>
        <w:tc>
          <w:tcPr>
            <w:tcW w:w="1710" w:type="dxa"/>
          </w:tcPr>
          <w:p w14:paraId="462711DD"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10,1</w:t>
            </w:r>
          </w:p>
        </w:tc>
        <w:tc>
          <w:tcPr>
            <w:tcW w:w="2268" w:type="dxa"/>
          </w:tcPr>
          <w:p w14:paraId="63E5226D"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5,62</w:t>
            </w:r>
            <w:r>
              <w:rPr>
                <w:rFonts w:ascii="Arial Narrow" w:hAnsi="Arial Narrow"/>
                <w:sz w:val="22"/>
                <w:szCs w:val="22"/>
              </w:rPr>
              <w:t xml:space="preserve"> (2021)</w:t>
            </w:r>
          </w:p>
        </w:tc>
        <w:tc>
          <w:tcPr>
            <w:tcW w:w="1985" w:type="dxa"/>
          </w:tcPr>
          <w:p w14:paraId="686692F3"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+4,48</w:t>
            </w:r>
          </w:p>
        </w:tc>
      </w:tr>
      <w:tr w:rsidR="00226D4D" w14:paraId="76D61D07" w14:textId="77777777" w:rsidTr="00025C84">
        <w:tc>
          <w:tcPr>
            <w:tcW w:w="1765" w:type="dxa"/>
          </w:tcPr>
          <w:p w14:paraId="714CADEC"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2023</w:t>
            </w:r>
          </w:p>
        </w:tc>
        <w:tc>
          <w:tcPr>
            <w:tcW w:w="1765" w:type="dxa"/>
          </w:tcPr>
          <w:p w14:paraId="25B9348A"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1.160.000</w:t>
            </w:r>
          </w:p>
        </w:tc>
        <w:tc>
          <w:tcPr>
            <w:tcW w:w="1710" w:type="dxa"/>
          </w:tcPr>
          <w:p w14:paraId="4D216B12"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16,0</w:t>
            </w:r>
          </w:p>
        </w:tc>
        <w:tc>
          <w:tcPr>
            <w:tcW w:w="2268" w:type="dxa"/>
          </w:tcPr>
          <w:p w14:paraId="161582AF"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13,12</w:t>
            </w:r>
            <w:r>
              <w:rPr>
                <w:rFonts w:ascii="Arial Narrow" w:hAnsi="Arial Narrow"/>
                <w:sz w:val="22"/>
                <w:szCs w:val="22"/>
              </w:rPr>
              <w:t xml:space="preserve"> (2022)</w:t>
            </w:r>
          </w:p>
        </w:tc>
        <w:tc>
          <w:tcPr>
            <w:tcW w:w="1985" w:type="dxa"/>
          </w:tcPr>
          <w:p w14:paraId="524331B0"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+2.88</w:t>
            </w:r>
          </w:p>
        </w:tc>
      </w:tr>
      <w:tr w:rsidR="00226D4D" w14:paraId="175226ED" w14:textId="77777777" w:rsidTr="00025C84">
        <w:tc>
          <w:tcPr>
            <w:tcW w:w="1765" w:type="dxa"/>
          </w:tcPr>
          <w:p w14:paraId="0F248B8F"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2024</w:t>
            </w:r>
          </w:p>
        </w:tc>
        <w:tc>
          <w:tcPr>
            <w:tcW w:w="1765" w:type="dxa"/>
          </w:tcPr>
          <w:p w14:paraId="080AA3BA"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1.300.000</w:t>
            </w:r>
          </w:p>
        </w:tc>
        <w:tc>
          <w:tcPr>
            <w:tcW w:w="1710" w:type="dxa"/>
          </w:tcPr>
          <w:p w14:paraId="1B37C195"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12,1</w:t>
            </w:r>
          </w:p>
        </w:tc>
        <w:tc>
          <w:tcPr>
            <w:tcW w:w="2268" w:type="dxa"/>
          </w:tcPr>
          <w:p w14:paraId="450A2EA5"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9,28</w:t>
            </w:r>
            <w:r>
              <w:rPr>
                <w:rFonts w:ascii="Arial Narrow" w:hAnsi="Arial Narrow"/>
                <w:sz w:val="22"/>
                <w:szCs w:val="22"/>
              </w:rPr>
              <w:t xml:space="preserve"> (2023)</w:t>
            </w:r>
          </w:p>
        </w:tc>
        <w:tc>
          <w:tcPr>
            <w:tcW w:w="1985" w:type="dxa"/>
          </w:tcPr>
          <w:p w14:paraId="32AC4EA7"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+2,82</w:t>
            </w:r>
          </w:p>
        </w:tc>
      </w:tr>
      <w:tr w:rsidR="00226D4D" w14:paraId="27D1DAD1" w14:textId="77777777" w:rsidTr="00025C84">
        <w:tc>
          <w:tcPr>
            <w:tcW w:w="1765" w:type="dxa"/>
          </w:tcPr>
          <w:p w14:paraId="45AC05CC"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2025</w:t>
            </w:r>
          </w:p>
        </w:tc>
        <w:tc>
          <w:tcPr>
            <w:tcW w:w="1765" w:type="dxa"/>
          </w:tcPr>
          <w:p w14:paraId="736749AF"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1.423.500</w:t>
            </w:r>
          </w:p>
        </w:tc>
        <w:tc>
          <w:tcPr>
            <w:tcW w:w="1710" w:type="dxa"/>
          </w:tcPr>
          <w:p w14:paraId="5C82B1F6"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9,5</w:t>
            </w:r>
          </w:p>
        </w:tc>
        <w:tc>
          <w:tcPr>
            <w:tcW w:w="2268" w:type="dxa"/>
          </w:tcPr>
          <w:p w14:paraId="1CF22015"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5,2</w:t>
            </w:r>
            <w:r>
              <w:rPr>
                <w:rFonts w:ascii="Arial Narrow" w:hAnsi="Arial Narrow"/>
                <w:sz w:val="22"/>
                <w:szCs w:val="22"/>
              </w:rPr>
              <w:t xml:space="preserve"> (2024)</w:t>
            </w:r>
          </w:p>
        </w:tc>
        <w:tc>
          <w:tcPr>
            <w:tcW w:w="1985" w:type="dxa"/>
          </w:tcPr>
          <w:p w14:paraId="0FC586D2"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+4,3</w:t>
            </w:r>
          </w:p>
        </w:tc>
      </w:tr>
      <w:tr w:rsidR="00226D4D" w14:paraId="1E370E8D" w14:textId="77777777" w:rsidTr="00025C84">
        <w:tc>
          <w:tcPr>
            <w:tcW w:w="1765" w:type="dxa"/>
          </w:tcPr>
          <w:p w14:paraId="38C44411"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2026</w:t>
            </w:r>
          </w:p>
        </w:tc>
        <w:tc>
          <w:tcPr>
            <w:tcW w:w="1765" w:type="dxa"/>
          </w:tcPr>
          <w:p w14:paraId="5C74063B"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1.750.905</w:t>
            </w:r>
          </w:p>
        </w:tc>
        <w:tc>
          <w:tcPr>
            <w:tcW w:w="1710" w:type="dxa"/>
          </w:tcPr>
          <w:p w14:paraId="6A1FFF44"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23,0</w:t>
            </w:r>
          </w:p>
        </w:tc>
        <w:tc>
          <w:tcPr>
            <w:tcW w:w="2268" w:type="dxa"/>
          </w:tcPr>
          <w:p w14:paraId="6890BAE1"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5,1</w:t>
            </w:r>
            <w:r>
              <w:rPr>
                <w:rFonts w:ascii="Arial Narrow" w:hAnsi="Arial Narrow"/>
                <w:sz w:val="22"/>
                <w:szCs w:val="22"/>
              </w:rPr>
              <w:t xml:space="preserve"> (2025)</w:t>
            </w:r>
          </w:p>
        </w:tc>
        <w:tc>
          <w:tcPr>
            <w:tcW w:w="1985" w:type="dxa"/>
          </w:tcPr>
          <w:p w14:paraId="135E2827" w14:textId="77777777" w:rsidR="00226D4D" w:rsidRPr="001D685C" w:rsidRDefault="00226D4D" w:rsidP="00695B36">
            <w:pPr>
              <w:jc w:val="center"/>
              <w:rPr>
                <w:rFonts w:ascii="Arial Narrow" w:hAnsi="Arial Narrow"/>
                <w:sz w:val="22"/>
                <w:szCs w:val="22"/>
              </w:rPr>
            </w:pPr>
            <w:r w:rsidRPr="001D685C">
              <w:rPr>
                <w:rFonts w:ascii="Arial Narrow" w:hAnsi="Arial Narrow"/>
                <w:sz w:val="22"/>
                <w:szCs w:val="22"/>
              </w:rPr>
              <w:t>+17,9</w:t>
            </w:r>
          </w:p>
        </w:tc>
      </w:tr>
    </w:tbl>
    <w:p w14:paraId="69275E26" w14:textId="77777777" w:rsidR="00226D4D" w:rsidRPr="00226D4D" w:rsidRDefault="00226D4D" w:rsidP="00226D4D">
      <w:pPr>
        <w:jc w:val="both"/>
        <w:rPr>
          <w:rFonts w:ascii="Arial Narrow" w:hAnsi="Arial Narrow" w:cs="Arial"/>
          <w:i/>
          <w:iCs/>
          <w:sz w:val="22"/>
          <w:szCs w:val="22"/>
        </w:rPr>
      </w:pPr>
    </w:p>
    <w:p w14:paraId="4E416957" w14:textId="77777777" w:rsidR="00226D4D" w:rsidRPr="00226D4D" w:rsidRDefault="00226D4D" w:rsidP="00226D4D">
      <w:pPr>
        <w:jc w:val="both"/>
        <w:rPr>
          <w:rFonts w:ascii="Arial Narrow" w:hAnsi="Arial Narrow" w:cs="Arial"/>
          <w:i/>
          <w:iCs/>
          <w:sz w:val="22"/>
          <w:szCs w:val="22"/>
        </w:rPr>
      </w:pPr>
    </w:p>
    <w:p w14:paraId="76E4E938" w14:textId="1C784101" w:rsidR="00A72267" w:rsidRPr="00025C84" w:rsidRDefault="00226D4D" w:rsidP="00226D4D">
      <w:pPr>
        <w:jc w:val="both"/>
        <w:rPr>
          <w:rFonts w:ascii="Arial Narrow" w:hAnsi="Arial Narrow" w:cs="Arial"/>
          <w:sz w:val="22"/>
          <w:szCs w:val="22"/>
        </w:rPr>
      </w:pPr>
      <w:r w:rsidRPr="00025C84">
        <w:rPr>
          <w:rFonts w:ascii="Arial Narrow" w:hAnsi="Arial Narrow" w:cs="Arial"/>
          <w:sz w:val="22"/>
          <w:szCs w:val="22"/>
        </w:rPr>
        <w:t>Que del análisis comparado se evidencia que, en términos acumulados, el Salario Mínimo Legal Mensual Vigente ha tenido un crecimiento</w:t>
      </w:r>
      <w:r w:rsidR="00025C84">
        <w:rPr>
          <w:rFonts w:ascii="Arial Narrow" w:hAnsi="Arial Narrow" w:cs="Arial"/>
          <w:sz w:val="22"/>
          <w:szCs w:val="22"/>
        </w:rPr>
        <w:t xml:space="preserve"> </w:t>
      </w:r>
      <w:r w:rsidR="00745466">
        <w:rPr>
          <w:rFonts w:ascii="Arial Narrow" w:hAnsi="Arial Narrow" w:cs="Arial"/>
          <w:sz w:val="22"/>
          <w:szCs w:val="22"/>
        </w:rPr>
        <w:t>nominal</w:t>
      </w:r>
      <w:r w:rsidRPr="00025C84">
        <w:rPr>
          <w:rFonts w:ascii="Arial Narrow" w:hAnsi="Arial Narrow" w:cs="Arial"/>
          <w:sz w:val="22"/>
          <w:szCs w:val="22"/>
        </w:rPr>
        <w:t xml:space="preserve"> positivo de 42.35% desde 2017, consolidando una mejora sustancial del poder adquisitivo del ingreso mínimo, particularmente con el incremento decretado para el año 2026, el cual representa un aumento nominal del veintitrés por ciento (23%), significativamente superior a los niveles recientes de inflación.</w:t>
      </w:r>
    </w:p>
    <w:p w14:paraId="15382CA9" w14:textId="77777777" w:rsidR="00A72267" w:rsidRDefault="00A72267" w:rsidP="00226D4D">
      <w:pPr>
        <w:jc w:val="both"/>
        <w:rPr>
          <w:rFonts w:ascii="Arial Narrow" w:hAnsi="Arial Narrow" w:cs="Arial"/>
          <w:i/>
          <w:iCs/>
          <w:sz w:val="22"/>
          <w:szCs w:val="22"/>
        </w:rPr>
      </w:pPr>
    </w:p>
    <w:p w14:paraId="7E8EF716" w14:textId="492CEAA4" w:rsidR="00C1276A" w:rsidRPr="0094007D" w:rsidRDefault="00025C84" w:rsidP="00C1276A">
      <w:pPr>
        <w:jc w:val="both"/>
        <w:rPr>
          <w:rFonts w:ascii="Arial Narrow" w:hAnsi="Arial Narrow" w:cs="Arial"/>
          <w:sz w:val="22"/>
          <w:szCs w:val="22"/>
          <w:lang w:val="es-CO"/>
        </w:rPr>
      </w:pPr>
      <w:r>
        <w:rPr>
          <w:rFonts w:ascii="Arial Narrow" w:hAnsi="Arial Narrow" w:cs="Arial"/>
          <w:i/>
          <w:iCs/>
          <w:sz w:val="22"/>
          <w:szCs w:val="22"/>
        </w:rPr>
        <w:t xml:space="preserve">  </w:t>
      </w:r>
      <w:r w:rsidR="00C1276A" w:rsidRPr="0094007D">
        <w:rPr>
          <w:rFonts w:ascii="Arial Narrow" w:hAnsi="Arial Narrow" w:cs="Arial"/>
          <w:sz w:val="22"/>
          <w:szCs w:val="22"/>
          <w:lang w:val="es-CO"/>
        </w:rPr>
        <w:t xml:space="preserve">Que el límite actualmente </w:t>
      </w:r>
      <w:r w:rsidR="00381CBF">
        <w:rPr>
          <w:rFonts w:ascii="Arial Narrow" w:hAnsi="Arial Narrow" w:cs="Arial"/>
          <w:sz w:val="22"/>
          <w:szCs w:val="22"/>
          <w:lang w:val="es-CO"/>
        </w:rPr>
        <w:t>permitido</w:t>
      </w:r>
      <w:r w:rsidR="00C1276A" w:rsidRPr="0094007D">
        <w:rPr>
          <w:rFonts w:ascii="Arial Narrow" w:hAnsi="Arial Narrow" w:cs="Arial"/>
          <w:sz w:val="22"/>
          <w:szCs w:val="22"/>
          <w:lang w:val="es-CO"/>
        </w:rPr>
        <w:t xml:space="preserve"> </w:t>
      </w:r>
      <w:r w:rsidR="00745466">
        <w:rPr>
          <w:rFonts w:ascii="Arial Narrow" w:hAnsi="Arial Narrow" w:cs="Arial"/>
          <w:sz w:val="22"/>
          <w:szCs w:val="22"/>
          <w:lang w:val="es-CO"/>
        </w:rPr>
        <w:t>en el numeral 4 del artículo 7 de la Resolución 1797 de 2023, modificado por el artículo 1 de la Resolución 146 de 2025, en virtud del cual, la persona en proceso de reincorporación</w:t>
      </w:r>
      <w:r>
        <w:rPr>
          <w:rFonts w:ascii="Arial Narrow" w:hAnsi="Arial Narrow" w:cs="Arial"/>
          <w:sz w:val="22"/>
          <w:szCs w:val="22"/>
          <w:lang w:val="es-CO"/>
        </w:rPr>
        <w:t xml:space="preserve"> </w:t>
      </w:r>
      <w:r w:rsidR="00745466">
        <w:rPr>
          <w:rFonts w:ascii="Arial Narrow" w:hAnsi="Arial Narrow" w:cs="Arial"/>
          <w:sz w:val="22"/>
          <w:szCs w:val="22"/>
          <w:lang w:val="es-CO"/>
        </w:rPr>
        <w:t xml:space="preserve">podrá acceder </w:t>
      </w:r>
      <w:r w:rsidR="00745466" w:rsidRPr="002144B2">
        <w:rPr>
          <w:rFonts w:ascii="Arial Narrow" w:hAnsi="Arial Narrow"/>
          <w:i/>
          <w:iCs/>
          <w:sz w:val="22"/>
          <w:szCs w:val="22"/>
          <w:lang w:val="es-CO"/>
        </w:rPr>
        <w:t>al Suministro Económico de Alimentación en la medida que</w:t>
      </w:r>
      <w:r>
        <w:rPr>
          <w:rFonts w:ascii="Arial Narrow" w:hAnsi="Arial Narrow"/>
          <w:i/>
          <w:iCs/>
          <w:sz w:val="22"/>
          <w:szCs w:val="22"/>
          <w:lang w:val="es-CO"/>
        </w:rPr>
        <w:t xml:space="preserve"> </w:t>
      </w:r>
      <w:r w:rsidR="00745466">
        <w:rPr>
          <w:rFonts w:ascii="Arial Narrow" w:hAnsi="Arial Narrow"/>
          <w:i/>
          <w:iCs/>
          <w:sz w:val="22"/>
          <w:szCs w:val="22"/>
          <w:lang w:val="es-CO"/>
        </w:rPr>
        <w:t>no tenga</w:t>
      </w:r>
      <w:r>
        <w:rPr>
          <w:rFonts w:ascii="Arial Narrow" w:hAnsi="Arial Narrow"/>
          <w:i/>
          <w:iCs/>
          <w:sz w:val="22"/>
          <w:szCs w:val="22"/>
          <w:lang w:val="es-CO"/>
        </w:rPr>
        <w:t xml:space="preserve"> </w:t>
      </w:r>
      <w:r w:rsidR="00745466" w:rsidRPr="00745466">
        <w:rPr>
          <w:rFonts w:ascii="Arial Narrow" w:hAnsi="Arial Narrow"/>
          <w:i/>
          <w:iCs/>
          <w:sz w:val="22"/>
          <w:szCs w:val="22"/>
        </w:rPr>
        <w:t xml:space="preserve">ingresos mensuales superiores a </w:t>
      </w:r>
      <w:r>
        <w:rPr>
          <w:rFonts w:ascii="Arial Narrow" w:hAnsi="Arial Narrow" w:cs="Arial"/>
          <w:sz w:val="22"/>
          <w:szCs w:val="22"/>
          <w:lang w:val="es-CO"/>
        </w:rPr>
        <w:t xml:space="preserve"> </w:t>
      </w:r>
      <w:r w:rsidR="00381CBF">
        <w:rPr>
          <w:rFonts w:ascii="Arial Narrow" w:hAnsi="Arial Narrow" w:cs="Arial"/>
          <w:sz w:val="22"/>
          <w:szCs w:val="22"/>
          <w:lang w:val="es-CO"/>
        </w:rPr>
        <w:t>tres</w:t>
      </w:r>
      <w:r w:rsidR="00C1276A" w:rsidRPr="0094007D">
        <w:rPr>
          <w:rFonts w:ascii="Arial Narrow" w:hAnsi="Arial Narrow" w:cs="Arial"/>
          <w:sz w:val="22"/>
          <w:szCs w:val="22"/>
          <w:lang w:val="es-CO"/>
        </w:rPr>
        <w:t xml:space="preserve"> (</w:t>
      </w:r>
      <w:r w:rsidR="00381CBF">
        <w:rPr>
          <w:rFonts w:ascii="Arial Narrow" w:hAnsi="Arial Narrow" w:cs="Arial"/>
          <w:sz w:val="22"/>
          <w:szCs w:val="22"/>
          <w:lang w:val="es-CO"/>
        </w:rPr>
        <w:t>3</w:t>
      </w:r>
      <w:r w:rsidR="00C1276A" w:rsidRPr="0094007D">
        <w:rPr>
          <w:rFonts w:ascii="Arial Narrow" w:hAnsi="Arial Narrow" w:cs="Arial"/>
          <w:sz w:val="22"/>
          <w:szCs w:val="22"/>
          <w:lang w:val="es-CO"/>
        </w:rPr>
        <w:t>) Salarios Mínimos Legales Mensuales Vigentes</w:t>
      </w:r>
      <w:r w:rsidR="00745466">
        <w:rPr>
          <w:rFonts w:ascii="Arial Narrow" w:hAnsi="Arial Narrow" w:cs="Arial"/>
          <w:sz w:val="22"/>
          <w:szCs w:val="22"/>
          <w:lang w:val="es-CO"/>
        </w:rPr>
        <w:t>,</w:t>
      </w:r>
      <w:r>
        <w:rPr>
          <w:rFonts w:ascii="Arial Narrow" w:hAnsi="Arial Narrow" w:cs="Arial"/>
          <w:sz w:val="22"/>
          <w:szCs w:val="22"/>
          <w:lang w:val="es-CO"/>
        </w:rPr>
        <w:t xml:space="preserve"> </w:t>
      </w:r>
      <w:r w:rsidR="00AA0004">
        <w:rPr>
          <w:rFonts w:ascii="Arial Narrow" w:hAnsi="Arial Narrow" w:cs="Arial"/>
          <w:sz w:val="22"/>
          <w:szCs w:val="22"/>
          <w:lang w:val="es-CO"/>
        </w:rPr>
        <w:t xml:space="preserve">se considera </w:t>
      </w:r>
      <w:r w:rsidR="00C1276A" w:rsidRPr="0094007D">
        <w:rPr>
          <w:rFonts w:ascii="Arial Narrow" w:hAnsi="Arial Narrow" w:cs="Arial"/>
          <w:sz w:val="22"/>
          <w:szCs w:val="22"/>
          <w:lang w:val="es-CO"/>
        </w:rPr>
        <w:t>desproporcionado frente al estado avanzado del proceso de reincorporación, a la duración acumulada de los apoyos económicos otorgados y a los incrementos significativos que ha experimentado el salario mínimo en los últimos años, lo cual desdibuja la finalidad del beneficio como mecanismo de apoyo a</w:t>
      </w:r>
      <w:r w:rsidR="00745466">
        <w:rPr>
          <w:rFonts w:ascii="Arial Narrow" w:hAnsi="Arial Narrow" w:cs="Arial"/>
          <w:sz w:val="22"/>
          <w:szCs w:val="22"/>
          <w:lang w:val="es-CO"/>
        </w:rPr>
        <w:t xml:space="preserve"> la población en reincorporación</w:t>
      </w:r>
      <w:r>
        <w:rPr>
          <w:rFonts w:ascii="Arial Narrow" w:hAnsi="Arial Narrow" w:cs="Arial"/>
          <w:sz w:val="22"/>
          <w:szCs w:val="22"/>
          <w:lang w:val="es-CO"/>
        </w:rPr>
        <w:t xml:space="preserve"> </w:t>
      </w:r>
      <w:r w:rsidR="00745466">
        <w:rPr>
          <w:rFonts w:ascii="Arial Narrow" w:hAnsi="Arial Narrow" w:cs="Arial"/>
          <w:sz w:val="22"/>
          <w:szCs w:val="22"/>
          <w:lang w:val="es-CO"/>
        </w:rPr>
        <w:t>que</w:t>
      </w:r>
      <w:r>
        <w:rPr>
          <w:rFonts w:ascii="Arial Narrow" w:hAnsi="Arial Narrow" w:cs="Arial"/>
          <w:sz w:val="22"/>
          <w:szCs w:val="22"/>
          <w:lang w:val="es-CO"/>
        </w:rPr>
        <w:t xml:space="preserve"> </w:t>
      </w:r>
      <w:r w:rsidR="00C1276A" w:rsidRPr="0094007D">
        <w:rPr>
          <w:rFonts w:ascii="Arial Narrow" w:hAnsi="Arial Narrow" w:cs="Arial"/>
          <w:sz w:val="22"/>
          <w:szCs w:val="22"/>
          <w:lang w:val="es-CO"/>
        </w:rPr>
        <w:t>efectivamente lo requiere.</w:t>
      </w:r>
    </w:p>
    <w:p w14:paraId="38649638" w14:textId="77777777" w:rsidR="00C1276A" w:rsidRPr="00662E8D" w:rsidRDefault="00C1276A" w:rsidP="00662E8D">
      <w:pPr>
        <w:jc w:val="both"/>
        <w:rPr>
          <w:rFonts w:ascii="Arial Narrow" w:hAnsi="Arial Narrow" w:cs="Arial"/>
          <w:i/>
          <w:iCs/>
          <w:sz w:val="22"/>
          <w:szCs w:val="22"/>
        </w:rPr>
      </w:pPr>
    </w:p>
    <w:p w14:paraId="55FA4C93" w14:textId="3E34FE90" w:rsidR="00697E0B" w:rsidRDefault="00662E8D" w:rsidP="00662E8D">
      <w:pPr>
        <w:jc w:val="both"/>
        <w:rPr>
          <w:rFonts w:ascii="Arial Narrow" w:hAnsi="Arial Narrow" w:cs="Arial"/>
          <w:sz w:val="22"/>
          <w:szCs w:val="22"/>
        </w:rPr>
      </w:pPr>
      <w:r w:rsidRPr="00025C84">
        <w:rPr>
          <w:rFonts w:ascii="Arial Narrow" w:hAnsi="Arial Narrow" w:cs="Arial"/>
          <w:sz w:val="22"/>
          <w:szCs w:val="22"/>
        </w:rPr>
        <w:t xml:space="preserve">Que </w:t>
      </w:r>
      <w:r w:rsidR="00745466">
        <w:rPr>
          <w:rFonts w:ascii="Arial Narrow" w:hAnsi="Arial Narrow" w:cs="Arial"/>
          <w:sz w:val="22"/>
          <w:szCs w:val="22"/>
        </w:rPr>
        <w:t>de acuerdo con lo establecido en el artículo 3</w:t>
      </w:r>
      <w:r w:rsidR="00025C84">
        <w:rPr>
          <w:rFonts w:ascii="Arial Narrow" w:hAnsi="Arial Narrow" w:cs="Arial"/>
          <w:sz w:val="22"/>
          <w:szCs w:val="22"/>
        </w:rPr>
        <w:t xml:space="preserve"> </w:t>
      </w:r>
      <w:r w:rsidR="00745466">
        <w:rPr>
          <w:rFonts w:ascii="Arial Narrow" w:hAnsi="Arial Narrow" w:cs="Arial"/>
          <w:sz w:val="22"/>
          <w:szCs w:val="22"/>
        </w:rPr>
        <w:t xml:space="preserve">de la Resolución 1797 de 2023, </w:t>
      </w:r>
      <w:r w:rsidR="006311BA" w:rsidRPr="00025C84">
        <w:rPr>
          <w:rFonts w:ascii="Arial Narrow" w:hAnsi="Arial Narrow" w:cs="Arial"/>
          <w:sz w:val="22"/>
          <w:szCs w:val="22"/>
        </w:rPr>
        <w:t xml:space="preserve">el </w:t>
      </w:r>
      <w:r w:rsidR="00381CBF">
        <w:rPr>
          <w:rFonts w:ascii="Arial Narrow" w:hAnsi="Arial Narrow" w:cs="Arial"/>
          <w:sz w:val="22"/>
          <w:szCs w:val="22"/>
        </w:rPr>
        <w:t>S</w:t>
      </w:r>
      <w:r w:rsidR="006311BA" w:rsidRPr="00025C84">
        <w:rPr>
          <w:rFonts w:ascii="Arial Narrow" w:hAnsi="Arial Narrow" w:cs="Arial"/>
          <w:sz w:val="22"/>
          <w:szCs w:val="22"/>
        </w:rPr>
        <w:t xml:space="preserve">uministro </w:t>
      </w:r>
      <w:r w:rsidR="00381CBF">
        <w:rPr>
          <w:rFonts w:ascii="Arial Narrow" w:hAnsi="Arial Narrow" w:cs="Arial"/>
          <w:sz w:val="22"/>
          <w:szCs w:val="22"/>
        </w:rPr>
        <w:t>E</w:t>
      </w:r>
      <w:r w:rsidR="00381CBF" w:rsidRPr="00025C84">
        <w:rPr>
          <w:rFonts w:ascii="Arial Narrow" w:hAnsi="Arial Narrow" w:cs="Arial"/>
          <w:sz w:val="22"/>
          <w:szCs w:val="22"/>
        </w:rPr>
        <w:t xml:space="preserve">conómico </w:t>
      </w:r>
      <w:r w:rsidR="006311BA" w:rsidRPr="00025C84">
        <w:rPr>
          <w:rFonts w:ascii="Arial Narrow" w:hAnsi="Arial Narrow" w:cs="Arial"/>
          <w:sz w:val="22"/>
          <w:szCs w:val="22"/>
        </w:rPr>
        <w:t xml:space="preserve">de </w:t>
      </w:r>
      <w:r w:rsidR="00381CBF">
        <w:rPr>
          <w:rFonts w:ascii="Arial Narrow" w:hAnsi="Arial Narrow" w:cs="Arial"/>
          <w:sz w:val="22"/>
          <w:szCs w:val="22"/>
        </w:rPr>
        <w:t>A</w:t>
      </w:r>
      <w:r w:rsidR="00381CBF" w:rsidRPr="00025C84">
        <w:rPr>
          <w:rFonts w:ascii="Arial Narrow" w:hAnsi="Arial Narrow" w:cs="Arial"/>
          <w:sz w:val="22"/>
          <w:szCs w:val="22"/>
        </w:rPr>
        <w:t xml:space="preserve">limentación </w:t>
      </w:r>
      <w:r w:rsidR="006311BA" w:rsidRPr="00025C84">
        <w:rPr>
          <w:rFonts w:ascii="Arial Narrow" w:hAnsi="Arial Narrow" w:cs="Arial"/>
          <w:sz w:val="22"/>
          <w:szCs w:val="22"/>
        </w:rPr>
        <w:t xml:space="preserve">fue </w:t>
      </w:r>
      <w:r w:rsidR="00C43356">
        <w:rPr>
          <w:rFonts w:ascii="Arial Narrow" w:hAnsi="Arial Narrow" w:cs="Arial"/>
          <w:sz w:val="22"/>
          <w:szCs w:val="22"/>
        </w:rPr>
        <w:t>concebido</w:t>
      </w:r>
      <w:r w:rsidR="00C43356" w:rsidRPr="00025C84">
        <w:rPr>
          <w:rFonts w:ascii="Arial Narrow" w:hAnsi="Arial Narrow" w:cs="Arial"/>
          <w:sz w:val="22"/>
          <w:szCs w:val="22"/>
        </w:rPr>
        <w:t xml:space="preserve"> </w:t>
      </w:r>
      <w:r w:rsidR="00C43356">
        <w:rPr>
          <w:rFonts w:ascii="Arial Narrow" w:hAnsi="Arial Narrow" w:cs="Arial"/>
          <w:sz w:val="22"/>
          <w:szCs w:val="22"/>
        </w:rPr>
        <w:t xml:space="preserve">como </w:t>
      </w:r>
      <w:r w:rsidR="00C43356" w:rsidRPr="00C43356">
        <w:rPr>
          <w:rFonts w:ascii="Arial Narrow" w:hAnsi="Arial Narrow" w:cs="Arial"/>
          <w:sz w:val="22"/>
          <w:szCs w:val="22"/>
        </w:rPr>
        <w:t>una medida</w:t>
      </w:r>
      <w:r w:rsidR="00745466">
        <w:rPr>
          <w:rFonts w:ascii="Arial Narrow" w:hAnsi="Arial Narrow" w:cs="Arial"/>
          <w:sz w:val="22"/>
          <w:szCs w:val="22"/>
        </w:rPr>
        <w:t xml:space="preserve"> de naturaleza económica</w:t>
      </w:r>
      <w:r w:rsidR="00697E0B">
        <w:rPr>
          <w:rFonts w:ascii="Arial Narrow" w:hAnsi="Arial Narrow" w:cs="Arial"/>
          <w:sz w:val="22"/>
          <w:szCs w:val="22"/>
        </w:rPr>
        <w:t>,</w:t>
      </w:r>
      <w:r w:rsidR="00025C84">
        <w:rPr>
          <w:rFonts w:ascii="Arial Narrow" w:hAnsi="Arial Narrow" w:cs="Arial"/>
          <w:sz w:val="22"/>
          <w:szCs w:val="22"/>
        </w:rPr>
        <w:t xml:space="preserve"> </w:t>
      </w:r>
      <w:r w:rsidR="00697E0B">
        <w:rPr>
          <w:rFonts w:ascii="Arial Narrow" w:hAnsi="Arial Narrow" w:cs="Arial"/>
          <w:sz w:val="22"/>
          <w:szCs w:val="22"/>
        </w:rPr>
        <w:t xml:space="preserve">excepcional y transitoria </w:t>
      </w:r>
      <w:r w:rsidR="00697E0B" w:rsidRPr="00697E0B">
        <w:rPr>
          <w:rFonts w:ascii="Arial Narrow" w:hAnsi="Arial Narrow" w:cs="Arial"/>
          <w:sz w:val="22"/>
          <w:szCs w:val="22"/>
        </w:rPr>
        <w:t>para posibilitar el acceso a víveres secos y frescos, a las personas en Proceso de Reincorporación</w:t>
      </w:r>
      <w:r w:rsidR="00697E0B">
        <w:rPr>
          <w:rFonts w:ascii="Arial Narrow" w:hAnsi="Arial Narrow" w:cs="Arial"/>
          <w:sz w:val="22"/>
          <w:szCs w:val="22"/>
        </w:rPr>
        <w:t xml:space="preserve">, sin que en ningún caso pueda ser considerado como </w:t>
      </w:r>
      <w:r w:rsidR="00697E0B" w:rsidRPr="00697E0B">
        <w:rPr>
          <w:rFonts w:ascii="Arial Narrow" w:hAnsi="Arial Narrow" w:cs="Arial"/>
          <w:sz w:val="22"/>
          <w:szCs w:val="22"/>
        </w:rPr>
        <w:t xml:space="preserve">una fuente generadora de ingresos y tampoco </w:t>
      </w:r>
      <w:r w:rsidR="00697E0B">
        <w:rPr>
          <w:rFonts w:ascii="Arial Narrow" w:hAnsi="Arial Narrow" w:cs="Arial"/>
          <w:sz w:val="22"/>
          <w:szCs w:val="22"/>
        </w:rPr>
        <w:t>como</w:t>
      </w:r>
      <w:r w:rsidR="00697E0B" w:rsidRPr="00697E0B">
        <w:rPr>
          <w:rFonts w:ascii="Arial Narrow" w:hAnsi="Arial Narrow" w:cs="Arial"/>
          <w:sz w:val="22"/>
          <w:szCs w:val="22"/>
        </w:rPr>
        <w:t xml:space="preserve"> una transferencia monetaria a título de mínimo vital o de subsistencia.</w:t>
      </w:r>
    </w:p>
    <w:p w14:paraId="0A3B2FE0" w14:textId="77777777" w:rsidR="00697E0B" w:rsidRDefault="00697E0B" w:rsidP="00662E8D">
      <w:pPr>
        <w:jc w:val="both"/>
        <w:rPr>
          <w:rFonts w:ascii="Arial Narrow" w:hAnsi="Arial Narrow" w:cs="Arial"/>
          <w:sz w:val="22"/>
          <w:szCs w:val="22"/>
        </w:rPr>
      </w:pPr>
    </w:p>
    <w:p w14:paraId="7CE6CB9E" w14:textId="4F8643EE" w:rsidR="00EE2B9E" w:rsidRPr="0094007D" w:rsidRDefault="00025C84" w:rsidP="00EE2B9E">
      <w:pPr>
        <w:jc w:val="both"/>
        <w:rPr>
          <w:rFonts w:ascii="Arial Narrow" w:hAnsi="Arial Narrow" w:cs="Arial"/>
          <w:sz w:val="22"/>
          <w:szCs w:val="22"/>
          <w:lang w:val="es-CO"/>
        </w:rPr>
      </w:pPr>
      <w:r>
        <w:rPr>
          <w:rFonts w:ascii="Arial Narrow" w:hAnsi="Arial Narrow" w:cs="Arial"/>
          <w:sz w:val="22"/>
          <w:szCs w:val="22"/>
          <w:lang w:val="es-CO"/>
        </w:rPr>
        <w:t xml:space="preserve"> </w:t>
      </w:r>
      <w:r>
        <w:rPr>
          <w:rFonts w:ascii="Arial Narrow" w:hAnsi="Arial Narrow" w:cs="Arial"/>
          <w:sz w:val="22"/>
          <w:szCs w:val="22"/>
        </w:rPr>
        <w:t xml:space="preserve"> </w:t>
      </w:r>
      <w:r w:rsidR="00EE2B9E" w:rsidRPr="00025C84">
        <w:rPr>
          <w:rFonts w:ascii="Arial Narrow" w:hAnsi="Arial Narrow" w:cs="Arial"/>
          <w:sz w:val="22"/>
          <w:szCs w:val="22"/>
        </w:rPr>
        <w:t>Que,</w:t>
      </w:r>
      <w:r w:rsidR="00EE2B9E">
        <w:rPr>
          <w:rFonts w:ascii="Arial Narrow" w:hAnsi="Arial Narrow" w:cs="Arial"/>
          <w:i/>
          <w:iCs/>
          <w:sz w:val="22"/>
          <w:szCs w:val="22"/>
        </w:rPr>
        <w:t xml:space="preserve"> </w:t>
      </w:r>
      <w:r w:rsidR="00EE2B9E">
        <w:rPr>
          <w:rFonts w:ascii="Arial Narrow" w:hAnsi="Arial Narrow" w:cs="Arial"/>
          <w:sz w:val="22"/>
          <w:szCs w:val="22"/>
          <w:lang w:val="es-CO"/>
        </w:rPr>
        <w:t>e</w:t>
      </w:r>
      <w:r w:rsidR="00EE2B9E" w:rsidRPr="0094007D">
        <w:rPr>
          <w:rFonts w:ascii="Arial Narrow" w:hAnsi="Arial Narrow" w:cs="Arial"/>
          <w:sz w:val="22"/>
          <w:szCs w:val="22"/>
          <w:lang w:val="es-CO"/>
        </w:rPr>
        <w:t>n este contexto,</w:t>
      </w:r>
      <w:r w:rsidR="00697E0B">
        <w:rPr>
          <w:rFonts w:ascii="Arial Narrow" w:hAnsi="Arial Narrow" w:cs="Arial"/>
          <w:sz w:val="22"/>
          <w:szCs w:val="22"/>
          <w:lang w:val="es-CO"/>
        </w:rPr>
        <w:t xml:space="preserve"> la</w:t>
      </w:r>
      <w:r>
        <w:rPr>
          <w:rFonts w:ascii="Arial Narrow" w:hAnsi="Arial Narrow" w:cs="Arial"/>
          <w:sz w:val="22"/>
          <w:szCs w:val="22"/>
          <w:lang w:val="es-CO"/>
        </w:rPr>
        <w:t xml:space="preserve"> </w:t>
      </w:r>
      <w:r w:rsidR="00697E0B">
        <w:rPr>
          <w:rFonts w:ascii="Arial Narrow" w:hAnsi="Arial Narrow" w:cs="Arial"/>
          <w:sz w:val="22"/>
          <w:szCs w:val="22"/>
          <w:lang w:val="es-CO"/>
        </w:rPr>
        <w:t>finalidad del</w:t>
      </w:r>
      <w:r>
        <w:rPr>
          <w:rFonts w:ascii="Arial Narrow" w:hAnsi="Arial Narrow" w:cs="Arial"/>
          <w:sz w:val="22"/>
          <w:szCs w:val="22"/>
          <w:lang w:val="es-CO"/>
        </w:rPr>
        <w:t xml:space="preserve"> </w:t>
      </w:r>
      <w:r w:rsidR="00EE2B9E" w:rsidRPr="0094007D">
        <w:rPr>
          <w:rFonts w:ascii="Arial Narrow" w:hAnsi="Arial Narrow" w:cs="Arial"/>
          <w:sz w:val="22"/>
          <w:szCs w:val="22"/>
          <w:lang w:val="es-CO"/>
        </w:rPr>
        <w:t xml:space="preserve"> </w:t>
      </w:r>
      <w:r w:rsidR="00697E0B">
        <w:rPr>
          <w:rFonts w:ascii="Arial Narrow" w:hAnsi="Arial Narrow" w:cs="Arial"/>
          <w:sz w:val="22"/>
          <w:szCs w:val="22"/>
        </w:rPr>
        <w:t>S</w:t>
      </w:r>
      <w:r w:rsidR="00697E0B" w:rsidRPr="007B6C52">
        <w:rPr>
          <w:rFonts w:ascii="Arial Narrow" w:hAnsi="Arial Narrow" w:cs="Arial"/>
          <w:sz w:val="22"/>
          <w:szCs w:val="22"/>
        </w:rPr>
        <w:t xml:space="preserve">uministro </w:t>
      </w:r>
      <w:r w:rsidR="00697E0B">
        <w:rPr>
          <w:rFonts w:ascii="Arial Narrow" w:hAnsi="Arial Narrow" w:cs="Arial"/>
          <w:sz w:val="22"/>
          <w:szCs w:val="22"/>
        </w:rPr>
        <w:t>E</w:t>
      </w:r>
      <w:r w:rsidR="00697E0B" w:rsidRPr="007B6C52">
        <w:rPr>
          <w:rFonts w:ascii="Arial Narrow" w:hAnsi="Arial Narrow" w:cs="Arial"/>
          <w:sz w:val="22"/>
          <w:szCs w:val="22"/>
        </w:rPr>
        <w:t xml:space="preserve">conómico de </w:t>
      </w:r>
      <w:r w:rsidR="00697E0B">
        <w:rPr>
          <w:rFonts w:ascii="Arial Narrow" w:hAnsi="Arial Narrow" w:cs="Arial"/>
          <w:sz w:val="22"/>
          <w:szCs w:val="22"/>
        </w:rPr>
        <w:t>A</w:t>
      </w:r>
      <w:r w:rsidR="00697E0B" w:rsidRPr="007B6C52">
        <w:rPr>
          <w:rFonts w:ascii="Arial Narrow" w:hAnsi="Arial Narrow" w:cs="Arial"/>
          <w:sz w:val="22"/>
          <w:szCs w:val="22"/>
        </w:rPr>
        <w:t>limentación</w:t>
      </w:r>
      <w:r w:rsidR="00697E0B">
        <w:rPr>
          <w:rFonts w:ascii="Arial Narrow" w:hAnsi="Arial Narrow" w:cs="Arial"/>
          <w:sz w:val="22"/>
          <w:szCs w:val="22"/>
        </w:rPr>
        <w:t xml:space="preserve"> es el de </w:t>
      </w:r>
      <w:r w:rsidR="00697E0B" w:rsidRPr="00676841">
        <w:rPr>
          <w:rFonts w:ascii="Arial Narrow" w:hAnsi="Arial Narrow" w:cs="Arial"/>
          <w:sz w:val="22"/>
          <w:szCs w:val="22"/>
        </w:rPr>
        <w:t>apoyar a las personas firmantes,</w:t>
      </w:r>
      <w:r>
        <w:rPr>
          <w:rFonts w:ascii="Arial Narrow" w:hAnsi="Arial Narrow" w:cs="Arial"/>
          <w:sz w:val="22"/>
          <w:szCs w:val="22"/>
          <w:lang w:val="es-CO"/>
        </w:rPr>
        <w:t xml:space="preserve"> </w:t>
      </w:r>
      <w:r w:rsidR="00697E0B">
        <w:rPr>
          <w:rFonts w:ascii="Arial Narrow" w:hAnsi="Arial Narrow" w:cs="Arial"/>
          <w:sz w:val="22"/>
          <w:szCs w:val="22"/>
          <w:lang w:val="es-CO"/>
        </w:rPr>
        <w:t>fortalecer</w:t>
      </w:r>
      <w:r w:rsidR="00697E0B" w:rsidRPr="00676841">
        <w:rPr>
          <w:rFonts w:ascii="Arial Narrow" w:hAnsi="Arial Narrow" w:cs="Arial"/>
          <w:sz w:val="22"/>
          <w:szCs w:val="22"/>
          <w:lang w:val="es-CO"/>
        </w:rPr>
        <w:t xml:space="preserve"> las condiciones para el tránsito a la vida civil de los y las exintegrantes de las FARC-EP </w:t>
      </w:r>
      <w:r w:rsidR="00697E0B">
        <w:rPr>
          <w:rFonts w:ascii="Arial Narrow" w:hAnsi="Arial Narrow" w:cs="Arial"/>
          <w:sz w:val="22"/>
          <w:szCs w:val="22"/>
          <w:lang w:val="es-CO"/>
        </w:rPr>
        <w:t>y sus familias, pero siempre desde la óptica de</w:t>
      </w:r>
      <w:r w:rsidR="00697E0B" w:rsidRPr="000E2FDA">
        <w:t xml:space="preserve"> </w:t>
      </w:r>
      <w:r w:rsidR="00697E0B" w:rsidRPr="00676841">
        <w:rPr>
          <w:rFonts w:ascii="Arial Narrow" w:hAnsi="Arial Narrow"/>
          <w:sz w:val="22"/>
          <w:szCs w:val="22"/>
        </w:rPr>
        <w:t>que su otorgamiento es</w:t>
      </w:r>
      <w:r w:rsidR="00697E0B">
        <w:t xml:space="preserve"> </w:t>
      </w:r>
      <w:r w:rsidR="00697E0B" w:rsidRPr="000E2FDA">
        <w:rPr>
          <w:rFonts w:ascii="Arial Narrow" w:hAnsi="Arial Narrow" w:cs="Arial"/>
          <w:sz w:val="22"/>
          <w:szCs w:val="22"/>
        </w:rPr>
        <w:t>excepcional y transitori</w:t>
      </w:r>
      <w:r w:rsidR="00697E0B">
        <w:rPr>
          <w:rFonts w:ascii="Arial Narrow" w:hAnsi="Arial Narrow" w:cs="Arial"/>
          <w:sz w:val="22"/>
          <w:szCs w:val="22"/>
        </w:rPr>
        <w:t>o , por lo que en el marco de la crisis fiscal que atraviesa el país,</w:t>
      </w:r>
      <w:r>
        <w:rPr>
          <w:rFonts w:ascii="Arial Narrow" w:hAnsi="Arial Narrow" w:cs="Arial"/>
          <w:sz w:val="22"/>
          <w:szCs w:val="22"/>
        </w:rPr>
        <w:t xml:space="preserve"> </w:t>
      </w:r>
      <w:r w:rsidR="00EE2B9E">
        <w:rPr>
          <w:rFonts w:ascii="Arial Narrow" w:hAnsi="Arial Narrow" w:cs="Arial"/>
          <w:sz w:val="22"/>
          <w:szCs w:val="22"/>
          <w:lang w:val="es-CO"/>
        </w:rPr>
        <w:t xml:space="preserve">reconocer y otorgar </w:t>
      </w:r>
      <w:r w:rsidR="00697E0B">
        <w:rPr>
          <w:rFonts w:ascii="Arial Narrow" w:hAnsi="Arial Narrow" w:cs="Arial"/>
          <w:sz w:val="22"/>
          <w:szCs w:val="22"/>
          <w:lang w:val="es-CO"/>
        </w:rPr>
        <w:t>dicho suministro</w:t>
      </w:r>
      <w:r>
        <w:rPr>
          <w:rFonts w:ascii="Arial Narrow" w:hAnsi="Arial Narrow" w:cs="Arial"/>
          <w:sz w:val="22"/>
          <w:szCs w:val="22"/>
          <w:lang w:val="es-CO"/>
        </w:rPr>
        <w:t xml:space="preserve"> </w:t>
      </w:r>
      <w:r w:rsidR="00EE2B9E" w:rsidRPr="0094007D">
        <w:rPr>
          <w:rFonts w:ascii="Arial Narrow" w:hAnsi="Arial Narrow" w:cs="Arial"/>
          <w:sz w:val="22"/>
          <w:szCs w:val="22"/>
          <w:lang w:val="es-CO"/>
        </w:rPr>
        <w:t>únicamente a quienes no cuenten con un vínculo contractual, laboral, legal o reglamentario, ni con contratos que les generen ingresos</w:t>
      </w:r>
      <w:r w:rsidR="00EE2B9E">
        <w:rPr>
          <w:rFonts w:ascii="Arial Narrow" w:hAnsi="Arial Narrow" w:cs="Arial"/>
          <w:sz w:val="22"/>
          <w:szCs w:val="22"/>
          <w:lang w:val="es-CO"/>
        </w:rPr>
        <w:t>,</w:t>
      </w:r>
      <w:r w:rsidR="00EE2B9E" w:rsidRPr="0094007D">
        <w:rPr>
          <w:rFonts w:ascii="Arial Narrow" w:hAnsi="Arial Narrow" w:cs="Arial"/>
          <w:sz w:val="22"/>
          <w:szCs w:val="22"/>
          <w:lang w:val="es-CO"/>
        </w:rPr>
        <w:t xml:space="preserve"> constituye una medida suficiente, razonable y proporcional</w:t>
      </w:r>
      <w:r w:rsidR="00EE2B9E">
        <w:rPr>
          <w:rFonts w:ascii="Arial Narrow" w:hAnsi="Arial Narrow" w:cs="Arial"/>
          <w:sz w:val="22"/>
          <w:szCs w:val="22"/>
          <w:lang w:val="es-CO"/>
        </w:rPr>
        <w:t>, que p</w:t>
      </w:r>
      <w:r w:rsidR="00EE2B9E" w:rsidRPr="0094007D">
        <w:rPr>
          <w:rFonts w:ascii="Arial Narrow" w:hAnsi="Arial Narrow" w:cs="Arial"/>
          <w:sz w:val="22"/>
          <w:szCs w:val="22"/>
          <w:lang w:val="es-CO"/>
        </w:rPr>
        <w:t>ermit</w:t>
      </w:r>
      <w:r w:rsidR="00697E0B">
        <w:rPr>
          <w:rFonts w:ascii="Arial Narrow" w:hAnsi="Arial Narrow" w:cs="Arial"/>
          <w:sz w:val="22"/>
          <w:szCs w:val="22"/>
          <w:lang w:val="es-CO"/>
        </w:rPr>
        <w:t xml:space="preserve">a </w:t>
      </w:r>
      <w:r w:rsidR="00EE2B9E" w:rsidRPr="0094007D">
        <w:rPr>
          <w:rFonts w:ascii="Arial Narrow" w:hAnsi="Arial Narrow" w:cs="Arial"/>
          <w:sz w:val="22"/>
          <w:szCs w:val="22"/>
          <w:lang w:val="es-CO"/>
        </w:rPr>
        <w:t xml:space="preserve"> la transición de otros firmantes hacia condiciones de autosostenibilidad dentro de</w:t>
      </w:r>
      <w:r w:rsidR="00EE2B9E">
        <w:rPr>
          <w:rFonts w:ascii="Arial Narrow" w:hAnsi="Arial Narrow" w:cs="Arial"/>
          <w:sz w:val="22"/>
          <w:szCs w:val="22"/>
          <w:lang w:val="es-CO"/>
        </w:rPr>
        <w:t xml:space="preserve"> la línea estratégica </w:t>
      </w:r>
      <w:r w:rsidR="00EE2B9E" w:rsidRPr="0094007D">
        <w:rPr>
          <w:rFonts w:ascii="Arial Narrow" w:hAnsi="Arial Narrow" w:cs="Arial"/>
          <w:sz w:val="22"/>
          <w:szCs w:val="22"/>
          <w:lang w:val="es-CO"/>
        </w:rPr>
        <w:t>de reincorporación económica.</w:t>
      </w:r>
    </w:p>
    <w:p w14:paraId="7296E57F" w14:textId="3D1E74FE" w:rsidR="00EE2B9E" w:rsidRPr="00025C84" w:rsidRDefault="00EE2B9E" w:rsidP="00662E8D">
      <w:pPr>
        <w:jc w:val="both"/>
        <w:rPr>
          <w:rFonts w:ascii="Arial Narrow" w:hAnsi="Arial Narrow" w:cs="Arial"/>
          <w:i/>
          <w:iCs/>
          <w:sz w:val="22"/>
          <w:szCs w:val="22"/>
        </w:rPr>
      </w:pPr>
    </w:p>
    <w:p w14:paraId="795DC717" w14:textId="43706106" w:rsidR="00EE2B9E" w:rsidRPr="00A5009F" w:rsidRDefault="00025C84" w:rsidP="00EE2B9E">
      <w:pPr>
        <w:jc w:val="both"/>
        <w:rPr>
          <w:rFonts w:ascii="Arial Narrow" w:hAnsi="Arial Narrow" w:cs="Arial"/>
          <w:sz w:val="22"/>
          <w:szCs w:val="22"/>
          <w:lang w:val="es-CO"/>
        </w:rPr>
      </w:pPr>
      <w:r w:rsidRPr="00025C84">
        <w:rPr>
          <w:rFonts w:ascii="Arial Narrow" w:hAnsi="Arial Narrow" w:cs="Arial"/>
          <w:sz w:val="22"/>
          <w:szCs w:val="22"/>
          <w:lang w:val="es-CO"/>
        </w:rPr>
        <w:t xml:space="preserve"> </w:t>
      </w:r>
      <w:r w:rsidR="00EE2B9E" w:rsidRPr="00025C84">
        <w:rPr>
          <w:rFonts w:ascii="Arial Narrow" w:hAnsi="Arial Narrow" w:cs="Arial"/>
          <w:sz w:val="22"/>
          <w:szCs w:val="22"/>
          <w:lang w:val="es-CO"/>
        </w:rPr>
        <w:t>Que el incremento del Salario Mínimo Legal Mensual Vigente fijado durante los años 2017 a 2026</w:t>
      </w:r>
      <w:r w:rsidRPr="00025C84">
        <w:rPr>
          <w:rFonts w:ascii="Arial Narrow" w:hAnsi="Arial Narrow" w:cs="Arial"/>
          <w:sz w:val="22"/>
          <w:szCs w:val="22"/>
          <w:lang w:val="es-CO"/>
        </w:rPr>
        <w:t xml:space="preserve"> </w:t>
      </w:r>
      <w:r w:rsidR="00EE2B9E" w:rsidRPr="00025C84">
        <w:rPr>
          <w:rFonts w:ascii="Arial Narrow" w:hAnsi="Arial Narrow" w:cs="Arial"/>
          <w:sz w:val="22"/>
          <w:szCs w:val="22"/>
          <w:lang w:val="es-CO"/>
        </w:rPr>
        <w:t xml:space="preserve">permite afirmar, de </w:t>
      </w:r>
      <w:r w:rsidR="00EE2B9E" w:rsidRPr="0094007D">
        <w:rPr>
          <w:rFonts w:ascii="Arial Narrow" w:hAnsi="Arial Narrow" w:cs="Arial"/>
          <w:sz w:val="22"/>
          <w:szCs w:val="22"/>
          <w:lang w:val="es-CO"/>
        </w:rPr>
        <w:t>manera razonable y objetiva, que una persona que devenga</w:t>
      </w:r>
      <w:r w:rsidR="00EE2B9E">
        <w:rPr>
          <w:rFonts w:ascii="Arial Narrow" w:hAnsi="Arial Narrow" w:cs="Arial"/>
          <w:sz w:val="22"/>
          <w:szCs w:val="22"/>
          <w:lang w:val="es-CO"/>
        </w:rPr>
        <w:t xml:space="preserve"> </w:t>
      </w:r>
      <w:r w:rsidR="00EE2B9E" w:rsidRPr="0094007D">
        <w:rPr>
          <w:rFonts w:ascii="Arial Narrow" w:hAnsi="Arial Narrow" w:cs="Arial"/>
          <w:sz w:val="22"/>
          <w:szCs w:val="22"/>
          <w:lang w:val="es-CO"/>
        </w:rPr>
        <w:t xml:space="preserve">ingresos </w:t>
      </w:r>
      <w:r w:rsidR="00EE2B9E">
        <w:rPr>
          <w:rFonts w:ascii="Arial Narrow" w:hAnsi="Arial Narrow" w:cs="Arial"/>
          <w:sz w:val="22"/>
          <w:szCs w:val="22"/>
          <w:lang w:val="es-CO"/>
        </w:rPr>
        <w:t xml:space="preserve">como consecuencia de un </w:t>
      </w:r>
      <w:r w:rsidR="00EE2B9E" w:rsidRPr="0094007D">
        <w:rPr>
          <w:rFonts w:ascii="Arial Narrow" w:hAnsi="Arial Narrow" w:cs="Arial"/>
          <w:sz w:val="22"/>
          <w:szCs w:val="22"/>
          <w:lang w:val="es-CO"/>
        </w:rPr>
        <w:t xml:space="preserve">vínculo contractual, laboral, legal o reglamentario, </w:t>
      </w:r>
      <w:r w:rsidR="00EE2B9E">
        <w:rPr>
          <w:rFonts w:ascii="Arial Narrow" w:hAnsi="Arial Narrow" w:cs="Arial"/>
          <w:sz w:val="22"/>
          <w:szCs w:val="22"/>
          <w:lang w:val="es-CO"/>
        </w:rPr>
        <w:t xml:space="preserve">o de </w:t>
      </w:r>
      <w:r w:rsidR="00EE2B9E" w:rsidRPr="0094007D">
        <w:rPr>
          <w:rFonts w:ascii="Arial Narrow" w:hAnsi="Arial Narrow" w:cs="Arial"/>
          <w:sz w:val="22"/>
          <w:szCs w:val="22"/>
          <w:lang w:val="es-CO"/>
        </w:rPr>
        <w:t>contratos que les generen ingresos</w:t>
      </w:r>
      <w:r w:rsidR="00697E0B">
        <w:rPr>
          <w:rFonts w:ascii="Arial Narrow" w:hAnsi="Arial Narrow" w:cs="Arial"/>
          <w:sz w:val="22"/>
          <w:szCs w:val="22"/>
          <w:lang w:val="es-CO"/>
        </w:rPr>
        <w:t>, cuenta con las condiciones</w:t>
      </w:r>
      <w:r w:rsidR="00EE2B9E">
        <w:rPr>
          <w:rFonts w:ascii="Arial Narrow" w:hAnsi="Arial Narrow" w:cs="Arial"/>
          <w:sz w:val="22"/>
          <w:szCs w:val="22"/>
          <w:lang w:val="es-CO"/>
        </w:rPr>
        <w:t xml:space="preserve"> </w:t>
      </w:r>
      <w:r w:rsidR="00EE2B9E" w:rsidRPr="0094007D">
        <w:rPr>
          <w:rFonts w:ascii="Arial Narrow" w:hAnsi="Arial Narrow" w:cs="Arial"/>
          <w:sz w:val="22"/>
          <w:szCs w:val="22"/>
          <w:lang w:val="es-CO"/>
        </w:rPr>
        <w:t>que le per</w:t>
      </w:r>
      <w:r w:rsidR="00EE2B9E">
        <w:rPr>
          <w:rFonts w:ascii="Arial Narrow" w:hAnsi="Arial Narrow" w:cs="Arial"/>
          <w:sz w:val="22"/>
          <w:szCs w:val="22"/>
          <w:lang w:val="es-CO"/>
        </w:rPr>
        <w:t>m</w:t>
      </w:r>
      <w:r w:rsidR="00EE2B9E" w:rsidRPr="0094007D">
        <w:rPr>
          <w:rFonts w:ascii="Arial Narrow" w:hAnsi="Arial Narrow" w:cs="Arial"/>
          <w:sz w:val="22"/>
          <w:szCs w:val="22"/>
          <w:lang w:val="es-CO"/>
        </w:rPr>
        <w:t>iten</w:t>
      </w:r>
      <w:r w:rsidR="00EE2B9E">
        <w:rPr>
          <w:rFonts w:ascii="Arial Narrow" w:hAnsi="Arial Narrow" w:cs="Arial"/>
          <w:sz w:val="22"/>
          <w:szCs w:val="22"/>
          <w:lang w:val="es-CO"/>
        </w:rPr>
        <w:t xml:space="preserve"> </w:t>
      </w:r>
      <w:r w:rsidR="00EE2B9E" w:rsidRPr="0094007D">
        <w:rPr>
          <w:rFonts w:ascii="Arial Narrow" w:hAnsi="Arial Narrow" w:cs="Arial"/>
          <w:sz w:val="22"/>
          <w:szCs w:val="22"/>
          <w:lang w:val="es-CO"/>
        </w:rPr>
        <w:lastRenderedPageBreak/>
        <w:t xml:space="preserve">sufragar los costos básicos de </w:t>
      </w:r>
      <w:r w:rsidR="00EE2B9E" w:rsidRPr="00A5009F">
        <w:rPr>
          <w:rFonts w:ascii="Arial Narrow" w:hAnsi="Arial Narrow" w:cs="Arial"/>
          <w:sz w:val="22"/>
          <w:szCs w:val="22"/>
          <w:lang w:val="es-CO"/>
        </w:rPr>
        <w:t>subsistencia en condiciones de dignidad, particularmente si se tiene en cuenta el tamaño promedio del hogar colombiano y el mandato constitucional de salario mínimo vital y móvil.</w:t>
      </w:r>
    </w:p>
    <w:p w14:paraId="1DABB385" w14:textId="77777777" w:rsidR="00EE2B9E" w:rsidRPr="0094007D" w:rsidRDefault="00EE2B9E" w:rsidP="00EE2B9E">
      <w:pPr>
        <w:jc w:val="both"/>
        <w:rPr>
          <w:rFonts w:ascii="Arial Narrow" w:hAnsi="Arial Narrow" w:cs="Arial"/>
          <w:sz w:val="22"/>
          <w:szCs w:val="22"/>
          <w:lang w:val="es-CO"/>
        </w:rPr>
      </w:pPr>
    </w:p>
    <w:p w14:paraId="17CCF9CD" w14:textId="50B22EA7" w:rsidR="00EE2B9E" w:rsidRPr="00025C84" w:rsidRDefault="00EE2B9E" w:rsidP="00EE2B9E">
      <w:pPr>
        <w:jc w:val="both"/>
        <w:rPr>
          <w:rFonts w:ascii="Arial Narrow" w:hAnsi="Arial Narrow" w:cs="Arial"/>
          <w:sz w:val="22"/>
          <w:szCs w:val="22"/>
          <w:lang w:val="es-CO"/>
        </w:rPr>
      </w:pPr>
      <w:r w:rsidRPr="0094007D">
        <w:rPr>
          <w:rFonts w:ascii="Arial Narrow" w:hAnsi="Arial Narrow" w:cs="Arial"/>
          <w:sz w:val="22"/>
          <w:szCs w:val="22"/>
          <w:lang w:val="es-CO"/>
        </w:rPr>
        <w:t xml:space="preserve">Que la redefinición </w:t>
      </w:r>
      <w:r>
        <w:rPr>
          <w:rFonts w:ascii="Arial Narrow" w:hAnsi="Arial Narrow" w:cs="Arial"/>
          <w:sz w:val="22"/>
          <w:szCs w:val="22"/>
          <w:lang w:val="es-CO"/>
        </w:rPr>
        <w:t>de las condiciones de</w:t>
      </w:r>
      <w:r w:rsidRPr="0094007D">
        <w:rPr>
          <w:rFonts w:ascii="Arial Narrow" w:hAnsi="Arial Narrow" w:cs="Arial"/>
          <w:sz w:val="22"/>
          <w:szCs w:val="22"/>
          <w:lang w:val="es-CO"/>
        </w:rPr>
        <w:t xml:space="preserve"> acceso a</w:t>
      </w:r>
      <w:r>
        <w:rPr>
          <w:rFonts w:ascii="Arial Narrow" w:hAnsi="Arial Narrow" w:cs="Arial"/>
          <w:sz w:val="22"/>
          <w:szCs w:val="22"/>
          <w:lang w:val="es-CO"/>
        </w:rPr>
        <w:t xml:space="preserve">l Suministro Económico de Alimentación </w:t>
      </w:r>
      <w:r w:rsidRPr="0094007D">
        <w:rPr>
          <w:rFonts w:ascii="Arial Narrow" w:hAnsi="Arial Narrow" w:cs="Arial"/>
          <w:sz w:val="22"/>
          <w:szCs w:val="22"/>
          <w:lang w:val="es-CO"/>
        </w:rPr>
        <w:t>responde</w:t>
      </w:r>
      <w:r w:rsidR="00697E0B">
        <w:rPr>
          <w:rFonts w:ascii="Arial Narrow" w:hAnsi="Arial Narrow" w:cs="Arial"/>
          <w:sz w:val="22"/>
          <w:szCs w:val="22"/>
          <w:lang w:val="es-CO"/>
        </w:rPr>
        <w:t xml:space="preserve"> tal como se indicó,</w:t>
      </w:r>
      <w:r w:rsidR="00025C84">
        <w:rPr>
          <w:rFonts w:ascii="Arial Narrow" w:hAnsi="Arial Narrow" w:cs="Arial"/>
          <w:sz w:val="22"/>
          <w:szCs w:val="22"/>
          <w:lang w:val="es-CO"/>
        </w:rPr>
        <w:t xml:space="preserve"> </w:t>
      </w:r>
      <w:r w:rsidRPr="0094007D">
        <w:rPr>
          <w:rFonts w:ascii="Arial Narrow" w:hAnsi="Arial Narrow" w:cs="Arial"/>
          <w:sz w:val="22"/>
          <w:szCs w:val="22"/>
          <w:lang w:val="es-CO"/>
        </w:rPr>
        <w:t>a criterios de sostenibilidad fiscal y de eficiencia en el uso de los recursos públicos, permitiendo focalizar el beneficio en las personas que se encuentran en mayor situación de vulnerabilidad económica y garantizar su continuidad para un mayor número de firmantes de paz que aún requieren dicho apoyo para avanzar en su Plan de Reincorporación Individual</w:t>
      </w:r>
      <w:r w:rsidR="00697E0B">
        <w:rPr>
          <w:rFonts w:ascii="Arial Narrow" w:hAnsi="Arial Narrow" w:cs="Arial"/>
          <w:sz w:val="22"/>
          <w:szCs w:val="22"/>
          <w:lang w:val="es-CO"/>
        </w:rPr>
        <w:t>.</w:t>
      </w:r>
    </w:p>
    <w:p w14:paraId="21629E4A" w14:textId="77777777" w:rsidR="002351E9" w:rsidRPr="002527B7" w:rsidRDefault="002351E9" w:rsidP="002527B7">
      <w:pPr>
        <w:jc w:val="both"/>
        <w:rPr>
          <w:rFonts w:ascii="Arial Narrow" w:hAnsi="Arial Narrow" w:cs="Arial"/>
          <w:i/>
          <w:iCs/>
          <w:sz w:val="22"/>
          <w:szCs w:val="22"/>
          <w:lang w:val="es-CO"/>
        </w:rPr>
      </w:pPr>
    </w:p>
    <w:p w14:paraId="536680B5" w14:textId="75BBDDE2" w:rsidR="00FD7D73" w:rsidRPr="00025C84" w:rsidRDefault="009C5F56" w:rsidP="00FA3968">
      <w:pPr>
        <w:jc w:val="both"/>
        <w:rPr>
          <w:rFonts w:ascii="Arial Narrow" w:hAnsi="Arial Narrow" w:cs="Arial"/>
          <w:sz w:val="22"/>
          <w:szCs w:val="22"/>
        </w:rPr>
      </w:pPr>
      <w:r w:rsidRPr="00025C84">
        <w:rPr>
          <w:rFonts w:ascii="Arial Narrow" w:hAnsi="Arial Narrow" w:cs="Arial"/>
          <w:sz w:val="22"/>
          <w:szCs w:val="22"/>
        </w:rPr>
        <w:t>Que</w:t>
      </w:r>
      <w:r w:rsidR="00EE2B9E">
        <w:rPr>
          <w:rFonts w:ascii="Arial Narrow" w:hAnsi="Arial Narrow" w:cs="Arial"/>
          <w:sz w:val="22"/>
          <w:szCs w:val="22"/>
        </w:rPr>
        <w:t>, por lo anterior,</w:t>
      </w:r>
      <w:r w:rsidR="00025C84">
        <w:rPr>
          <w:rFonts w:ascii="Arial Narrow" w:hAnsi="Arial Narrow" w:cs="Arial"/>
          <w:sz w:val="22"/>
          <w:szCs w:val="22"/>
        </w:rPr>
        <w:t xml:space="preserve"> </w:t>
      </w:r>
      <w:r w:rsidR="00025C84">
        <w:rPr>
          <w:rFonts w:ascii="Arial Narrow" w:hAnsi="Arial Narrow" w:cs="Arial"/>
          <w:sz w:val="22"/>
          <w:szCs w:val="22"/>
          <w:lang w:val="es-CO"/>
        </w:rPr>
        <w:t xml:space="preserve"> </w:t>
      </w:r>
      <w:r w:rsidR="00EE2B9E">
        <w:rPr>
          <w:rFonts w:ascii="Arial Narrow" w:hAnsi="Arial Narrow" w:cs="Arial"/>
          <w:sz w:val="22"/>
          <w:szCs w:val="22"/>
        </w:rPr>
        <w:t>es</w:t>
      </w:r>
      <w:r w:rsidR="00442B89" w:rsidRPr="00025C84">
        <w:rPr>
          <w:rFonts w:ascii="Arial Narrow" w:hAnsi="Arial Narrow" w:cs="Arial"/>
          <w:sz w:val="22"/>
          <w:szCs w:val="22"/>
        </w:rPr>
        <w:t xml:space="preserve"> necesario modificar </w:t>
      </w:r>
      <w:r w:rsidR="00D76AF9" w:rsidRPr="00025C84">
        <w:rPr>
          <w:rFonts w:ascii="Arial Narrow" w:hAnsi="Arial Narrow" w:cs="Arial"/>
          <w:sz w:val="22"/>
          <w:szCs w:val="22"/>
        </w:rPr>
        <w:t>el</w:t>
      </w:r>
      <w:r w:rsidR="00025C84">
        <w:rPr>
          <w:rFonts w:ascii="Arial Narrow" w:hAnsi="Arial Narrow" w:cs="Arial"/>
          <w:sz w:val="22"/>
          <w:szCs w:val="22"/>
        </w:rPr>
        <w:t xml:space="preserve"> </w:t>
      </w:r>
      <w:r w:rsidR="00697E0B" w:rsidRPr="00294529">
        <w:rPr>
          <w:rFonts w:ascii="Arial Narrow" w:hAnsi="Arial Narrow" w:cs="Arial"/>
          <w:sz w:val="22"/>
          <w:szCs w:val="22"/>
        </w:rPr>
        <w:t xml:space="preserve">numeral 4 </w:t>
      </w:r>
      <w:r w:rsidR="00697E0B">
        <w:rPr>
          <w:rFonts w:ascii="Arial Narrow" w:hAnsi="Arial Narrow" w:cs="Arial"/>
          <w:sz w:val="22"/>
          <w:szCs w:val="22"/>
        </w:rPr>
        <w:t xml:space="preserve">del </w:t>
      </w:r>
      <w:r w:rsidR="00BC2ADA" w:rsidRPr="00025C84">
        <w:rPr>
          <w:rFonts w:ascii="Arial Narrow" w:hAnsi="Arial Narrow" w:cs="Arial"/>
          <w:sz w:val="22"/>
          <w:szCs w:val="22"/>
        </w:rPr>
        <w:t>artículo</w:t>
      </w:r>
      <w:r w:rsidR="00D76AF9" w:rsidRPr="00025C84">
        <w:rPr>
          <w:rFonts w:ascii="Arial Narrow" w:hAnsi="Arial Narrow" w:cs="Arial"/>
          <w:sz w:val="22"/>
          <w:szCs w:val="22"/>
        </w:rPr>
        <w:t xml:space="preserve"> 7 de la </w:t>
      </w:r>
      <w:r w:rsidR="00EE2B9E">
        <w:rPr>
          <w:rFonts w:ascii="Arial Narrow" w:hAnsi="Arial Narrow" w:cs="Arial"/>
          <w:sz w:val="22"/>
          <w:szCs w:val="22"/>
        </w:rPr>
        <w:t>R</w:t>
      </w:r>
      <w:r w:rsidR="00D76AF9" w:rsidRPr="00025C84">
        <w:rPr>
          <w:rFonts w:ascii="Arial Narrow" w:hAnsi="Arial Narrow" w:cs="Arial"/>
          <w:sz w:val="22"/>
          <w:szCs w:val="22"/>
        </w:rPr>
        <w:t>esolución 1797 de 202</w:t>
      </w:r>
      <w:r w:rsidR="00354BCB" w:rsidRPr="00025C84">
        <w:rPr>
          <w:rFonts w:ascii="Arial Narrow" w:hAnsi="Arial Narrow" w:cs="Arial"/>
          <w:sz w:val="22"/>
          <w:szCs w:val="22"/>
        </w:rPr>
        <w:t>3</w:t>
      </w:r>
      <w:r w:rsidR="00EE2B9E">
        <w:rPr>
          <w:rFonts w:ascii="Arial Narrow" w:hAnsi="Arial Narrow" w:cs="Arial"/>
          <w:sz w:val="22"/>
          <w:szCs w:val="22"/>
        </w:rPr>
        <w:t>,</w:t>
      </w:r>
      <w:r w:rsidR="00025C84">
        <w:rPr>
          <w:rFonts w:ascii="Arial Narrow" w:hAnsi="Arial Narrow" w:cs="Arial"/>
          <w:sz w:val="22"/>
          <w:szCs w:val="22"/>
        </w:rPr>
        <w:t xml:space="preserve"> </w:t>
      </w:r>
      <w:r w:rsidR="00354BCB" w:rsidRPr="00025C84">
        <w:rPr>
          <w:rFonts w:ascii="Arial Narrow" w:hAnsi="Arial Narrow" w:cs="Arial"/>
          <w:sz w:val="22"/>
          <w:szCs w:val="22"/>
        </w:rPr>
        <w:t xml:space="preserve">modificado por </w:t>
      </w:r>
      <w:r w:rsidR="00697E0B">
        <w:rPr>
          <w:rFonts w:ascii="Arial Narrow" w:hAnsi="Arial Narrow" w:cs="Arial"/>
          <w:sz w:val="22"/>
          <w:szCs w:val="22"/>
        </w:rPr>
        <w:t xml:space="preserve">el artículo 1 de </w:t>
      </w:r>
      <w:r w:rsidR="00354BCB" w:rsidRPr="00025C84">
        <w:rPr>
          <w:rFonts w:ascii="Arial Narrow" w:hAnsi="Arial Narrow" w:cs="Arial"/>
          <w:sz w:val="22"/>
          <w:szCs w:val="22"/>
        </w:rPr>
        <w:t xml:space="preserve">la </w:t>
      </w:r>
      <w:r w:rsidR="00EE2B9E">
        <w:rPr>
          <w:rFonts w:ascii="Arial Narrow" w:hAnsi="Arial Narrow" w:cs="Arial"/>
          <w:sz w:val="22"/>
          <w:szCs w:val="22"/>
        </w:rPr>
        <w:t>R</w:t>
      </w:r>
      <w:r w:rsidR="00354BCB" w:rsidRPr="00025C84">
        <w:rPr>
          <w:rFonts w:ascii="Arial Narrow" w:hAnsi="Arial Narrow" w:cs="Arial"/>
          <w:sz w:val="22"/>
          <w:szCs w:val="22"/>
        </w:rPr>
        <w:t xml:space="preserve">esolución </w:t>
      </w:r>
      <w:r w:rsidR="00D534EC" w:rsidRPr="00025C84">
        <w:rPr>
          <w:rFonts w:ascii="Arial Narrow" w:hAnsi="Arial Narrow" w:cs="Arial"/>
          <w:sz w:val="22"/>
          <w:szCs w:val="22"/>
        </w:rPr>
        <w:t>0146 de 2025</w:t>
      </w:r>
      <w:r w:rsidR="00EE2B9E">
        <w:rPr>
          <w:rFonts w:ascii="Arial Narrow" w:hAnsi="Arial Narrow" w:cs="Arial"/>
          <w:sz w:val="22"/>
          <w:szCs w:val="22"/>
        </w:rPr>
        <w:t>,</w:t>
      </w:r>
      <w:r w:rsidR="00D534EC" w:rsidRPr="00025C84">
        <w:rPr>
          <w:rFonts w:ascii="Arial Narrow" w:hAnsi="Arial Narrow" w:cs="Arial"/>
          <w:sz w:val="22"/>
          <w:szCs w:val="22"/>
        </w:rPr>
        <w:t xml:space="preserve"> </w:t>
      </w:r>
      <w:r w:rsidR="00697E0B">
        <w:rPr>
          <w:rFonts w:ascii="Arial Narrow" w:hAnsi="Arial Narrow" w:cs="Arial"/>
          <w:sz w:val="22"/>
          <w:szCs w:val="22"/>
        </w:rPr>
        <w:t>en el sentido de establecer que</w:t>
      </w:r>
      <w:r w:rsidR="00025C84">
        <w:rPr>
          <w:rFonts w:ascii="Arial Narrow" w:hAnsi="Arial Narrow" w:cs="Arial"/>
          <w:sz w:val="22"/>
          <w:szCs w:val="22"/>
        </w:rPr>
        <w:t xml:space="preserve"> </w:t>
      </w:r>
      <w:r w:rsidR="008F4520" w:rsidRPr="00025C84">
        <w:rPr>
          <w:rFonts w:ascii="Arial Narrow" w:hAnsi="Arial Narrow" w:cs="Arial"/>
          <w:sz w:val="22"/>
          <w:szCs w:val="22"/>
        </w:rPr>
        <w:t xml:space="preserve">el </w:t>
      </w:r>
      <w:r w:rsidR="00697E0B">
        <w:rPr>
          <w:rFonts w:ascii="Arial Narrow" w:hAnsi="Arial Narrow" w:cs="Arial"/>
          <w:sz w:val="22"/>
          <w:szCs w:val="22"/>
        </w:rPr>
        <w:t xml:space="preserve">acceso </w:t>
      </w:r>
      <w:r w:rsidR="00A2678D" w:rsidRPr="00025C84">
        <w:rPr>
          <w:rFonts w:ascii="Arial Narrow" w:hAnsi="Arial Narrow" w:cs="Arial"/>
          <w:sz w:val="22"/>
          <w:szCs w:val="22"/>
          <w:lang w:val="es-CO"/>
        </w:rPr>
        <w:t>al suministro económico de alimentación</w:t>
      </w:r>
      <w:r w:rsidR="00025C84">
        <w:rPr>
          <w:rFonts w:ascii="Arial Narrow" w:hAnsi="Arial Narrow" w:cs="Arial"/>
          <w:sz w:val="22"/>
          <w:szCs w:val="22"/>
        </w:rPr>
        <w:t xml:space="preserve"> </w:t>
      </w:r>
      <w:r w:rsidR="0064611C" w:rsidRPr="00025C84">
        <w:rPr>
          <w:rFonts w:ascii="Arial Narrow" w:hAnsi="Arial Narrow" w:cs="Arial"/>
          <w:sz w:val="22"/>
          <w:szCs w:val="22"/>
        </w:rPr>
        <w:t xml:space="preserve">que </w:t>
      </w:r>
      <w:r w:rsidR="00507319">
        <w:rPr>
          <w:rFonts w:ascii="Arial Narrow" w:hAnsi="Arial Narrow" w:cs="Arial"/>
          <w:sz w:val="22"/>
          <w:szCs w:val="22"/>
        </w:rPr>
        <w:t>la persona en proceso de reincorporación</w:t>
      </w:r>
      <w:r w:rsidR="00697E0B" w:rsidRPr="00697E0B">
        <w:rPr>
          <w:rFonts w:ascii="Arial Narrow" w:hAnsi="Arial Narrow" w:cs="Arial"/>
          <w:sz w:val="22"/>
          <w:szCs w:val="22"/>
        </w:rPr>
        <w:t xml:space="preserve"> </w:t>
      </w:r>
      <w:r w:rsidR="00697E0B">
        <w:rPr>
          <w:rFonts w:ascii="Arial Narrow" w:hAnsi="Arial Narrow" w:cs="Arial"/>
          <w:sz w:val="22"/>
          <w:szCs w:val="22"/>
        </w:rPr>
        <w:t xml:space="preserve">solo serán beneficiarios de este las personas que no tengan </w:t>
      </w:r>
      <w:r w:rsidR="00697E0B" w:rsidRPr="008814C3">
        <w:rPr>
          <w:rFonts w:ascii="Arial Narrow" w:hAnsi="Arial Narrow" w:cs="Arial"/>
          <w:sz w:val="22"/>
          <w:szCs w:val="22"/>
          <w:lang w:val="es-CO"/>
        </w:rPr>
        <w:t>un vínculo contractual, laboral, legal y reglamentario, o un contrato de cualquier naturaleza que les genere ningún tipo de ingresos</w:t>
      </w:r>
      <w:r w:rsidR="00697E0B">
        <w:rPr>
          <w:rFonts w:ascii="Arial Narrow" w:hAnsi="Arial Narrow" w:cs="Arial"/>
          <w:sz w:val="22"/>
          <w:szCs w:val="22"/>
        </w:rPr>
        <w:t xml:space="preserve"> y no como está actualmente, para</w:t>
      </w:r>
      <w:r w:rsidR="00025C84">
        <w:rPr>
          <w:rFonts w:ascii="Arial Narrow" w:hAnsi="Arial Narrow" w:cs="Arial"/>
          <w:sz w:val="22"/>
          <w:szCs w:val="22"/>
        </w:rPr>
        <w:t xml:space="preserve"> </w:t>
      </w:r>
      <w:r w:rsidR="00E61CFC">
        <w:rPr>
          <w:rFonts w:ascii="Arial Narrow" w:hAnsi="Arial Narrow" w:cs="Arial"/>
          <w:sz w:val="22"/>
          <w:szCs w:val="22"/>
        </w:rPr>
        <w:t xml:space="preserve">quienes devenguen </w:t>
      </w:r>
      <w:r w:rsidR="0064611C" w:rsidRPr="00025C84">
        <w:rPr>
          <w:rFonts w:ascii="Arial Narrow" w:hAnsi="Arial Narrow" w:cs="Arial"/>
          <w:sz w:val="22"/>
          <w:szCs w:val="22"/>
        </w:rPr>
        <w:t xml:space="preserve">ingresos mensuales de hasta </w:t>
      </w:r>
      <w:r w:rsidR="00AF3BEB" w:rsidRPr="00025C84">
        <w:rPr>
          <w:rFonts w:ascii="Arial Narrow" w:hAnsi="Arial Narrow" w:cs="Arial"/>
          <w:sz w:val="22"/>
          <w:szCs w:val="22"/>
        </w:rPr>
        <w:t xml:space="preserve">tres </w:t>
      </w:r>
      <w:r w:rsidR="00501AEA" w:rsidRPr="00025C84">
        <w:rPr>
          <w:rFonts w:ascii="Arial Narrow" w:hAnsi="Arial Narrow" w:cs="Arial"/>
          <w:sz w:val="22"/>
          <w:szCs w:val="22"/>
        </w:rPr>
        <w:t>(</w:t>
      </w:r>
      <w:r w:rsidR="0064611C" w:rsidRPr="00025C84">
        <w:rPr>
          <w:rFonts w:ascii="Arial Narrow" w:hAnsi="Arial Narrow" w:cs="Arial"/>
          <w:sz w:val="22"/>
          <w:szCs w:val="22"/>
        </w:rPr>
        <w:t>3</w:t>
      </w:r>
      <w:r w:rsidR="00501AEA" w:rsidRPr="00025C84">
        <w:rPr>
          <w:rFonts w:ascii="Arial Narrow" w:hAnsi="Arial Narrow" w:cs="Arial"/>
          <w:sz w:val="22"/>
          <w:szCs w:val="22"/>
        </w:rPr>
        <w:t>)</w:t>
      </w:r>
      <w:r w:rsidR="0064611C" w:rsidRPr="00025C84">
        <w:rPr>
          <w:rFonts w:ascii="Arial Narrow" w:hAnsi="Arial Narrow" w:cs="Arial"/>
          <w:sz w:val="22"/>
          <w:szCs w:val="22"/>
        </w:rPr>
        <w:t xml:space="preserve"> S</w:t>
      </w:r>
      <w:r w:rsidR="00C61FC7" w:rsidRPr="00025C84">
        <w:rPr>
          <w:rFonts w:ascii="Arial Narrow" w:hAnsi="Arial Narrow" w:cs="Arial"/>
          <w:sz w:val="22"/>
          <w:szCs w:val="22"/>
        </w:rPr>
        <w:t xml:space="preserve">alarios Mínimos </w:t>
      </w:r>
      <w:r w:rsidR="0064611C" w:rsidRPr="00025C84">
        <w:rPr>
          <w:rFonts w:ascii="Arial Narrow" w:hAnsi="Arial Narrow" w:cs="Arial"/>
          <w:sz w:val="22"/>
          <w:szCs w:val="22"/>
        </w:rPr>
        <w:t>M</w:t>
      </w:r>
      <w:r w:rsidR="00C61FC7" w:rsidRPr="00025C84">
        <w:rPr>
          <w:rFonts w:ascii="Arial Narrow" w:hAnsi="Arial Narrow" w:cs="Arial"/>
          <w:sz w:val="22"/>
          <w:szCs w:val="22"/>
        </w:rPr>
        <w:t xml:space="preserve">ensuales </w:t>
      </w:r>
      <w:r w:rsidR="0064611C" w:rsidRPr="00025C84">
        <w:rPr>
          <w:rFonts w:ascii="Arial Narrow" w:hAnsi="Arial Narrow" w:cs="Arial"/>
          <w:sz w:val="22"/>
          <w:szCs w:val="22"/>
        </w:rPr>
        <w:t>V</w:t>
      </w:r>
      <w:r w:rsidR="00C61FC7" w:rsidRPr="00025C84">
        <w:rPr>
          <w:rFonts w:ascii="Arial Narrow" w:hAnsi="Arial Narrow" w:cs="Arial"/>
          <w:sz w:val="22"/>
          <w:szCs w:val="22"/>
        </w:rPr>
        <w:t>igentes -SMMV</w:t>
      </w:r>
      <w:r w:rsidR="00E61CFC">
        <w:rPr>
          <w:rFonts w:ascii="Arial Narrow" w:hAnsi="Arial Narrow" w:cs="Arial"/>
          <w:sz w:val="22"/>
          <w:szCs w:val="22"/>
        </w:rPr>
        <w:t>.</w:t>
      </w:r>
      <w:r w:rsidR="00EE2B9E">
        <w:rPr>
          <w:rFonts w:ascii="Arial Narrow" w:hAnsi="Arial Narrow" w:cs="Arial"/>
          <w:sz w:val="22"/>
          <w:szCs w:val="22"/>
        </w:rPr>
        <w:t xml:space="preserve"> </w:t>
      </w:r>
    </w:p>
    <w:p w14:paraId="10432643" w14:textId="77777777" w:rsidR="00FD7D73" w:rsidRDefault="00FD7D73" w:rsidP="00FA3968">
      <w:pPr>
        <w:jc w:val="both"/>
        <w:rPr>
          <w:rFonts w:ascii="Arial Narrow" w:hAnsi="Arial Narrow" w:cs="Arial"/>
          <w:sz w:val="22"/>
          <w:szCs w:val="22"/>
        </w:rPr>
      </w:pPr>
    </w:p>
    <w:p w14:paraId="17C97FE6" w14:textId="6EAB2039" w:rsidR="00844E73" w:rsidRPr="003B3D16" w:rsidRDefault="00EE2B9E" w:rsidP="00FA3968">
      <w:pPr>
        <w:jc w:val="both"/>
        <w:rPr>
          <w:rFonts w:ascii="Arial Narrow" w:hAnsi="Arial Narrow" w:cs="Arial"/>
          <w:sz w:val="22"/>
          <w:szCs w:val="22"/>
        </w:rPr>
      </w:pPr>
      <w:r>
        <w:rPr>
          <w:rFonts w:ascii="Arial Narrow" w:hAnsi="Arial Narrow" w:cs="Arial"/>
          <w:sz w:val="22"/>
          <w:szCs w:val="22"/>
        </w:rPr>
        <w:t>Que e</w:t>
      </w:r>
      <w:r w:rsidR="00D832A6">
        <w:rPr>
          <w:rFonts w:ascii="Arial Narrow" w:hAnsi="Arial Narrow" w:cs="Arial"/>
          <w:sz w:val="22"/>
          <w:szCs w:val="22"/>
        </w:rPr>
        <w:t xml:space="preserve">sta modificación </w:t>
      </w:r>
      <w:r>
        <w:rPr>
          <w:rFonts w:ascii="Arial Narrow" w:hAnsi="Arial Narrow" w:cs="Arial"/>
          <w:sz w:val="22"/>
          <w:szCs w:val="22"/>
        </w:rPr>
        <w:t xml:space="preserve">es razonable en tanto </w:t>
      </w:r>
      <w:r w:rsidR="00D832A6">
        <w:rPr>
          <w:rFonts w:ascii="Arial Narrow" w:hAnsi="Arial Narrow" w:cs="Arial"/>
          <w:sz w:val="22"/>
          <w:szCs w:val="22"/>
        </w:rPr>
        <w:t>ayuda a</w:t>
      </w:r>
      <w:r w:rsidR="00DC097E">
        <w:rPr>
          <w:rFonts w:ascii="Arial Narrow" w:hAnsi="Arial Narrow" w:cs="Arial"/>
          <w:sz w:val="22"/>
          <w:szCs w:val="22"/>
        </w:rPr>
        <w:t xml:space="preserve"> seguir </w:t>
      </w:r>
      <w:r w:rsidR="00F6196B">
        <w:rPr>
          <w:rFonts w:ascii="Arial Narrow" w:hAnsi="Arial Narrow" w:cs="Arial"/>
          <w:sz w:val="22"/>
          <w:szCs w:val="22"/>
        </w:rPr>
        <w:t>acompañando</w:t>
      </w:r>
      <w:r w:rsidR="00DC097E">
        <w:rPr>
          <w:rFonts w:ascii="Arial Narrow" w:hAnsi="Arial Narrow" w:cs="Arial"/>
          <w:sz w:val="22"/>
          <w:szCs w:val="22"/>
        </w:rPr>
        <w:t xml:space="preserve"> a las y los </w:t>
      </w:r>
      <w:r w:rsidR="00F6196B">
        <w:rPr>
          <w:rFonts w:ascii="Arial Narrow" w:hAnsi="Arial Narrow" w:cs="Arial"/>
          <w:sz w:val="22"/>
          <w:szCs w:val="22"/>
        </w:rPr>
        <w:t>firmantes</w:t>
      </w:r>
      <w:r w:rsidR="00DC097E">
        <w:rPr>
          <w:rFonts w:ascii="Arial Narrow" w:hAnsi="Arial Narrow" w:cs="Arial"/>
          <w:sz w:val="22"/>
          <w:szCs w:val="22"/>
        </w:rPr>
        <w:t xml:space="preserve"> más vulnerables en su proceso de reincorporación</w:t>
      </w:r>
      <w:r w:rsidR="00507319">
        <w:rPr>
          <w:rFonts w:ascii="Arial Narrow" w:hAnsi="Arial Narrow" w:cs="Arial"/>
          <w:sz w:val="22"/>
          <w:szCs w:val="22"/>
        </w:rPr>
        <w:t>,</w:t>
      </w:r>
      <w:r w:rsidR="00DC097E">
        <w:rPr>
          <w:rFonts w:ascii="Arial Narrow" w:hAnsi="Arial Narrow" w:cs="Arial"/>
          <w:sz w:val="22"/>
          <w:szCs w:val="22"/>
        </w:rPr>
        <w:t xml:space="preserve"> </w:t>
      </w:r>
      <w:r w:rsidR="00D832A6">
        <w:rPr>
          <w:rFonts w:ascii="Arial Narrow" w:hAnsi="Arial Narrow" w:cs="Arial"/>
          <w:sz w:val="22"/>
          <w:szCs w:val="22"/>
        </w:rPr>
        <w:t xml:space="preserve">ya que </w:t>
      </w:r>
      <w:r w:rsidR="00507319">
        <w:rPr>
          <w:rFonts w:ascii="Arial Narrow" w:hAnsi="Arial Narrow" w:cs="Arial"/>
          <w:sz w:val="22"/>
          <w:szCs w:val="22"/>
        </w:rPr>
        <w:t xml:space="preserve">seguirá siendo </w:t>
      </w:r>
      <w:r w:rsidR="00D832A6">
        <w:rPr>
          <w:rFonts w:ascii="Arial Narrow" w:hAnsi="Arial Narrow" w:cs="Arial"/>
          <w:sz w:val="22"/>
          <w:szCs w:val="22"/>
        </w:rPr>
        <w:t xml:space="preserve">recibido por quienes cumplan los requisitos establecidos y </w:t>
      </w:r>
      <w:r w:rsidR="00507319">
        <w:rPr>
          <w:rFonts w:ascii="Arial Narrow" w:hAnsi="Arial Narrow" w:cs="Arial"/>
          <w:sz w:val="22"/>
          <w:szCs w:val="22"/>
        </w:rPr>
        <w:t xml:space="preserve">además </w:t>
      </w:r>
      <w:r w:rsidR="00D832A6">
        <w:rPr>
          <w:rFonts w:ascii="Arial Narrow" w:hAnsi="Arial Narrow" w:cs="Arial"/>
          <w:sz w:val="22"/>
          <w:szCs w:val="22"/>
        </w:rPr>
        <w:t xml:space="preserve">no </w:t>
      </w:r>
      <w:r w:rsidR="00DB69F6">
        <w:rPr>
          <w:rFonts w:ascii="Arial Narrow" w:hAnsi="Arial Narrow" w:cs="Arial"/>
          <w:sz w:val="22"/>
          <w:szCs w:val="22"/>
        </w:rPr>
        <w:t xml:space="preserve">perciban </w:t>
      </w:r>
      <w:r w:rsidR="00057A95">
        <w:rPr>
          <w:rFonts w:ascii="Arial Narrow" w:hAnsi="Arial Narrow" w:cs="Arial"/>
          <w:sz w:val="22"/>
          <w:szCs w:val="22"/>
        </w:rPr>
        <w:t>ningún ingreso mensual</w:t>
      </w:r>
      <w:r w:rsidR="00105B84">
        <w:rPr>
          <w:rFonts w:ascii="Arial Narrow" w:hAnsi="Arial Narrow" w:cs="Arial"/>
          <w:sz w:val="22"/>
          <w:szCs w:val="22"/>
        </w:rPr>
        <w:t>.</w:t>
      </w:r>
    </w:p>
    <w:p w14:paraId="313F2699" w14:textId="77777777" w:rsidR="00271ED2" w:rsidRDefault="00271ED2" w:rsidP="0009302A">
      <w:pPr>
        <w:jc w:val="both"/>
        <w:rPr>
          <w:rFonts w:ascii="Arial Narrow" w:hAnsi="Arial Narrow" w:cs="Arial"/>
          <w:sz w:val="22"/>
          <w:szCs w:val="22"/>
        </w:rPr>
      </w:pPr>
    </w:p>
    <w:p w14:paraId="6E22AA78" w14:textId="36001C86" w:rsidR="00B342EB" w:rsidRPr="008F656A" w:rsidRDefault="00B342EB" w:rsidP="00B342EB">
      <w:pPr>
        <w:jc w:val="both"/>
        <w:rPr>
          <w:rFonts w:ascii="Arial Narrow" w:hAnsi="Arial Narrow"/>
          <w:iCs/>
          <w:sz w:val="22"/>
          <w:szCs w:val="22"/>
        </w:rPr>
      </w:pPr>
      <w:r w:rsidRPr="00426530">
        <w:rPr>
          <w:rFonts w:ascii="Arial Narrow" w:hAnsi="Arial Narrow"/>
          <w:sz w:val="22"/>
          <w:szCs w:val="22"/>
          <w:lang w:val="es-MX"/>
        </w:rPr>
        <w:t xml:space="preserve">Que </w:t>
      </w:r>
      <w:r w:rsidRPr="00426530">
        <w:rPr>
          <w:rFonts w:ascii="Arial Narrow" w:hAnsi="Arial Narrow"/>
          <w:iCs/>
          <w:sz w:val="22"/>
          <w:szCs w:val="22"/>
        </w:rPr>
        <w:t xml:space="preserve">por tratarse de un acto administrativo general considerado como </w:t>
      </w:r>
      <w:bookmarkStart w:id="1" w:name="_Hlk79587242"/>
      <w:r w:rsidRPr="00426530">
        <w:rPr>
          <w:rFonts w:ascii="Arial Narrow" w:hAnsi="Arial Narrow"/>
          <w:iCs/>
          <w:sz w:val="22"/>
          <w:szCs w:val="22"/>
        </w:rPr>
        <w:t xml:space="preserve">proyecto específico de regulación </w:t>
      </w:r>
      <w:bookmarkEnd w:id="1"/>
      <w:r w:rsidRPr="00426530">
        <w:rPr>
          <w:rFonts w:ascii="Arial Narrow" w:hAnsi="Arial Narrow"/>
          <w:iCs/>
          <w:sz w:val="22"/>
          <w:szCs w:val="22"/>
        </w:rPr>
        <w:t xml:space="preserve">y en cumplimiento </w:t>
      </w:r>
      <w:r w:rsidR="00E61CFC">
        <w:rPr>
          <w:rFonts w:ascii="Arial Narrow" w:hAnsi="Arial Narrow"/>
          <w:iCs/>
          <w:sz w:val="22"/>
          <w:szCs w:val="22"/>
        </w:rPr>
        <w:t>de</w:t>
      </w:r>
      <w:r w:rsidRPr="00426530">
        <w:rPr>
          <w:rFonts w:ascii="Arial Narrow" w:hAnsi="Arial Narrow"/>
          <w:iCs/>
          <w:sz w:val="22"/>
          <w:szCs w:val="22"/>
        </w:rPr>
        <w:t xml:space="preserve"> las disposiciones contenidas en el Decreto 1081 de 2015, modificado por el Decreto 270 de 2017, en consonancia con lo dispuesto en el artículo 8 numeral 8 de la Ley 1437 de 2011 y con el propósito de fortalecer los principios de transparencia, pub</w:t>
      </w:r>
      <w:r w:rsidRPr="008F656A">
        <w:rPr>
          <w:rFonts w:ascii="Arial Narrow" w:hAnsi="Arial Narrow"/>
          <w:iCs/>
          <w:sz w:val="22"/>
          <w:szCs w:val="22"/>
        </w:rPr>
        <w:t>licidad y participación ciudadana, el proyecto de acto administrativo fue publicado en la página web de la Agencia para la Reincorporación y la Normalización, por el término de cinco</w:t>
      </w:r>
      <w:r w:rsidR="00031A5F">
        <w:rPr>
          <w:rFonts w:ascii="Arial Narrow" w:hAnsi="Arial Narrow"/>
          <w:iCs/>
          <w:sz w:val="22"/>
          <w:szCs w:val="22"/>
        </w:rPr>
        <w:t xml:space="preserve"> </w:t>
      </w:r>
      <w:r w:rsidRPr="008F656A">
        <w:rPr>
          <w:rFonts w:ascii="Arial Narrow" w:hAnsi="Arial Narrow"/>
          <w:iCs/>
          <w:sz w:val="22"/>
          <w:szCs w:val="22"/>
        </w:rPr>
        <w:t xml:space="preserve">(5) días hábiles, entre el </w:t>
      </w:r>
      <w:r w:rsidR="00031A5F" w:rsidRPr="001D4D0D">
        <w:rPr>
          <w:rFonts w:ascii="Arial Narrow" w:hAnsi="Arial Narrow"/>
          <w:iCs/>
          <w:sz w:val="22"/>
          <w:szCs w:val="22"/>
          <w:highlight w:val="yellow"/>
        </w:rPr>
        <w:t>***</w:t>
      </w:r>
      <w:r w:rsidRPr="001D4D0D">
        <w:rPr>
          <w:rFonts w:ascii="Arial Narrow" w:hAnsi="Arial Narrow"/>
          <w:iCs/>
          <w:sz w:val="22"/>
          <w:szCs w:val="22"/>
          <w:highlight w:val="yellow"/>
        </w:rPr>
        <w:t>y el</w:t>
      </w:r>
      <w:r w:rsidR="00031A5F" w:rsidRPr="001D4D0D">
        <w:rPr>
          <w:rFonts w:ascii="Arial Narrow" w:hAnsi="Arial Narrow"/>
          <w:iCs/>
          <w:sz w:val="22"/>
          <w:szCs w:val="22"/>
          <w:highlight w:val="yellow"/>
        </w:rPr>
        <w:t>***</w:t>
      </w:r>
      <w:r w:rsidRPr="008F656A">
        <w:rPr>
          <w:rFonts w:ascii="Arial Narrow" w:hAnsi="Arial Narrow"/>
          <w:iCs/>
          <w:sz w:val="22"/>
          <w:szCs w:val="22"/>
        </w:rPr>
        <w:t xml:space="preserve">, para </w:t>
      </w:r>
      <w:bookmarkStart w:id="2" w:name="_Hlk79587284"/>
      <w:r w:rsidRPr="008F656A">
        <w:rPr>
          <w:rFonts w:ascii="Arial Narrow" w:hAnsi="Arial Narrow"/>
          <w:iCs/>
          <w:sz w:val="22"/>
          <w:szCs w:val="22"/>
        </w:rPr>
        <w:t>conocimiento de la ciudadanía, con el fin de recibir sugerencias, propuestas y opiniones.</w:t>
      </w:r>
    </w:p>
    <w:p w14:paraId="42F2A1FF" w14:textId="77777777" w:rsidR="00B342EB" w:rsidRPr="008F656A" w:rsidRDefault="00B342EB" w:rsidP="00B342EB">
      <w:pPr>
        <w:jc w:val="both"/>
        <w:rPr>
          <w:rFonts w:ascii="Arial Narrow" w:hAnsi="Arial Narrow"/>
          <w:iCs/>
          <w:sz w:val="22"/>
          <w:szCs w:val="22"/>
        </w:rPr>
      </w:pPr>
    </w:p>
    <w:bookmarkEnd w:id="2"/>
    <w:p w14:paraId="713D9CC2" w14:textId="05D10099" w:rsidR="00B342EB" w:rsidRPr="00426530" w:rsidRDefault="00B342EB" w:rsidP="00B342EB">
      <w:pPr>
        <w:jc w:val="both"/>
        <w:rPr>
          <w:rFonts w:ascii="Arial Narrow" w:hAnsi="Arial Narrow"/>
          <w:iCs/>
          <w:sz w:val="22"/>
          <w:szCs w:val="22"/>
        </w:rPr>
      </w:pPr>
      <w:r w:rsidRPr="008F656A">
        <w:rPr>
          <w:rFonts w:ascii="Arial Narrow" w:hAnsi="Arial Narrow"/>
          <w:iCs/>
          <w:sz w:val="22"/>
          <w:szCs w:val="22"/>
        </w:rPr>
        <w:t xml:space="preserve">Que, cumplido el término de publicación, </w:t>
      </w:r>
      <w:r w:rsidR="00031A5F" w:rsidRPr="001D4D0D">
        <w:rPr>
          <w:rFonts w:ascii="Arial Narrow" w:hAnsi="Arial Narrow"/>
          <w:iCs/>
          <w:sz w:val="22"/>
          <w:szCs w:val="22"/>
          <w:highlight w:val="yellow"/>
        </w:rPr>
        <w:t>(</w:t>
      </w:r>
      <w:r w:rsidRPr="001D4D0D">
        <w:rPr>
          <w:rFonts w:ascii="Arial Narrow" w:hAnsi="Arial Narrow"/>
          <w:iCs/>
          <w:sz w:val="22"/>
          <w:szCs w:val="22"/>
          <w:highlight w:val="yellow"/>
        </w:rPr>
        <w:t>si</w:t>
      </w:r>
      <w:r w:rsidR="00031A5F" w:rsidRPr="001D4D0D">
        <w:rPr>
          <w:rFonts w:ascii="Arial Narrow" w:hAnsi="Arial Narrow"/>
          <w:iCs/>
          <w:sz w:val="22"/>
          <w:szCs w:val="22"/>
          <w:highlight w:val="yellow"/>
        </w:rPr>
        <w:t>/no)</w:t>
      </w:r>
      <w:r w:rsidRPr="008F656A">
        <w:rPr>
          <w:rFonts w:ascii="Arial Narrow" w:hAnsi="Arial Narrow"/>
          <w:iCs/>
          <w:sz w:val="22"/>
          <w:szCs w:val="22"/>
        </w:rPr>
        <w:t xml:space="preserve"> se recibieron observaciones o comentarios, los cuales fueron revisados con el fin de realizar los ajustes a que hubo lugar y, asimismo, se dio respuesta a la </w:t>
      </w:r>
      <w:r w:rsidR="002B0C55" w:rsidRPr="008F656A">
        <w:rPr>
          <w:rFonts w:ascii="Arial Narrow" w:hAnsi="Arial Narrow"/>
          <w:iCs/>
          <w:sz w:val="22"/>
          <w:szCs w:val="22"/>
        </w:rPr>
        <w:t xml:space="preserve">ciudadanía </w:t>
      </w:r>
      <w:r w:rsidR="002B0C55">
        <w:rPr>
          <w:rFonts w:ascii="Arial Narrow" w:hAnsi="Arial Narrow"/>
          <w:iCs/>
          <w:sz w:val="22"/>
          <w:szCs w:val="22"/>
        </w:rPr>
        <w:t>mediante</w:t>
      </w:r>
      <w:r>
        <w:rPr>
          <w:rFonts w:ascii="Arial Narrow" w:hAnsi="Arial Narrow"/>
          <w:iCs/>
          <w:sz w:val="22"/>
          <w:szCs w:val="22"/>
        </w:rPr>
        <w:t xml:space="preserve"> </w:t>
      </w:r>
      <w:r w:rsidRPr="00B342EB">
        <w:rPr>
          <w:rFonts w:ascii="Arial Narrow" w:hAnsi="Arial Narrow"/>
          <w:iCs/>
          <w:sz w:val="22"/>
          <w:szCs w:val="22"/>
          <w:highlight w:val="yellow"/>
        </w:rPr>
        <w:t xml:space="preserve">OFI </w:t>
      </w:r>
      <w:proofErr w:type="spellStart"/>
      <w:r w:rsidRPr="00B342EB">
        <w:rPr>
          <w:rFonts w:ascii="Arial Narrow" w:hAnsi="Arial Narrow"/>
          <w:iCs/>
          <w:sz w:val="22"/>
          <w:szCs w:val="22"/>
          <w:highlight w:val="yellow"/>
        </w:rPr>
        <w:t>xxxxx</w:t>
      </w:r>
      <w:proofErr w:type="spellEnd"/>
      <w:r w:rsidRPr="00B342EB">
        <w:rPr>
          <w:rFonts w:ascii="Arial Narrow" w:hAnsi="Arial Narrow"/>
          <w:iCs/>
          <w:sz w:val="22"/>
          <w:szCs w:val="22"/>
          <w:highlight w:val="yellow"/>
        </w:rPr>
        <w:t>,</w:t>
      </w:r>
      <w:r>
        <w:rPr>
          <w:rFonts w:ascii="Arial Narrow" w:hAnsi="Arial Narrow"/>
          <w:iCs/>
          <w:sz w:val="22"/>
          <w:szCs w:val="22"/>
        </w:rPr>
        <w:t xml:space="preserve"> </w:t>
      </w:r>
      <w:r w:rsidRPr="008F656A">
        <w:rPr>
          <w:rFonts w:ascii="Arial Narrow" w:hAnsi="Arial Narrow"/>
          <w:iCs/>
          <w:sz w:val="22"/>
          <w:szCs w:val="22"/>
        </w:rPr>
        <w:t>conforme al Decreto 1081 de 2015 y la Ley 1437 de 2011.</w:t>
      </w:r>
      <w:r w:rsidRPr="00426530">
        <w:rPr>
          <w:rFonts w:ascii="Arial Narrow" w:hAnsi="Arial Narrow"/>
          <w:iCs/>
          <w:sz w:val="22"/>
          <w:szCs w:val="22"/>
        </w:rPr>
        <w:t xml:space="preserve"> </w:t>
      </w:r>
    </w:p>
    <w:p w14:paraId="0ACDDFA0" w14:textId="77777777" w:rsidR="00B342EB" w:rsidRDefault="00B342EB" w:rsidP="0009302A">
      <w:pPr>
        <w:jc w:val="both"/>
        <w:rPr>
          <w:rFonts w:ascii="Arial Narrow" w:hAnsi="Arial Narrow" w:cs="Arial"/>
          <w:sz w:val="22"/>
          <w:szCs w:val="22"/>
        </w:rPr>
      </w:pPr>
    </w:p>
    <w:p w14:paraId="1635DBBC" w14:textId="428C7052" w:rsidR="00CF32C3" w:rsidRDefault="00CF32C3" w:rsidP="0009302A">
      <w:pPr>
        <w:jc w:val="both"/>
        <w:rPr>
          <w:rFonts w:ascii="Arial Narrow" w:hAnsi="Arial Narrow" w:cs="Arial"/>
          <w:sz w:val="22"/>
          <w:szCs w:val="22"/>
        </w:rPr>
      </w:pPr>
      <w:r w:rsidRPr="0009302A">
        <w:rPr>
          <w:rFonts w:ascii="Arial Narrow" w:hAnsi="Arial Narrow" w:cs="Arial"/>
          <w:sz w:val="22"/>
          <w:szCs w:val="22"/>
        </w:rPr>
        <w:t xml:space="preserve">En mérito de lo expuesto, </w:t>
      </w:r>
    </w:p>
    <w:p w14:paraId="099930ED" w14:textId="77777777" w:rsidR="00664839" w:rsidRPr="0009302A" w:rsidRDefault="00664839" w:rsidP="0009302A">
      <w:pPr>
        <w:jc w:val="both"/>
        <w:rPr>
          <w:rFonts w:ascii="Arial Narrow" w:hAnsi="Arial Narrow" w:cs="Arial"/>
          <w:sz w:val="22"/>
          <w:szCs w:val="22"/>
        </w:rPr>
      </w:pPr>
    </w:p>
    <w:p w14:paraId="2B3B8148" w14:textId="1D487956" w:rsidR="00CF32C3" w:rsidRPr="0009302A" w:rsidRDefault="00CF32C3" w:rsidP="0009302A">
      <w:pPr>
        <w:jc w:val="center"/>
        <w:rPr>
          <w:rFonts w:ascii="Arial Narrow" w:hAnsi="Arial Narrow" w:cs="Arial"/>
          <w:b/>
          <w:bCs/>
          <w:sz w:val="22"/>
          <w:szCs w:val="22"/>
        </w:rPr>
      </w:pPr>
      <w:r w:rsidRPr="0009302A">
        <w:rPr>
          <w:rFonts w:ascii="Arial Narrow" w:hAnsi="Arial Narrow" w:cs="Arial"/>
          <w:b/>
          <w:bCs/>
          <w:sz w:val="22"/>
          <w:szCs w:val="22"/>
        </w:rPr>
        <w:t>RESUELVE</w:t>
      </w:r>
      <w:r w:rsidR="006024D8" w:rsidRPr="0009302A">
        <w:rPr>
          <w:rFonts w:ascii="Arial Narrow" w:hAnsi="Arial Narrow" w:cs="Arial"/>
          <w:b/>
          <w:bCs/>
          <w:sz w:val="22"/>
          <w:szCs w:val="22"/>
        </w:rPr>
        <w:t>:</w:t>
      </w:r>
    </w:p>
    <w:p w14:paraId="24DB73A9" w14:textId="77777777" w:rsidR="00CF32C3" w:rsidRPr="0009302A" w:rsidRDefault="00CF32C3" w:rsidP="0009302A">
      <w:pPr>
        <w:jc w:val="center"/>
        <w:rPr>
          <w:rFonts w:ascii="Arial Narrow" w:hAnsi="Arial Narrow" w:cs="Arial"/>
          <w:sz w:val="22"/>
          <w:szCs w:val="22"/>
        </w:rPr>
      </w:pPr>
    </w:p>
    <w:p w14:paraId="605FD387" w14:textId="3D531739" w:rsidR="002144B2" w:rsidRDefault="002144B2" w:rsidP="00025C84">
      <w:pPr>
        <w:jc w:val="both"/>
        <w:rPr>
          <w:rFonts w:ascii="Arial Narrow" w:hAnsi="Arial Narrow"/>
          <w:b/>
          <w:bCs/>
          <w:sz w:val="22"/>
          <w:szCs w:val="22"/>
          <w:lang w:val="es-CO"/>
        </w:rPr>
      </w:pPr>
      <w:r w:rsidRPr="002144B2">
        <w:rPr>
          <w:rFonts w:ascii="Arial Narrow" w:hAnsi="Arial Narrow"/>
          <w:b/>
          <w:bCs/>
          <w:sz w:val="22"/>
          <w:szCs w:val="22"/>
          <w:lang w:val="es-CO"/>
        </w:rPr>
        <w:t xml:space="preserve">ARTÍCULO 1. </w:t>
      </w:r>
      <w:r w:rsidRPr="00025C84">
        <w:rPr>
          <w:rFonts w:ascii="Arial Narrow" w:hAnsi="Arial Narrow"/>
          <w:sz w:val="22"/>
          <w:szCs w:val="22"/>
          <w:lang w:val="es-CO"/>
        </w:rPr>
        <w:t>Modificar el artículo 7 de la Resolución 1797 de 2023,</w:t>
      </w:r>
      <w:r w:rsidR="00AA0004">
        <w:rPr>
          <w:rFonts w:ascii="Arial Narrow" w:hAnsi="Arial Narrow"/>
          <w:sz w:val="22"/>
          <w:szCs w:val="22"/>
          <w:lang w:val="es-CO"/>
        </w:rPr>
        <w:t xml:space="preserve"> modificado por el artículo 1 de la Resolución 0146 de 2025,</w:t>
      </w:r>
      <w:r w:rsidRPr="00025C84">
        <w:rPr>
          <w:rFonts w:ascii="Arial Narrow" w:hAnsi="Arial Narrow"/>
          <w:sz w:val="22"/>
          <w:szCs w:val="22"/>
          <w:lang w:val="es-CO"/>
        </w:rPr>
        <w:t xml:space="preserve"> en el sentido de </w:t>
      </w:r>
      <w:r w:rsidR="00E61CFC">
        <w:rPr>
          <w:rFonts w:ascii="Arial Narrow" w:hAnsi="Arial Narrow"/>
          <w:sz w:val="22"/>
          <w:szCs w:val="22"/>
          <w:lang w:val="es-CO"/>
        </w:rPr>
        <w:t>modificar el requisito establecido en el numeral 4</w:t>
      </w:r>
      <w:r w:rsidRPr="00025C84">
        <w:rPr>
          <w:rFonts w:ascii="Arial Narrow" w:hAnsi="Arial Narrow"/>
          <w:sz w:val="22"/>
          <w:szCs w:val="22"/>
          <w:lang w:val="es-CO"/>
        </w:rPr>
        <w:t>, el cual quedará así:</w:t>
      </w:r>
      <w:r w:rsidRPr="002144B2">
        <w:rPr>
          <w:rFonts w:ascii="Arial Narrow" w:hAnsi="Arial Narrow"/>
          <w:b/>
          <w:bCs/>
          <w:sz w:val="22"/>
          <w:szCs w:val="22"/>
          <w:lang w:val="es-CO"/>
        </w:rPr>
        <w:t xml:space="preserve"> </w:t>
      </w:r>
    </w:p>
    <w:p w14:paraId="4284A2A8" w14:textId="77777777" w:rsidR="00C052DA" w:rsidRPr="002144B2" w:rsidRDefault="00C052DA" w:rsidP="002144B2">
      <w:pPr>
        <w:rPr>
          <w:rFonts w:ascii="Arial Narrow" w:hAnsi="Arial Narrow"/>
          <w:b/>
          <w:bCs/>
          <w:sz w:val="22"/>
          <w:szCs w:val="22"/>
          <w:lang w:val="es-CO"/>
        </w:rPr>
      </w:pPr>
    </w:p>
    <w:p w14:paraId="5742D3C8" w14:textId="77777777" w:rsidR="002144B2" w:rsidRDefault="002144B2" w:rsidP="00025C84">
      <w:pPr>
        <w:ind w:left="283"/>
        <w:jc w:val="both"/>
        <w:rPr>
          <w:rFonts w:ascii="Arial Narrow" w:hAnsi="Arial Narrow"/>
          <w:i/>
          <w:iCs/>
          <w:sz w:val="22"/>
          <w:szCs w:val="22"/>
          <w:lang w:val="es-CO"/>
        </w:rPr>
      </w:pPr>
      <w:r w:rsidRPr="002144B2">
        <w:rPr>
          <w:rFonts w:ascii="Arial Narrow" w:hAnsi="Arial Narrow"/>
          <w:i/>
          <w:iCs/>
          <w:sz w:val="22"/>
          <w:szCs w:val="22"/>
          <w:lang w:val="es-CO"/>
        </w:rPr>
        <w:t xml:space="preserve">“ARTÍCULO 7. Requisitos de acceso </w:t>
      </w:r>
      <w:bookmarkStart w:id="3" w:name="_Hlk221715600"/>
      <w:r w:rsidRPr="002144B2">
        <w:rPr>
          <w:rFonts w:ascii="Arial Narrow" w:hAnsi="Arial Narrow"/>
          <w:i/>
          <w:iCs/>
          <w:sz w:val="22"/>
          <w:szCs w:val="22"/>
          <w:lang w:val="es-CO"/>
        </w:rPr>
        <w:t>al suministro económico de alimentación</w:t>
      </w:r>
      <w:bookmarkEnd w:id="3"/>
      <w:r w:rsidRPr="002144B2">
        <w:rPr>
          <w:rFonts w:ascii="Arial Narrow" w:hAnsi="Arial Narrow"/>
          <w:i/>
          <w:iCs/>
          <w:sz w:val="22"/>
          <w:szCs w:val="22"/>
          <w:lang w:val="es-CO"/>
        </w:rPr>
        <w:t xml:space="preserve">. La persona en Proceso de Reincorporación podrá acceder al Suministro Económico de Alimentación en la medida que se cumplan las siguientes condiciones: </w:t>
      </w:r>
    </w:p>
    <w:p w14:paraId="617840A5" w14:textId="77777777" w:rsidR="00911178" w:rsidRPr="002144B2" w:rsidRDefault="00911178" w:rsidP="00025C84">
      <w:pPr>
        <w:ind w:left="283"/>
        <w:jc w:val="both"/>
        <w:rPr>
          <w:rFonts w:ascii="Arial Narrow" w:hAnsi="Arial Narrow"/>
          <w:sz w:val="22"/>
          <w:szCs w:val="22"/>
          <w:lang w:val="es-CO"/>
        </w:rPr>
      </w:pPr>
    </w:p>
    <w:p w14:paraId="39C39585" w14:textId="00CD489C" w:rsidR="002144B2" w:rsidRPr="002144B2" w:rsidRDefault="002144B2" w:rsidP="00025C84">
      <w:pPr>
        <w:ind w:left="283"/>
        <w:jc w:val="both"/>
        <w:rPr>
          <w:rFonts w:ascii="Arial Narrow" w:hAnsi="Arial Narrow"/>
          <w:sz w:val="22"/>
          <w:szCs w:val="22"/>
          <w:lang w:val="es-CO"/>
        </w:rPr>
      </w:pPr>
      <w:r w:rsidRPr="002144B2">
        <w:rPr>
          <w:rFonts w:ascii="Arial Narrow" w:hAnsi="Arial Narrow"/>
          <w:i/>
          <w:iCs/>
          <w:sz w:val="22"/>
          <w:szCs w:val="22"/>
          <w:lang w:val="es-CO"/>
        </w:rPr>
        <w:t xml:space="preserve">1-Haber sido acreditada/o por la Oficina del </w:t>
      </w:r>
      <w:proofErr w:type="gramStart"/>
      <w:r w:rsidRPr="002144B2">
        <w:rPr>
          <w:rFonts w:ascii="Arial Narrow" w:hAnsi="Arial Narrow"/>
          <w:i/>
          <w:iCs/>
          <w:sz w:val="22"/>
          <w:szCs w:val="22"/>
          <w:lang w:val="es-CO"/>
        </w:rPr>
        <w:t>Consejero</w:t>
      </w:r>
      <w:proofErr w:type="gramEnd"/>
      <w:r w:rsidRPr="002144B2">
        <w:rPr>
          <w:rFonts w:ascii="Arial Narrow" w:hAnsi="Arial Narrow"/>
          <w:i/>
          <w:iCs/>
          <w:sz w:val="22"/>
          <w:szCs w:val="22"/>
          <w:lang w:val="es-CO"/>
        </w:rPr>
        <w:t xml:space="preserve"> Comisionado de Paz en el marco del </w:t>
      </w:r>
      <w:r w:rsidR="00911178" w:rsidRPr="00911178">
        <w:rPr>
          <w:rFonts w:ascii="Arial Narrow" w:hAnsi="Arial Narrow"/>
          <w:i/>
          <w:iCs/>
          <w:sz w:val="22"/>
          <w:szCs w:val="22"/>
          <w:lang w:val="es-CO"/>
        </w:rPr>
        <w:t>Acuerdo Final</w:t>
      </w:r>
      <w:r w:rsidRPr="002144B2">
        <w:rPr>
          <w:rFonts w:ascii="Arial Narrow" w:hAnsi="Arial Narrow"/>
          <w:i/>
          <w:iCs/>
          <w:sz w:val="22"/>
          <w:szCs w:val="22"/>
          <w:lang w:val="es-CO"/>
        </w:rPr>
        <w:t xml:space="preserve"> para la Terminación del Conflicto y la Construcción de una Paz Estable y Duradera.</w:t>
      </w:r>
    </w:p>
    <w:p w14:paraId="3343B5E7" w14:textId="39393274" w:rsidR="006A2E15" w:rsidRPr="006A2E15" w:rsidRDefault="002144B2" w:rsidP="00025C84">
      <w:pPr>
        <w:ind w:left="283"/>
        <w:jc w:val="both"/>
        <w:rPr>
          <w:rFonts w:ascii="Arial Narrow" w:hAnsi="Arial Narrow"/>
          <w:i/>
          <w:iCs/>
          <w:sz w:val="22"/>
          <w:szCs w:val="22"/>
          <w:lang w:val="es-CO"/>
        </w:rPr>
      </w:pPr>
      <w:r w:rsidRPr="002144B2">
        <w:rPr>
          <w:rFonts w:ascii="Arial Narrow" w:hAnsi="Arial Narrow"/>
          <w:i/>
          <w:iCs/>
          <w:sz w:val="22"/>
          <w:szCs w:val="22"/>
          <w:lang w:val="es-CO"/>
        </w:rPr>
        <w:t>2-Encontrarse activa/o en el Proceso de Reincorporación.</w:t>
      </w:r>
    </w:p>
    <w:p w14:paraId="47A61C36" w14:textId="08E0E3B2" w:rsidR="006A2E15" w:rsidRDefault="006A2E15" w:rsidP="00AA0004">
      <w:pPr>
        <w:ind w:left="283"/>
        <w:jc w:val="both"/>
        <w:rPr>
          <w:rFonts w:ascii="Arial Narrow" w:hAnsi="Arial Narrow"/>
          <w:i/>
          <w:iCs/>
          <w:sz w:val="22"/>
          <w:szCs w:val="22"/>
          <w:lang w:val="es-CO"/>
        </w:rPr>
      </w:pPr>
      <w:r w:rsidRPr="006A2E15">
        <w:rPr>
          <w:rFonts w:ascii="Arial Narrow" w:hAnsi="Arial Narrow"/>
          <w:i/>
          <w:iCs/>
          <w:sz w:val="22"/>
          <w:szCs w:val="22"/>
          <w:lang w:val="es-CO"/>
        </w:rPr>
        <w:t xml:space="preserve">3- No haber incurrido en actos de maltrato o violencia intrafamiliar, para lo cual la ARN se valdrá de cualquier medio para verificar esta situación. </w:t>
      </w:r>
      <w:r w:rsidR="00AA0004">
        <w:rPr>
          <w:rFonts w:ascii="Arial Narrow" w:hAnsi="Arial Narrow"/>
          <w:i/>
          <w:iCs/>
          <w:sz w:val="22"/>
          <w:szCs w:val="22"/>
          <w:lang w:val="es-CO"/>
        </w:rPr>
        <w:t xml:space="preserve">(…) </w:t>
      </w:r>
    </w:p>
    <w:p w14:paraId="4A950D6C" w14:textId="0B5DB8B3" w:rsidR="006A2E15" w:rsidRDefault="006A2E15" w:rsidP="00AA0004">
      <w:pPr>
        <w:ind w:left="283"/>
        <w:jc w:val="both"/>
        <w:rPr>
          <w:rFonts w:ascii="Arial Narrow" w:hAnsi="Arial Narrow"/>
          <w:i/>
          <w:iCs/>
          <w:sz w:val="22"/>
          <w:szCs w:val="22"/>
          <w:lang w:val="es-CO"/>
        </w:rPr>
      </w:pPr>
      <w:r w:rsidRPr="006A2E15">
        <w:rPr>
          <w:rFonts w:ascii="Arial Narrow" w:hAnsi="Arial Narrow"/>
          <w:i/>
          <w:iCs/>
          <w:sz w:val="22"/>
          <w:szCs w:val="22"/>
          <w:lang w:val="es-CO"/>
        </w:rPr>
        <w:t>4- No tene</w:t>
      </w:r>
      <w:r w:rsidR="00B32E00">
        <w:rPr>
          <w:rFonts w:ascii="Arial Narrow" w:hAnsi="Arial Narrow"/>
          <w:i/>
          <w:iCs/>
          <w:sz w:val="22"/>
          <w:szCs w:val="22"/>
          <w:lang w:val="es-CO"/>
        </w:rPr>
        <w:t>r</w:t>
      </w:r>
      <w:r w:rsidR="00B32E00" w:rsidRPr="00B32E00">
        <w:rPr>
          <w:rFonts w:ascii="Arial Narrow" w:hAnsi="Arial Narrow"/>
          <w:i/>
          <w:iCs/>
          <w:sz w:val="22"/>
          <w:szCs w:val="22"/>
          <w:lang w:val="es-CO"/>
        </w:rPr>
        <w:t xml:space="preserve"> un vínculo contractual, laboral, legal y reglamentario, o un contrato de cualquier naturaleza que les genere ningún tipo de ingresos</w:t>
      </w:r>
      <w:r w:rsidR="00B32E00">
        <w:rPr>
          <w:rFonts w:ascii="Arial Narrow" w:hAnsi="Arial Narrow"/>
          <w:i/>
          <w:iCs/>
          <w:sz w:val="22"/>
          <w:szCs w:val="22"/>
          <w:lang w:val="es-CO"/>
        </w:rPr>
        <w:t>.</w:t>
      </w:r>
      <w:r w:rsidRPr="006A2E15">
        <w:rPr>
          <w:rFonts w:ascii="Arial Narrow" w:hAnsi="Arial Narrow"/>
          <w:i/>
          <w:iCs/>
          <w:sz w:val="22"/>
          <w:szCs w:val="22"/>
          <w:lang w:val="es-CO"/>
        </w:rPr>
        <w:t xml:space="preserve"> </w:t>
      </w:r>
    </w:p>
    <w:p w14:paraId="5330BEDA" w14:textId="2675B8F7" w:rsidR="006A2E15" w:rsidRDefault="006A2E15" w:rsidP="00025C84">
      <w:pPr>
        <w:ind w:left="283"/>
        <w:jc w:val="both"/>
        <w:rPr>
          <w:rFonts w:ascii="Arial Narrow" w:hAnsi="Arial Narrow"/>
          <w:i/>
          <w:iCs/>
          <w:sz w:val="22"/>
          <w:szCs w:val="22"/>
          <w:lang w:val="es-CO"/>
        </w:rPr>
      </w:pPr>
      <w:r w:rsidRPr="006A2E15">
        <w:rPr>
          <w:rFonts w:ascii="Arial Narrow" w:hAnsi="Arial Narrow"/>
          <w:i/>
          <w:iCs/>
          <w:sz w:val="22"/>
          <w:szCs w:val="22"/>
          <w:lang w:val="es-CO"/>
        </w:rPr>
        <w:t xml:space="preserve">5- Suministrar una cuenta bancaria activa para efectuar el desembolso. </w:t>
      </w:r>
    </w:p>
    <w:p w14:paraId="30761B4D" w14:textId="0D45A40A" w:rsidR="00911178" w:rsidRPr="006A2E15" w:rsidRDefault="00911178" w:rsidP="00025C84">
      <w:pPr>
        <w:ind w:left="283"/>
        <w:jc w:val="both"/>
        <w:rPr>
          <w:rFonts w:ascii="Arial Narrow" w:hAnsi="Arial Narrow"/>
          <w:sz w:val="22"/>
          <w:szCs w:val="22"/>
          <w:lang w:val="es-CO"/>
        </w:rPr>
      </w:pPr>
    </w:p>
    <w:p w14:paraId="10168A23" w14:textId="09F88802" w:rsidR="006A2E15" w:rsidRDefault="006A2E15" w:rsidP="00025C84">
      <w:pPr>
        <w:ind w:left="283"/>
        <w:jc w:val="both"/>
        <w:rPr>
          <w:rFonts w:ascii="Arial Narrow" w:hAnsi="Arial Narrow"/>
          <w:i/>
          <w:iCs/>
          <w:sz w:val="22"/>
          <w:szCs w:val="22"/>
          <w:lang w:val="es-CO"/>
        </w:rPr>
      </w:pPr>
      <w:r w:rsidRPr="00025C84">
        <w:rPr>
          <w:rFonts w:ascii="Arial Narrow" w:hAnsi="Arial Narrow"/>
          <w:b/>
          <w:bCs/>
          <w:i/>
          <w:iCs/>
          <w:sz w:val="22"/>
          <w:szCs w:val="22"/>
          <w:lang w:val="es-CO"/>
        </w:rPr>
        <w:t>Parágrafo 1.</w:t>
      </w:r>
      <w:r w:rsidRPr="006A2E15">
        <w:rPr>
          <w:rFonts w:ascii="Arial Narrow" w:hAnsi="Arial Narrow"/>
          <w:i/>
          <w:iCs/>
          <w:sz w:val="22"/>
          <w:szCs w:val="22"/>
          <w:lang w:val="es-CO"/>
        </w:rPr>
        <w:t xml:space="preserve"> La aprobación del desembolso del Suministro Económico de Alimentación dispuesto en la presente resolución estará sujeto a los procedimientos administrativos establecidos por la Agencia para la Reincorporación y la Normalización (ARN)”. </w:t>
      </w:r>
    </w:p>
    <w:p w14:paraId="1BE59EF7" w14:textId="1E866C8D" w:rsidR="00911178" w:rsidRPr="006A2E15" w:rsidRDefault="00911178" w:rsidP="00025C84">
      <w:pPr>
        <w:ind w:left="283"/>
        <w:jc w:val="both"/>
        <w:rPr>
          <w:rFonts w:ascii="Arial Narrow" w:hAnsi="Arial Narrow"/>
          <w:sz w:val="22"/>
          <w:szCs w:val="22"/>
          <w:lang w:val="es-CO"/>
        </w:rPr>
      </w:pPr>
    </w:p>
    <w:p w14:paraId="4BBE2B7E" w14:textId="397CDC65" w:rsidR="006A2E15" w:rsidRPr="00911178" w:rsidRDefault="006A2E15" w:rsidP="00025C84">
      <w:pPr>
        <w:ind w:left="283"/>
        <w:jc w:val="both"/>
        <w:rPr>
          <w:rFonts w:ascii="Arial Narrow" w:hAnsi="Arial Narrow"/>
          <w:i/>
          <w:iCs/>
          <w:sz w:val="22"/>
          <w:szCs w:val="22"/>
          <w:lang w:val="es-CO"/>
        </w:rPr>
      </w:pPr>
      <w:r w:rsidRPr="00025C84">
        <w:rPr>
          <w:rFonts w:ascii="Arial Narrow" w:hAnsi="Arial Narrow"/>
          <w:b/>
          <w:bCs/>
          <w:i/>
          <w:iCs/>
          <w:sz w:val="22"/>
          <w:szCs w:val="22"/>
          <w:lang w:val="es-CO"/>
        </w:rPr>
        <w:t>Parágrafo 2.</w:t>
      </w:r>
      <w:r w:rsidRPr="006A2E15">
        <w:rPr>
          <w:rFonts w:ascii="Arial Narrow" w:hAnsi="Arial Narrow"/>
          <w:i/>
          <w:iCs/>
          <w:sz w:val="22"/>
          <w:szCs w:val="22"/>
          <w:lang w:val="es-CO"/>
        </w:rPr>
        <w:t xml:space="preserve"> En el evento en que se declare la limitante temporal a la persona en Proceso de Reincorporación beneficiaria del Suministro Económico de Alimentación por la causal establecida en el numeral 1 del artículo 55 de la Resolución 2319 de 2024 o la norma que la modifique o adicione, el desembolso de esta medida económica se realizará a la madre o al padre que tenga el cuidado de los hijos o hijas de la persona en proceso de reincorporación </w:t>
      </w:r>
      <w:r w:rsidRPr="006A2E15">
        <w:rPr>
          <w:rFonts w:ascii="Arial Narrow" w:hAnsi="Arial Narrow"/>
          <w:i/>
          <w:iCs/>
          <w:sz w:val="22"/>
          <w:szCs w:val="22"/>
          <w:lang w:val="es-CO"/>
        </w:rPr>
        <w:lastRenderedPageBreak/>
        <w:t>durante el tiempo que reste para completar los 36 meses del mismo, o hasta que se defina la situación jurídica de la persona</w:t>
      </w:r>
      <w:r w:rsidR="00AA0004">
        <w:rPr>
          <w:rFonts w:ascii="Arial Narrow" w:hAnsi="Arial Narrow"/>
          <w:i/>
          <w:iCs/>
          <w:sz w:val="22"/>
          <w:szCs w:val="22"/>
          <w:lang w:val="es-CO"/>
        </w:rPr>
        <w:t>(…)</w:t>
      </w:r>
      <w:r w:rsidRPr="006A2E15">
        <w:rPr>
          <w:rFonts w:ascii="Arial Narrow" w:hAnsi="Arial Narrow"/>
          <w:i/>
          <w:iCs/>
          <w:sz w:val="22"/>
          <w:szCs w:val="22"/>
          <w:lang w:val="es-CO"/>
        </w:rPr>
        <w:t xml:space="preserve">”. </w:t>
      </w:r>
    </w:p>
    <w:p w14:paraId="2D69659B" w14:textId="77777777" w:rsidR="006A2E15" w:rsidRPr="006A2E15" w:rsidRDefault="006A2E15" w:rsidP="006A2E15">
      <w:pPr>
        <w:rPr>
          <w:rFonts w:ascii="Arial Narrow" w:hAnsi="Arial Narrow"/>
          <w:b/>
          <w:bCs/>
          <w:sz w:val="22"/>
          <w:szCs w:val="22"/>
          <w:lang w:val="es-CO"/>
        </w:rPr>
      </w:pPr>
    </w:p>
    <w:p w14:paraId="07602024" w14:textId="77777777" w:rsidR="00025C84" w:rsidRDefault="00025C84" w:rsidP="006A2E15">
      <w:pPr>
        <w:rPr>
          <w:rFonts w:ascii="Arial Narrow" w:hAnsi="Arial Narrow"/>
          <w:b/>
          <w:bCs/>
          <w:sz w:val="22"/>
          <w:szCs w:val="22"/>
          <w:lang w:val="es-CO"/>
        </w:rPr>
      </w:pPr>
    </w:p>
    <w:p w14:paraId="628B0647" w14:textId="0DBDAD78" w:rsidR="006A2E15" w:rsidRPr="002144B2" w:rsidRDefault="006A2E15" w:rsidP="006A2E15">
      <w:pPr>
        <w:rPr>
          <w:rFonts w:ascii="Arial Narrow" w:hAnsi="Arial Narrow"/>
          <w:sz w:val="22"/>
          <w:szCs w:val="22"/>
          <w:lang w:val="es-CO"/>
        </w:rPr>
      </w:pPr>
      <w:r w:rsidRPr="006A2E15">
        <w:rPr>
          <w:rFonts w:ascii="Arial Narrow" w:hAnsi="Arial Narrow"/>
          <w:b/>
          <w:bCs/>
          <w:sz w:val="22"/>
          <w:szCs w:val="22"/>
          <w:lang w:val="es-CO"/>
        </w:rPr>
        <w:t xml:space="preserve">ARTÍCULO 2. VIGENCIA Y MODIFICACIONES. </w:t>
      </w:r>
      <w:r w:rsidRPr="001631B5">
        <w:rPr>
          <w:rFonts w:ascii="Arial Narrow" w:hAnsi="Arial Narrow"/>
          <w:sz w:val="22"/>
          <w:szCs w:val="22"/>
          <w:lang w:val="es-CO"/>
        </w:rPr>
        <w:t>La presente resolución rige a partir de la fecha de su publicación en el Diario Oficial y modifica el artículo 7 de la Resolución 1797</w:t>
      </w:r>
      <w:r w:rsidR="009A46C5">
        <w:rPr>
          <w:rFonts w:ascii="Arial Narrow" w:hAnsi="Arial Narrow"/>
          <w:sz w:val="22"/>
          <w:szCs w:val="22"/>
          <w:lang w:val="es-CO"/>
        </w:rPr>
        <w:t xml:space="preserve"> de 2023</w:t>
      </w:r>
      <w:r w:rsidR="00025C84">
        <w:rPr>
          <w:rFonts w:ascii="Arial Narrow" w:hAnsi="Arial Narrow"/>
          <w:sz w:val="22"/>
          <w:szCs w:val="22"/>
          <w:lang w:val="es-CO"/>
        </w:rPr>
        <w:t>,</w:t>
      </w:r>
      <w:r w:rsidR="00F74DA0">
        <w:rPr>
          <w:rFonts w:ascii="Arial Narrow" w:hAnsi="Arial Narrow"/>
          <w:sz w:val="22"/>
          <w:szCs w:val="22"/>
          <w:lang w:val="es-CO"/>
        </w:rPr>
        <w:t xml:space="preserve"> </w:t>
      </w:r>
      <w:r w:rsidR="00F74DA0" w:rsidRPr="00025C84">
        <w:rPr>
          <w:rFonts w:ascii="Arial Narrow" w:hAnsi="Arial Narrow"/>
          <w:sz w:val="22"/>
          <w:szCs w:val="22"/>
        </w:rPr>
        <w:t xml:space="preserve">modificado por </w:t>
      </w:r>
      <w:r w:rsidR="00F66872">
        <w:rPr>
          <w:rFonts w:ascii="Arial Narrow" w:hAnsi="Arial Narrow"/>
          <w:sz w:val="22"/>
          <w:szCs w:val="22"/>
        </w:rPr>
        <w:t xml:space="preserve">el artículo 1 de </w:t>
      </w:r>
      <w:r w:rsidR="00F74DA0" w:rsidRPr="00025C84">
        <w:rPr>
          <w:rFonts w:ascii="Arial Narrow" w:hAnsi="Arial Narrow"/>
          <w:sz w:val="22"/>
          <w:szCs w:val="22"/>
        </w:rPr>
        <w:t>la Resolución 146 de 2025</w:t>
      </w:r>
      <w:r w:rsidR="00F66872">
        <w:rPr>
          <w:rFonts w:ascii="Arial Narrow" w:hAnsi="Arial Narrow"/>
          <w:sz w:val="22"/>
          <w:szCs w:val="22"/>
        </w:rPr>
        <w:t>.</w:t>
      </w:r>
    </w:p>
    <w:p w14:paraId="405095E9" w14:textId="77777777" w:rsidR="006350FA" w:rsidRPr="001631B5" w:rsidRDefault="006350FA" w:rsidP="002144B2">
      <w:pPr>
        <w:rPr>
          <w:rFonts w:ascii="Arial Narrow" w:hAnsi="Arial Narrow"/>
          <w:sz w:val="22"/>
          <w:szCs w:val="22"/>
          <w:lang w:val="es-CO"/>
        </w:rPr>
      </w:pPr>
    </w:p>
    <w:p w14:paraId="0C41EC16" w14:textId="77777777" w:rsidR="000D74C3" w:rsidRPr="000D74C3" w:rsidRDefault="000D74C3" w:rsidP="000D74C3">
      <w:pPr>
        <w:jc w:val="both"/>
        <w:rPr>
          <w:rFonts w:ascii="Arial Narrow" w:hAnsi="Arial Narrow"/>
          <w:b/>
          <w:bCs/>
          <w:sz w:val="22"/>
          <w:szCs w:val="22"/>
          <w:lang w:val="es-CO"/>
        </w:rPr>
      </w:pPr>
    </w:p>
    <w:p w14:paraId="7510DA3E" w14:textId="77777777" w:rsidR="00025E6F" w:rsidRPr="00025E6F" w:rsidRDefault="00025E6F" w:rsidP="0009302A">
      <w:pPr>
        <w:jc w:val="both"/>
        <w:rPr>
          <w:rFonts w:ascii="Arial Narrow" w:hAnsi="Arial Narrow"/>
          <w:sz w:val="22"/>
          <w:szCs w:val="22"/>
        </w:rPr>
      </w:pPr>
    </w:p>
    <w:p w14:paraId="24C24A5A" w14:textId="75FD0885" w:rsidR="001F3725" w:rsidRPr="00025E6F" w:rsidRDefault="001F3725" w:rsidP="0009302A">
      <w:pPr>
        <w:jc w:val="center"/>
        <w:rPr>
          <w:rFonts w:ascii="Arial Narrow" w:hAnsi="Arial Narrow"/>
          <w:b/>
          <w:bCs/>
          <w:sz w:val="22"/>
          <w:szCs w:val="22"/>
        </w:rPr>
      </w:pPr>
      <w:r w:rsidRPr="00025E6F">
        <w:rPr>
          <w:rFonts w:ascii="Arial Narrow" w:hAnsi="Arial Narrow"/>
          <w:b/>
          <w:bCs/>
          <w:sz w:val="22"/>
          <w:szCs w:val="22"/>
        </w:rPr>
        <w:t>PUBLÍQUESE Y CÚMPLASE</w:t>
      </w:r>
    </w:p>
    <w:p w14:paraId="5DA50876" w14:textId="1F4274E8" w:rsidR="001F3725" w:rsidRPr="00025E6F" w:rsidRDefault="001F3725" w:rsidP="0009302A">
      <w:pPr>
        <w:jc w:val="both"/>
        <w:rPr>
          <w:rFonts w:ascii="Arial Narrow" w:hAnsi="Arial Narrow"/>
          <w:sz w:val="22"/>
          <w:szCs w:val="22"/>
        </w:rPr>
      </w:pPr>
    </w:p>
    <w:p w14:paraId="538B9A2F" w14:textId="5C4E907D" w:rsidR="001F3725" w:rsidRPr="0009302A" w:rsidRDefault="001F3725" w:rsidP="0009302A">
      <w:pPr>
        <w:jc w:val="both"/>
        <w:rPr>
          <w:rFonts w:ascii="Arial Narrow" w:hAnsi="Arial Narrow"/>
          <w:sz w:val="22"/>
          <w:szCs w:val="22"/>
        </w:rPr>
      </w:pPr>
      <w:r w:rsidRPr="00025E6F">
        <w:rPr>
          <w:rFonts w:ascii="Arial Narrow" w:hAnsi="Arial Narrow"/>
          <w:sz w:val="22"/>
          <w:szCs w:val="22"/>
        </w:rPr>
        <w:t xml:space="preserve">Dada en Bogotá D.C. a los </w:t>
      </w:r>
    </w:p>
    <w:p w14:paraId="195A9C25" w14:textId="77777777" w:rsidR="005045EC" w:rsidRPr="0009302A" w:rsidRDefault="005045EC" w:rsidP="0009302A">
      <w:pPr>
        <w:jc w:val="both"/>
        <w:rPr>
          <w:rFonts w:ascii="Arial Narrow" w:hAnsi="Arial Narrow"/>
          <w:sz w:val="22"/>
          <w:szCs w:val="22"/>
        </w:rPr>
      </w:pPr>
    </w:p>
    <w:p w14:paraId="646CC78C" w14:textId="105B1688" w:rsidR="008C0AAD" w:rsidRPr="0009302A" w:rsidRDefault="008C0AAD" w:rsidP="0009302A">
      <w:pPr>
        <w:jc w:val="both"/>
        <w:rPr>
          <w:rFonts w:ascii="Arial Narrow" w:hAnsi="Arial Narrow"/>
          <w:sz w:val="22"/>
          <w:szCs w:val="22"/>
        </w:rPr>
      </w:pPr>
    </w:p>
    <w:p w14:paraId="117C06AC" w14:textId="5E18AEDA" w:rsidR="001F3725" w:rsidRPr="0009302A" w:rsidRDefault="001F3725" w:rsidP="0009302A">
      <w:pPr>
        <w:jc w:val="both"/>
        <w:rPr>
          <w:rFonts w:ascii="Arial Narrow" w:hAnsi="Arial Narrow"/>
          <w:sz w:val="22"/>
          <w:szCs w:val="22"/>
        </w:rPr>
      </w:pPr>
    </w:p>
    <w:p w14:paraId="16891D0A" w14:textId="69A3F65A" w:rsidR="001F3725" w:rsidRPr="0009302A" w:rsidRDefault="001F3725" w:rsidP="0009302A">
      <w:pPr>
        <w:jc w:val="center"/>
        <w:rPr>
          <w:rFonts w:ascii="Arial Narrow" w:hAnsi="Arial Narrow"/>
          <w:b/>
          <w:bCs/>
          <w:sz w:val="22"/>
          <w:szCs w:val="22"/>
        </w:rPr>
      </w:pPr>
      <w:r w:rsidRPr="0009302A">
        <w:rPr>
          <w:rFonts w:ascii="Arial Narrow" w:hAnsi="Arial Narrow"/>
          <w:b/>
          <w:bCs/>
          <w:sz w:val="22"/>
          <w:szCs w:val="22"/>
        </w:rPr>
        <w:t>ALEJANDRA MILLER RESTREPO</w:t>
      </w:r>
    </w:p>
    <w:p w14:paraId="3E650E32" w14:textId="0E0DFC3E" w:rsidR="001F3725" w:rsidRPr="0009302A" w:rsidRDefault="001F3725" w:rsidP="0009302A">
      <w:pPr>
        <w:jc w:val="center"/>
        <w:rPr>
          <w:rFonts w:ascii="Arial Narrow" w:hAnsi="Arial Narrow"/>
          <w:sz w:val="22"/>
          <w:szCs w:val="22"/>
        </w:rPr>
      </w:pPr>
      <w:r w:rsidRPr="0009302A">
        <w:rPr>
          <w:rFonts w:ascii="Arial Narrow" w:hAnsi="Arial Narrow"/>
          <w:sz w:val="22"/>
          <w:szCs w:val="22"/>
        </w:rPr>
        <w:t>Directora General</w:t>
      </w:r>
    </w:p>
    <w:p w14:paraId="170F8623" w14:textId="4999AE5A" w:rsidR="001F3725" w:rsidRPr="0009302A" w:rsidRDefault="001F3725" w:rsidP="0009302A">
      <w:pPr>
        <w:jc w:val="both"/>
        <w:rPr>
          <w:rFonts w:ascii="Arial Narrow" w:hAnsi="Arial Narrow"/>
          <w:sz w:val="22"/>
          <w:szCs w:val="22"/>
        </w:rPr>
      </w:pPr>
    </w:p>
    <w:p w14:paraId="27C29108" w14:textId="77777777" w:rsidR="001F3725" w:rsidRDefault="001F3725" w:rsidP="0009302A">
      <w:pPr>
        <w:jc w:val="both"/>
        <w:rPr>
          <w:rFonts w:ascii="Arial Narrow" w:hAnsi="Arial Narrow"/>
          <w:sz w:val="22"/>
          <w:szCs w:val="22"/>
        </w:rPr>
      </w:pPr>
    </w:p>
    <w:p w14:paraId="114E8191" w14:textId="77777777" w:rsidR="00171C8C" w:rsidRDefault="00171C8C" w:rsidP="0009302A">
      <w:pPr>
        <w:jc w:val="both"/>
        <w:rPr>
          <w:rFonts w:ascii="Arial Narrow" w:hAnsi="Arial Narrow"/>
          <w:sz w:val="22"/>
          <w:szCs w:val="22"/>
        </w:rPr>
      </w:pPr>
    </w:p>
    <w:p w14:paraId="60276D8D" w14:textId="77777777" w:rsidR="00171C8C" w:rsidRDefault="00171C8C" w:rsidP="0009302A">
      <w:pPr>
        <w:jc w:val="both"/>
        <w:rPr>
          <w:rFonts w:ascii="Arial Narrow" w:hAnsi="Arial Narrow"/>
          <w:sz w:val="22"/>
          <w:szCs w:val="22"/>
        </w:rPr>
      </w:pPr>
    </w:p>
    <w:p w14:paraId="769CA4A5" w14:textId="126B263B" w:rsidR="00F66872" w:rsidRPr="0009302A" w:rsidRDefault="00F66872" w:rsidP="0009302A">
      <w:pPr>
        <w:jc w:val="both"/>
        <w:rPr>
          <w:rFonts w:ascii="Arial Narrow" w:hAnsi="Arial Narrow"/>
          <w:sz w:val="22"/>
          <w:szCs w:val="22"/>
        </w:rPr>
      </w:pPr>
      <w:r w:rsidRPr="00F66872">
        <w:rPr>
          <w:rFonts w:ascii="Arial Narrow" w:hAnsi="Arial Narrow"/>
          <w:sz w:val="22"/>
          <w:szCs w:val="22"/>
          <w:lang w:val="es-CO"/>
        </w:rPr>
        <w:t>Publicada en el Di</w:t>
      </w:r>
      <w:r>
        <w:rPr>
          <w:rFonts w:ascii="Arial Narrow" w:hAnsi="Arial Narrow"/>
          <w:sz w:val="22"/>
          <w:szCs w:val="22"/>
          <w:lang w:val="es-CO"/>
        </w:rPr>
        <w:t xml:space="preserve">ario Oficial </w:t>
      </w:r>
      <w:proofErr w:type="spellStart"/>
      <w:r>
        <w:rPr>
          <w:rFonts w:ascii="Arial Narrow" w:hAnsi="Arial Narrow"/>
          <w:sz w:val="22"/>
          <w:szCs w:val="22"/>
          <w:lang w:val="es-CO"/>
        </w:rPr>
        <w:t>N°</w:t>
      </w:r>
      <w:proofErr w:type="spellEnd"/>
      <w:r>
        <w:rPr>
          <w:rFonts w:ascii="Arial Narrow" w:hAnsi="Arial Narrow"/>
          <w:sz w:val="22"/>
          <w:szCs w:val="22"/>
          <w:lang w:val="es-CO"/>
        </w:rPr>
        <w:t xml:space="preserve"> _________________ de __________________</w:t>
      </w:r>
    </w:p>
    <w:p w14:paraId="2A3D58B0" w14:textId="77777777" w:rsidR="00F66872" w:rsidRDefault="00F66872" w:rsidP="001F06D3">
      <w:pPr>
        <w:jc w:val="both"/>
        <w:rPr>
          <w:rFonts w:ascii="Arial Narrow" w:hAnsi="Arial Narrow"/>
          <w:sz w:val="16"/>
          <w:szCs w:val="16"/>
        </w:rPr>
      </w:pPr>
    </w:p>
    <w:p w14:paraId="4B84789B" w14:textId="77777777" w:rsidR="00F66872" w:rsidRDefault="00F66872" w:rsidP="001F06D3">
      <w:pPr>
        <w:jc w:val="both"/>
        <w:rPr>
          <w:rFonts w:ascii="Arial Narrow" w:hAnsi="Arial Narrow"/>
          <w:sz w:val="16"/>
          <w:szCs w:val="16"/>
        </w:rPr>
      </w:pPr>
    </w:p>
    <w:bookmarkEnd w:id="0"/>
    <w:p w14:paraId="19EFA9CA" w14:textId="77777777" w:rsidR="007C5C0B" w:rsidRPr="007C5C0B" w:rsidRDefault="007C5C0B">
      <w:pPr>
        <w:rPr>
          <w:rFonts w:ascii="Arial Narrow" w:hAnsi="Arial Narrow"/>
          <w:sz w:val="16"/>
          <w:szCs w:val="16"/>
        </w:rPr>
      </w:pPr>
    </w:p>
    <w:sectPr w:rsidR="007C5C0B" w:rsidRPr="007C5C0B" w:rsidSect="00C66FB8">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AA538" w14:textId="77777777" w:rsidR="00545FCC" w:rsidRDefault="00545FCC" w:rsidP="00CF32C3">
      <w:r>
        <w:separator/>
      </w:r>
    </w:p>
  </w:endnote>
  <w:endnote w:type="continuationSeparator" w:id="0">
    <w:p w14:paraId="042DD29D" w14:textId="77777777" w:rsidR="00545FCC" w:rsidRDefault="00545FCC" w:rsidP="00CF32C3">
      <w:r>
        <w:continuationSeparator/>
      </w:r>
    </w:p>
  </w:endnote>
  <w:endnote w:type="continuationNotice" w:id="1">
    <w:p w14:paraId="1F2EE6B1" w14:textId="77777777" w:rsidR="00545FCC" w:rsidRDefault="00545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5A72" w14:textId="77777777" w:rsidR="00893EC6" w:rsidRDefault="00893EC6">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BB9C8" w14:textId="77777777" w:rsidR="00545FCC" w:rsidRDefault="00545FCC" w:rsidP="00CF32C3">
      <w:r>
        <w:separator/>
      </w:r>
    </w:p>
  </w:footnote>
  <w:footnote w:type="continuationSeparator" w:id="0">
    <w:p w14:paraId="4F7D7DCF" w14:textId="77777777" w:rsidR="00545FCC" w:rsidRDefault="00545FCC" w:rsidP="00CF32C3">
      <w:r>
        <w:continuationSeparator/>
      </w:r>
    </w:p>
  </w:footnote>
  <w:footnote w:type="continuationNotice" w:id="1">
    <w:p w14:paraId="4EFC9866" w14:textId="77777777" w:rsidR="00545FCC" w:rsidRDefault="00545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9049" w14:textId="77777777" w:rsidR="00893EC6" w:rsidRDefault="00893EC6">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7A62B12" w14:textId="77777777" w:rsidR="00893EC6" w:rsidRDefault="00893EC6">
    <w:pPr>
      <w:pStyle w:val="Encabezado"/>
    </w:pPr>
    <w:r>
      <w:rPr>
        <w:noProof/>
        <w:lang w:val="es-CO" w:eastAsia="es-CO"/>
      </w:rPr>
      <mc:AlternateContent>
        <mc:Choice Requires="wps">
          <w:drawing>
            <wp:anchor distT="0" distB="0" distL="114300" distR="114300" simplePos="0" relativeHeight="251658241" behindDoc="0" locked="0" layoutInCell="0" allowOverlap="1" wp14:anchorId="5E3AF77E" wp14:editId="17359603">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95BF888" id="Rectangle 3" o:spid="_x0000_s1026" style="position:absolute;margin-left:34.65pt;margin-top:70.2pt;width:541.15pt;height:837.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" o:allowincell="f" filled="f" strokeweight="2pt">
              <o:lock v:ext="edit" aspectratio="t"/>
              <w10:wrap anchorx="page" anchory="page"/>
            </v:rect>
          </w:pict>
        </mc:Fallback>
      </mc:AlternateContent>
    </w:r>
  </w:p>
  <w:p w14:paraId="5CCF1041" w14:textId="77777777" w:rsidR="00893EC6" w:rsidRDefault="00893EC6">
    <w:pPr>
      <w:jc w:val="center"/>
      <w:rPr>
        <w:b/>
      </w:rPr>
    </w:pPr>
  </w:p>
  <w:p w14:paraId="0EAF68BB" w14:textId="77777777" w:rsidR="00893EC6" w:rsidRDefault="00893EC6">
    <w:pPr>
      <w:jc w:val="center"/>
      <w:rPr>
        <w:sz w:val="22"/>
      </w:rPr>
    </w:pPr>
    <w:r>
      <w:rPr>
        <w:noProof/>
        <w:color w:val="000000"/>
        <w:lang w:val="es-CO" w:eastAsia="es-CO"/>
      </w:rPr>
      <mc:AlternateContent>
        <mc:Choice Requires="wps">
          <w:drawing>
            <wp:anchor distT="4294967295" distB="4294967295" distL="114300" distR="114300" simplePos="0" relativeHeight="251658243" behindDoc="0" locked="0" layoutInCell="0" allowOverlap="1" wp14:anchorId="7DC8A084" wp14:editId="14C2E756">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22BDB1" id="Line 5"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7A517C9C" w14:textId="77777777" w:rsidR="00893EC6" w:rsidRDefault="00893EC6">
    <w:pPr>
      <w:jc w:val="center"/>
      <w:rPr>
        <w:sz w:val="22"/>
      </w:rPr>
    </w:pPr>
  </w:p>
  <w:p w14:paraId="23267318" w14:textId="77777777" w:rsidR="00893EC6" w:rsidRDefault="00893EC6">
    <w:pPr>
      <w:jc w:val="center"/>
      <w:rPr>
        <w:snapToGrid w:val="0"/>
        <w:color w:val="000000"/>
        <w:sz w:val="18"/>
      </w:rPr>
    </w:pPr>
  </w:p>
  <w:p w14:paraId="151A3477" w14:textId="77777777" w:rsidR="00893EC6" w:rsidRDefault="00893EC6">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3096" w14:textId="37AEB7AE" w:rsidR="00893EC6" w:rsidRPr="0008135D" w:rsidRDefault="00893EC6" w:rsidP="00C66FB8">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659264" behindDoc="0" locked="0" layoutInCell="0" allowOverlap="1" wp14:anchorId="143179A1" wp14:editId="4913CF7C">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8434F83" id="Rectangle 4" o:spid="_x0000_s1026" style="position:absolute;margin-left:36.65pt;margin-top:57.3pt;width:537.85pt;height:8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" o:allowincell="f" filled="f" strokeweight="2pt">
              <o:lock v:ext="edit" aspectratio="t"/>
              <w10:wrap anchorx="page" anchory="page"/>
            </v:rect>
          </w:pict>
        </mc:Fallback>
      </mc:AlternateContent>
    </w:r>
    <w:r w:rsidRPr="009C52D2">
      <w:rPr>
        <w:rFonts w:ascii="Arial Narrow" w:hAnsi="Arial Narrow"/>
        <w:b/>
        <w:sz w:val="22"/>
        <w:szCs w:val="22"/>
        <w:lang w:val="pt-BR"/>
      </w:rPr>
      <w:t>RESOLUCIÓN NÚMERO____________DE 202</w:t>
    </w:r>
    <w:r w:rsidR="00CF04F7">
      <w:rPr>
        <w:rFonts w:ascii="Arial Narrow" w:hAnsi="Arial Narrow"/>
        <w:b/>
        <w:sz w:val="22"/>
        <w:szCs w:val="22"/>
        <w:lang w:val="pt-BR"/>
      </w:rPr>
      <w:t>6</w:t>
    </w:r>
    <w:r>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4C1316">
      <w:rPr>
        <w:rStyle w:val="Nmerodepgina"/>
        <w:b/>
        <w:noProof/>
        <w:sz w:val="24"/>
        <w:szCs w:val="24"/>
        <w:lang w:val="pt-BR"/>
      </w:rPr>
      <w:t>7</w:t>
    </w:r>
    <w:r>
      <w:rPr>
        <w:rStyle w:val="Nmerodepgina"/>
        <w:b/>
        <w:sz w:val="24"/>
        <w:szCs w:val="24"/>
      </w:rPr>
      <w:fldChar w:fldCharType="end"/>
    </w:r>
  </w:p>
  <w:p w14:paraId="013FC59C" w14:textId="77777777" w:rsidR="00893EC6" w:rsidRDefault="00893EC6">
    <w:pPr>
      <w:jc w:val="center"/>
      <w:rPr>
        <w:b/>
      </w:rPr>
    </w:pPr>
  </w:p>
  <w:p w14:paraId="068CA05B" w14:textId="77777777" w:rsidR="00893EC6" w:rsidRDefault="00893EC6" w:rsidP="00C66FB8"/>
  <w:p w14:paraId="5BF07CC1" w14:textId="44407B2B" w:rsidR="00893EC6" w:rsidRPr="00025C84" w:rsidRDefault="00893EC6" w:rsidP="00C66FB8">
    <w:pPr>
      <w:jc w:val="center"/>
      <w:rPr>
        <w:rFonts w:ascii="Arial Narrow" w:hAnsi="Arial Narrow"/>
        <w:i/>
        <w:iCs/>
        <w:sz w:val="18"/>
        <w:szCs w:val="18"/>
      </w:rPr>
    </w:pPr>
    <w:r w:rsidRPr="00025C84">
      <w:rPr>
        <w:rFonts w:ascii="Arial Narrow" w:hAnsi="Arial Narrow"/>
        <w:sz w:val="18"/>
        <w:szCs w:val="18"/>
      </w:rPr>
      <w:t xml:space="preserve">Continuación de la resolución </w:t>
    </w:r>
    <w:r w:rsidRPr="00025C84">
      <w:rPr>
        <w:rFonts w:ascii="Arial Narrow" w:hAnsi="Arial Narrow"/>
        <w:i/>
        <w:iCs/>
        <w:sz w:val="18"/>
        <w:szCs w:val="18"/>
      </w:rPr>
      <w:t>“</w:t>
    </w:r>
    <w:r w:rsidR="002A6C4D" w:rsidRPr="00025C84">
      <w:rPr>
        <w:rFonts w:ascii="Arial Narrow" w:hAnsi="Arial Narrow" w:cs="Arial"/>
        <w:i/>
        <w:iCs/>
        <w:sz w:val="18"/>
        <w:szCs w:val="18"/>
      </w:rPr>
      <w:t xml:space="preserve">Por la cual se modifica </w:t>
    </w:r>
    <w:r w:rsidR="00CF04F7" w:rsidRPr="00025C84">
      <w:rPr>
        <w:rFonts w:ascii="Arial Narrow" w:hAnsi="Arial Narrow" w:cs="Arial"/>
        <w:i/>
        <w:iCs/>
        <w:sz w:val="18"/>
        <w:szCs w:val="18"/>
      </w:rPr>
      <w:t>el artículo 7 de la Resolución 1797 de 2023 modificado por la Resolución 146 de 2025</w:t>
    </w:r>
    <w:r w:rsidRPr="00025C84">
      <w:rPr>
        <w:rFonts w:ascii="Arial Narrow" w:hAnsi="Arial Narrow"/>
        <w:i/>
        <w:iCs/>
        <w:sz w:val="18"/>
        <w:szCs w:val="18"/>
      </w:rPr>
      <w:t>”.</w:t>
    </w:r>
  </w:p>
  <w:p w14:paraId="33EED835" w14:textId="77777777" w:rsidR="00893EC6" w:rsidRDefault="00893EC6" w:rsidP="00C66FB8">
    <w:pPr>
      <w:ind w:left="142" w:right="165"/>
      <w:jc w:val="center"/>
    </w:pPr>
    <w:r>
      <w:rPr>
        <w:rFonts w:cs="Arial"/>
        <w:color w:val="000000"/>
        <w:sz w:val="20"/>
        <w:szCs w:val="20"/>
      </w:rPr>
      <w:t>--------------------------------------------------------------------------------------------------------</w:t>
    </w:r>
  </w:p>
  <w:p w14:paraId="6CE9268B" w14:textId="77777777" w:rsidR="00893EC6" w:rsidRPr="00F875AB" w:rsidRDefault="00893EC6">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89F99" w14:textId="77777777" w:rsidR="00893EC6" w:rsidRDefault="00893EC6" w:rsidP="00C66FB8">
    <w:pPr>
      <w:pStyle w:val="Encabezado"/>
      <w:tabs>
        <w:tab w:val="clear" w:pos="4320"/>
        <w:tab w:val="clear" w:pos="8640"/>
        <w:tab w:val="left" w:pos="9000"/>
        <w:tab w:val="right" w:leader="underscore" w:pos="10530"/>
      </w:tabs>
      <w:rPr>
        <w:b/>
        <w:sz w:val="24"/>
        <w:szCs w:val="24"/>
      </w:rPr>
    </w:pPr>
    <w:r>
      <w:rPr>
        <w:noProof/>
        <w:lang w:val="es-CO" w:eastAsia="es-CO"/>
      </w:rPr>
      <w:drawing>
        <wp:anchor distT="0" distB="0" distL="114300" distR="114300" simplePos="0" relativeHeight="251658244" behindDoc="1" locked="0" layoutInCell="1" allowOverlap="1" wp14:anchorId="180B9227" wp14:editId="0EF2AE4C">
          <wp:simplePos x="0" y="0"/>
          <wp:positionH relativeFrom="page">
            <wp:posOffset>-61595</wp:posOffset>
          </wp:positionH>
          <wp:positionV relativeFrom="paragraph">
            <wp:posOffset>136525</wp:posOffset>
          </wp:positionV>
          <wp:extent cx="7805011" cy="12552680"/>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Pr>
        <w:noProof/>
        <w:sz w:val="28"/>
        <w:lang w:val="es-CO" w:eastAsia="es-CO"/>
      </w:rPr>
      <mc:AlternateContent>
        <mc:Choice Requires="wps">
          <w:drawing>
            <wp:anchor distT="0" distB="0" distL="114300" distR="114300" simplePos="0" relativeHeight="251658240" behindDoc="0" locked="0" layoutInCell="0" allowOverlap="1" wp14:anchorId="0F156211" wp14:editId="425FF274">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76D2D45" id="Rectangle 1" o:spid="_x0000_s1026" style="position:absolute;margin-left:36.6pt;margin-top:57.3pt;width:537.85pt;height:83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" o:allowincell="f" filled="f" strokeweight="2pt">
              <o:lock v:ext="edit" aspectratio="t"/>
              <w10:wrap anchorx="page" anchory="page"/>
            </v:rect>
          </w:pict>
        </mc:Fallback>
      </mc:AlternateContent>
    </w:r>
  </w:p>
  <w:p w14:paraId="73FF6F12" w14:textId="77777777" w:rsidR="00893EC6" w:rsidRDefault="00893EC6" w:rsidP="00C66FB8">
    <w:pPr>
      <w:pStyle w:val="Encabezado"/>
      <w:jc w:val="center"/>
      <w:rPr>
        <w:rFonts w:ascii="Arial Narrow" w:hAnsi="Arial Narrow"/>
        <w:b/>
        <w:sz w:val="24"/>
        <w:szCs w:val="24"/>
      </w:rPr>
    </w:pPr>
  </w:p>
  <w:p w14:paraId="2954F21D" w14:textId="77777777" w:rsidR="00893EC6" w:rsidRPr="003D14D1" w:rsidRDefault="00893EC6" w:rsidP="00C66FB8">
    <w:pPr>
      <w:pStyle w:val="Encabezado"/>
      <w:ind w:left="-284" w:right="83"/>
      <w:jc w:val="center"/>
      <w:rPr>
        <w:rFonts w:ascii="Arial Narrow" w:hAnsi="Arial Narrow"/>
        <w:b/>
        <w:sz w:val="22"/>
        <w:szCs w:val="22"/>
      </w:rPr>
    </w:pPr>
  </w:p>
  <w:p w14:paraId="3AD8FDA7" w14:textId="77777777" w:rsidR="00893EC6" w:rsidRDefault="00893EC6" w:rsidP="00C66FB8">
    <w:pPr>
      <w:pStyle w:val="Encabezado"/>
      <w:ind w:left="-284" w:right="83"/>
      <w:jc w:val="center"/>
      <w:rPr>
        <w:rFonts w:ascii="Arial Narrow" w:hAnsi="Arial Narrow"/>
        <w:b/>
        <w:sz w:val="22"/>
        <w:szCs w:val="22"/>
      </w:rPr>
    </w:pPr>
  </w:p>
  <w:p w14:paraId="3187D592" w14:textId="77777777" w:rsidR="00893EC6" w:rsidRDefault="00893EC6" w:rsidP="00C66FB8">
    <w:pPr>
      <w:pStyle w:val="Encabezado"/>
      <w:ind w:left="-284" w:right="83"/>
      <w:jc w:val="center"/>
      <w:rPr>
        <w:rFonts w:ascii="Arial Narrow" w:hAnsi="Arial Narrow"/>
        <w:b/>
        <w:sz w:val="22"/>
        <w:szCs w:val="22"/>
      </w:rPr>
    </w:pPr>
  </w:p>
  <w:p w14:paraId="43191D14" w14:textId="77777777" w:rsidR="00893EC6" w:rsidRDefault="00893EC6" w:rsidP="00C66FB8">
    <w:pPr>
      <w:pStyle w:val="Encabezado"/>
      <w:ind w:left="-284" w:right="83"/>
      <w:jc w:val="center"/>
      <w:rPr>
        <w:rFonts w:ascii="Arial Narrow" w:hAnsi="Arial Narrow"/>
        <w:b/>
        <w:sz w:val="22"/>
        <w:szCs w:val="22"/>
      </w:rPr>
    </w:pPr>
  </w:p>
  <w:p w14:paraId="357D5658" w14:textId="77777777" w:rsidR="00893EC6" w:rsidRDefault="00893EC6" w:rsidP="00C66FB8">
    <w:pPr>
      <w:pStyle w:val="Encabezado"/>
      <w:ind w:left="-284" w:right="83"/>
      <w:jc w:val="center"/>
      <w:rPr>
        <w:rFonts w:ascii="Arial Narrow" w:hAnsi="Arial Narrow"/>
        <w:b/>
        <w:sz w:val="22"/>
        <w:szCs w:val="22"/>
      </w:rPr>
    </w:pPr>
  </w:p>
  <w:p w14:paraId="24662BC9" w14:textId="77777777" w:rsidR="00893EC6" w:rsidRDefault="00893EC6" w:rsidP="00C66FB8">
    <w:pPr>
      <w:pStyle w:val="Encabezado"/>
      <w:ind w:left="-284" w:right="83"/>
      <w:jc w:val="center"/>
      <w:rPr>
        <w:rFonts w:ascii="Arial Narrow" w:hAnsi="Arial Narrow"/>
        <w:b/>
        <w:sz w:val="22"/>
        <w:szCs w:val="22"/>
      </w:rPr>
    </w:pPr>
  </w:p>
  <w:p w14:paraId="7EAA923C" w14:textId="77777777" w:rsidR="00893EC6" w:rsidRPr="00F7576F" w:rsidRDefault="00893EC6" w:rsidP="00C66FB8">
    <w:pPr>
      <w:pStyle w:val="Encabezado"/>
      <w:ind w:left="-284" w:right="83"/>
      <w:jc w:val="center"/>
      <w:rPr>
        <w:rFonts w:ascii="Arial Narrow" w:hAnsi="Arial Narrow"/>
        <w:b/>
        <w:sz w:val="28"/>
        <w:szCs w:val="28"/>
      </w:rPr>
    </w:pPr>
  </w:p>
  <w:p w14:paraId="70B90E4A" w14:textId="77777777" w:rsidR="00893EC6" w:rsidRPr="00F7576F" w:rsidRDefault="00893EC6" w:rsidP="00C66FB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06662EE3" w14:textId="77777777" w:rsidR="00893EC6" w:rsidRPr="003D14D1" w:rsidRDefault="00893EC6" w:rsidP="00C66FB8">
    <w:pPr>
      <w:ind w:left="1134" w:right="1185"/>
      <w:jc w:val="center"/>
      <w:rPr>
        <w:rFonts w:ascii="Arial Narrow" w:hAnsi="Arial Narrow" w:cs="Arial"/>
        <w:i/>
        <w:sz w:val="22"/>
        <w:szCs w:val="22"/>
      </w:rPr>
    </w:pPr>
  </w:p>
  <w:p w14:paraId="192173A3" w14:textId="77777777" w:rsidR="00893EC6" w:rsidRPr="00F7576F" w:rsidRDefault="00893EC6" w:rsidP="00C66FB8">
    <w:pPr>
      <w:pStyle w:val="Encabezado"/>
      <w:ind w:left="-284"/>
      <w:jc w:val="center"/>
      <w:rPr>
        <w:rFonts w:ascii="Arial Narrow" w:hAnsi="Arial Narrow"/>
        <w:b/>
        <w:sz w:val="24"/>
        <w:szCs w:val="24"/>
        <w:lang w:val="es-ES"/>
      </w:rPr>
    </w:pPr>
  </w:p>
  <w:p w14:paraId="335DFE65" w14:textId="3EF5664F" w:rsidR="00893EC6" w:rsidRPr="00C6139C" w:rsidRDefault="00893EC6" w:rsidP="00C66FB8">
    <w:pPr>
      <w:pStyle w:val="Encabezado"/>
      <w:ind w:left="-284"/>
      <w:jc w:val="center"/>
      <w:rPr>
        <w:rFonts w:ascii="Arial Narrow" w:hAnsi="Arial Narrow"/>
        <w:b/>
        <w:sz w:val="24"/>
        <w:szCs w:val="24"/>
      </w:rPr>
    </w:pPr>
    <w:r w:rsidRPr="00F7576F">
      <w:rPr>
        <w:rFonts w:ascii="Arial Narrow" w:hAnsi="Arial Narrow"/>
        <w:b/>
        <w:sz w:val="24"/>
        <w:szCs w:val="24"/>
      </w:rPr>
      <w:t>RESOLUCIÓN NÚMERO ______________</w:t>
    </w:r>
    <w:r>
      <w:rPr>
        <w:rFonts w:ascii="Arial Narrow" w:hAnsi="Arial Narrow"/>
        <w:b/>
        <w:sz w:val="24"/>
        <w:szCs w:val="24"/>
      </w:rPr>
      <w:t>DE 202</w:t>
    </w:r>
    <w:r w:rsidR="00025E6F">
      <w:rPr>
        <w:rFonts w:ascii="Arial Narrow" w:hAnsi="Arial Narrow"/>
        <w:b/>
        <w:sz w:val="24"/>
        <w:szCs w:val="24"/>
      </w:rPr>
      <w:t>5</w:t>
    </w:r>
  </w:p>
  <w:p w14:paraId="37F53BCA" w14:textId="77777777" w:rsidR="00893EC6" w:rsidRPr="003D14D1" w:rsidRDefault="00893EC6" w:rsidP="00C66FB8">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05B67"/>
    <w:multiLevelType w:val="hybridMultilevel"/>
    <w:tmpl w:val="825225E8"/>
    <w:lvl w:ilvl="0" w:tplc="C12A03C4">
      <w:start w:val="1"/>
      <w:numFmt w:val="lowerLetter"/>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7A539D"/>
    <w:multiLevelType w:val="hybridMultilevel"/>
    <w:tmpl w:val="792876BA"/>
    <w:lvl w:ilvl="0" w:tplc="344460E6">
      <w:start w:val="1"/>
      <w:numFmt w:val="lowerLetter"/>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A1744A"/>
    <w:multiLevelType w:val="hybridMultilevel"/>
    <w:tmpl w:val="507AC274"/>
    <w:lvl w:ilvl="0" w:tplc="692C4B9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F8B74A5"/>
    <w:multiLevelType w:val="hybridMultilevel"/>
    <w:tmpl w:val="E22C3580"/>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 w15:restartNumberingAfterBreak="0">
    <w:nsid w:val="4DB270FC"/>
    <w:multiLevelType w:val="hybridMultilevel"/>
    <w:tmpl w:val="CB0ADE38"/>
    <w:lvl w:ilvl="0" w:tplc="791ED416">
      <w:numFmt w:val="bullet"/>
      <w:lvlText w:val="-"/>
      <w:lvlJc w:val="left"/>
      <w:pPr>
        <w:ind w:left="786" w:hanging="360"/>
      </w:pPr>
      <w:rPr>
        <w:rFonts w:ascii="Arial Narrow" w:eastAsia="Times New Roman" w:hAnsi="Arial Narrow" w:cs="Times New Roman"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5631641D"/>
    <w:multiLevelType w:val="hybridMultilevel"/>
    <w:tmpl w:val="E22C3580"/>
    <w:lvl w:ilvl="0" w:tplc="F40283C8">
      <w:start w:val="1"/>
      <w:numFmt w:val="decimal"/>
      <w:lvlText w:val="%1."/>
      <w:lvlJc w:val="left"/>
      <w:pPr>
        <w:tabs>
          <w:tab w:val="num" w:pos="720"/>
        </w:tabs>
        <w:ind w:left="720" w:hanging="360"/>
      </w:pPr>
    </w:lvl>
    <w:lvl w:ilvl="1" w:tplc="207E08C4" w:tentative="1">
      <w:start w:val="1"/>
      <w:numFmt w:val="decimal"/>
      <w:lvlText w:val="%2."/>
      <w:lvlJc w:val="left"/>
      <w:pPr>
        <w:tabs>
          <w:tab w:val="num" w:pos="1440"/>
        </w:tabs>
        <w:ind w:left="1440" w:hanging="360"/>
      </w:pPr>
    </w:lvl>
    <w:lvl w:ilvl="2" w:tplc="AA12E61C" w:tentative="1">
      <w:start w:val="1"/>
      <w:numFmt w:val="decimal"/>
      <w:lvlText w:val="%3."/>
      <w:lvlJc w:val="left"/>
      <w:pPr>
        <w:tabs>
          <w:tab w:val="num" w:pos="2160"/>
        </w:tabs>
        <w:ind w:left="2160" w:hanging="360"/>
      </w:pPr>
    </w:lvl>
    <w:lvl w:ilvl="3" w:tplc="6EDC4A4A" w:tentative="1">
      <w:start w:val="1"/>
      <w:numFmt w:val="decimal"/>
      <w:lvlText w:val="%4."/>
      <w:lvlJc w:val="left"/>
      <w:pPr>
        <w:tabs>
          <w:tab w:val="num" w:pos="2880"/>
        </w:tabs>
        <w:ind w:left="2880" w:hanging="360"/>
      </w:pPr>
    </w:lvl>
    <w:lvl w:ilvl="4" w:tplc="7CD0DBE6" w:tentative="1">
      <w:start w:val="1"/>
      <w:numFmt w:val="decimal"/>
      <w:lvlText w:val="%5."/>
      <w:lvlJc w:val="left"/>
      <w:pPr>
        <w:tabs>
          <w:tab w:val="num" w:pos="3600"/>
        </w:tabs>
        <w:ind w:left="3600" w:hanging="360"/>
      </w:pPr>
    </w:lvl>
    <w:lvl w:ilvl="5" w:tplc="8124A0B4" w:tentative="1">
      <w:start w:val="1"/>
      <w:numFmt w:val="decimal"/>
      <w:lvlText w:val="%6."/>
      <w:lvlJc w:val="left"/>
      <w:pPr>
        <w:tabs>
          <w:tab w:val="num" w:pos="4320"/>
        </w:tabs>
        <w:ind w:left="4320" w:hanging="360"/>
      </w:pPr>
    </w:lvl>
    <w:lvl w:ilvl="6" w:tplc="C2A83FAA" w:tentative="1">
      <w:start w:val="1"/>
      <w:numFmt w:val="decimal"/>
      <w:lvlText w:val="%7."/>
      <w:lvlJc w:val="left"/>
      <w:pPr>
        <w:tabs>
          <w:tab w:val="num" w:pos="5040"/>
        </w:tabs>
        <w:ind w:left="5040" w:hanging="360"/>
      </w:pPr>
    </w:lvl>
    <w:lvl w:ilvl="7" w:tplc="E91C6700" w:tentative="1">
      <w:start w:val="1"/>
      <w:numFmt w:val="decimal"/>
      <w:lvlText w:val="%8."/>
      <w:lvlJc w:val="left"/>
      <w:pPr>
        <w:tabs>
          <w:tab w:val="num" w:pos="5760"/>
        </w:tabs>
        <w:ind w:left="5760" w:hanging="360"/>
      </w:pPr>
    </w:lvl>
    <w:lvl w:ilvl="8" w:tplc="EC5C2428" w:tentative="1">
      <w:start w:val="1"/>
      <w:numFmt w:val="decimal"/>
      <w:lvlText w:val="%9."/>
      <w:lvlJc w:val="left"/>
      <w:pPr>
        <w:tabs>
          <w:tab w:val="num" w:pos="6480"/>
        </w:tabs>
        <w:ind w:left="6480" w:hanging="360"/>
      </w:pPr>
    </w:lvl>
  </w:abstractNum>
  <w:abstractNum w:abstractNumId="6" w15:restartNumberingAfterBreak="0">
    <w:nsid w:val="56D163F4"/>
    <w:multiLevelType w:val="hybridMultilevel"/>
    <w:tmpl w:val="0FEAEEA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ABD5B7D"/>
    <w:multiLevelType w:val="hybridMultilevel"/>
    <w:tmpl w:val="095EC8B2"/>
    <w:lvl w:ilvl="0" w:tplc="A3DE2B82">
      <w:start w:val="1"/>
      <w:numFmt w:val="decimal"/>
      <w:lvlText w:val="%1."/>
      <w:lvlJc w:val="left"/>
      <w:pPr>
        <w:ind w:left="360" w:hanging="360"/>
      </w:pPr>
      <w:rPr>
        <w:b/>
        <w:bCs/>
      </w:rPr>
    </w:lvl>
    <w:lvl w:ilvl="1" w:tplc="CB9CCA04">
      <w:start w:val="1"/>
      <w:numFmt w:val="lowerRoman"/>
      <w:lvlText w:val="%2)"/>
      <w:lvlJc w:val="left"/>
      <w:pPr>
        <w:ind w:left="1440" w:hanging="720"/>
      </w:pPr>
      <w:rPr>
        <w:rFonts w:hint="default"/>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69065E7E"/>
    <w:multiLevelType w:val="hybridMultilevel"/>
    <w:tmpl w:val="89260EB4"/>
    <w:lvl w:ilvl="0" w:tplc="6380B37E">
      <w:start w:val="5"/>
      <w:numFmt w:val="bullet"/>
      <w:lvlText w:val="-"/>
      <w:lvlJc w:val="left"/>
      <w:pPr>
        <w:ind w:left="720" w:hanging="360"/>
      </w:pPr>
      <w:rPr>
        <w:rFonts w:ascii="Arial Narrow" w:eastAsia="Aptos" w:hAnsi="Arial Narrow" w:cs="Apto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015303755">
    <w:abstractNumId w:val="7"/>
  </w:num>
  <w:num w:numId="2" w16cid:durableId="142507048">
    <w:abstractNumId w:val="1"/>
  </w:num>
  <w:num w:numId="3" w16cid:durableId="1602686858">
    <w:abstractNumId w:val="0"/>
  </w:num>
  <w:num w:numId="4" w16cid:durableId="154498458">
    <w:abstractNumId w:val="8"/>
  </w:num>
  <w:num w:numId="5" w16cid:durableId="810904549">
    <w:abstractNumId w:val="4"/>
  </w:num>
  <w:num w:numId="6" w16cid:durableId="272175439">
    <w:abstractNumId w:val="5"/>
  </w:num>
  <w:num w:numId="7" w16cid:durableId="489172390">
    <w:abstractNumId w:val="3"/>
  </w:num>
  <w:num w:numId="8" w16cid:durableId="333916267">
    <w:abstractNumId w:val="6"/>
  </w:num>
  <w:num w:numId="9" w16cid:durableId="104465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C3"/>
    <w:rsid w:val="000034D8"/>
    <w:rsid w:val="0000358E"/>
    <w:rsid w:val="0000551C"/>
    <w:rsid w:val="00006E1C"/>
    <w:rsid w:val="00007686"/>
    <w:rsid w:val="0002060F"/>
    <w:rsid w:val="000216FB"/>
    <w:rsid w:val="00025C84"/>
    <w:rsid w:val="00025E6F"/>
    <w:rsid w:val="00031A5F"/>
    <w:rsid w:val="00034175"/>
    <w:rsid w:val="000437BA"/>
    <w:rsid w:val="00057A95"/>
    <w:rsid w:val="00057B75"/>
    <w:rsid w:val="00057CC7"/>
    <w:rsid w:val="00057EBB"/>
    <w:rsid w:val="00075F06"/>
    <w:rsid w:val="000763BD"/>
    <w:rsid w:val="00076B9D"/>
    <w:rsid w:val="000838B7"/>
    <w:rsid w:val="00085E28"/>
    <w:rsid w:val="000876D1"/>
    <w:rsid w:val="0009302A"/>
    <w:rsid w:val="00094722"/>
    <w:rsid w:val="000A0046"/>
    <w:rsid w:val="000A1FD9"/>
    <w:rsid w:val="000A5BCC"/>
    <w:rsid w:val="000B0E3D"/>
    <w:rsid w:val="000B7429"/>
    <w:rsid w:val="000B7F2F"/>
    <w:rsid w:val="000C09DF"/>
    <w:rsid w:val="000C40D9"/>
    <w:rsid w:val="000C4DD4"/>
    <w:rsid w:val="000D02AE"/>
    <w:rsid w:val="000D10E4"/>
    <w:rsid w:val="000D5173"/>
    <w:rsid w:val="000D74C3"/>
    <w:rsid w:val="000E2FDA"/>
    <w:rsid w:val="000E2FF3"/>
    <w:rsid w:val="000F3B39"/>
    <w:rsid w:val="000F6D10"/>
    <w:rsid w:val="00103485"/>
    <w:rsid w:val="00105B84"/>
    <w:rsid w:val="00105FBE"/>
    <w:rsid w:val="001062F6"/>
    <w:rsid w:val="00121A6B"/>
    <w:rsid w:val="00125868"/>
    <w:rsid w:val="00130C71"/>
    <w:rsid w:val="00131666"/>
    <w:rsid w:val="001420FD"/>
    <w:rsid w:val="00147AE0"/>
    <w:rsid w:val="00152794"/>
    <w:rsid w:val="00155610"/>
    <w:rsid w:val="00156EB9"/>
    <w:rsid w:val="00162B11"/>
    <w:rsid w:val="001631B5"/>
    <w:rsid w:val="0016711D"/>
    <w:rsid w:val="001718B8"/>
    <w:rsid w:val="00171C8C"/>
    <w:rsid w:val="00174A04"/>
    <w:rsid w:val="001805DD"/>
    <w:rsid w:val="00182998"/>
    <w:rsid w:val="00191536"/>
    <w:rsid w:val="001946A8"/>
    <w:rsid w:val="0019721D"/>
    <w:rsid w:val="001A4FB6"/>
    <w:rsid w:val="001B24CF"/>
    <w:rsid w:val="001B384B"/>
    <w:rsid w:val="001C6949"/>
    <w:rsid w:val="001D4D0D"/>
    <w:rsid w:val="001D7597"/>
    <w:rsid w:val="001E347A"/>
    <w:rsid w:val="001E567F"/>
    <w:rsid w:val="001E657C"/>
    <w:rsid w:val="001F06D3"/>
    <w:rsid w:val="001F20B5"/>
    <w:rsid w:val="001F3725"/>
    <w:rsid w:val="001F5CA9"/>
    <w:rsid w:val="001F7EBC"/>
    <w:rsid w:val="00200908"/>
    <w:rsid w:val="00200ECD"/>
    <w:rsid w:val="002144B2"/>
    <w:rsid w:val="00215143"/>
    <w:rsid w:val="002152AE"/>
    <w:rsid w:val="00216DA6"/>
    <w:rsid w:val="0021733B"/>
    <w:rsid w:val="0022675A"/>
    <w:rsid w:val="00226A87"/>
    <w:rsid w:val="00226D4D"/>
    <w:rsid w:val="002314D7"/>
    <w:rsid w:val="002351E9"/>
    <w:rsid w:val="00241257"/>
    <w:rsid w:val="00245616"/>
    <w:rsid w:val="002527B7"/>
    <w:rsid w:val="00261973"/>
    <w:rsid w:val="00266C04"/>
    <w:rsid w:val="00271B5A"/>
    <w:rsid w:val="00271B81"/>
    <w:rsid w:val="00271ED2"/>
    <w:rsid w:val="00274395"/>
    <w:rsid w:val="00274674"/>
    <w:rsid w:val="002759B9"/>
    <w:rsid w:val="00287750"/>
    <w:rsid w:val="00294B43"/>
    <w:rsid w:val="002A6194"/>
    <w:rsid w:val="002A6C4D"/>
    <w:rsid w:val="002B0C55"/>
    <w:rsid w:val="002B149C"/>
    <w:rsid w:val="002B15DE"/>
    <w:rsid w:val="002B5A43"/>
    <w:rsid w:val="002C2017"/>
    <w:rsid w:val="002C205B"/>
    <w:rsid w:val="002C3691"/>
    <w:rsid w:val="002C3BE1"/>
    <w:rsid w:val="002C3D7A"/>
    <w:rsid w:val="002C6A8A"/>
    <w:rsid w:val="002C7080"/>
    <w:rsid w:val="002E189A"/>
    <w:rsid w:val="002E32B1"/>
    <w:rsid w:val="002E406B"/>
    <w:rsid w:val="002F1E2F"/>
    <w:rsid w:val="002F2F64"/>
    <w:rsid w:val="002F403D"/>
    <w:rsid w:val="002F44EE"/>
    <w:rsid w:val="003044DB"/>
    <w:rsid w:val="00305044"/>
    <w:rsid w:val="00313C13"/>
    <w:rsid w:val="00313C8B"/>
    <w:rsid w:val="00316012"/>
    <w:rsid w:val="0034342A"/>
    <w:rsid w:val="00354BCB"/>
    <w:rsid w:val="00357FF8"/>
    <w:rsid w:val="00373365"/>
    <w:rsid w:val="003759D8"/>
    <w:rsid w:val="00375F64"/>
    <w:rsid w:val="0037766B"/>
    <w:rsid w:val="00381CBF"/>
    <w:rsid w:val="00386C5B"/>
    <w:rsid w:val="00391193"/>
    <w:rsid w:val="003B3D16"/>
    <w:rsid w:val="003B5FC2"/>
    <w:rsid w:val="003C23EA"/>
    <w:rsid w:val="003C418C"/>
    <w:rsid w:val="003D13E2"/>
    <w:rsid w:val="003D2576"/>
    <w:rsid w:val="003D2CE7"/>
    <w:rsid w:val="003E434D"/>
    <w:rsid w:val="00407137"/>
    <w:rsid w:val="00410486"/>
    <w:rsid w:val="004249BD"/>
    <w:rsid w:val="00424FBE"/>
    <w:rsid w:val="0042609F"/>
    <w:rsid w:val="004270E8"/>
    <w:rsid w:val="00434572"/>
    <w:rsid w:val="00435695"/>
    <w:rsid w:val="00436DFA"/>
    <w:rsid w:val="004413E2"/>
    <w:rsid w:val="00442B89"/>
    <w:rsid w:val="004456F3"/>
    <w:rsid w:val="00453C07"/>
    <w:rsid w:val="004759BC"/>
    <w:rsid w:val="00475A52"/>
    <w:rsid w:val="00483F31"/>
    <w:rsid w:val="00484A8B"/>
    <w:rsid w:val="0049331F"/>
    <w:rsid w:val="004944CA"/>
    <w:rsid w:val="004A019C"/>
    <w:rsid w:val="004A0295"/>
    <w:rsid w:val="004A2F9C"/>
    <w:rsid w:val="004A4355"/>
    <w:rsid w:val="004A471D"/>
    <w:rsid w:val="004A69E8"/>
    <w:rsid w:val="004B3447"/>
    <w:rsid w:val="004B40F7"/>
    <w:rsid w:val="004C1316"/>
    <w:rsid w:val="004C2B67"/>
    <w:rsid w:val="004D4AE8"/>
    <w:rsid w:val="004D64E8"/>
    <w:rsid w:val="004E089B"/>
    <w:rsid w:val="004E2423"/>
    <w:rsid w:val="004E3CA1"/>
    <w:rsid w:val="004E537C"/>
    <w:rsid w:val="004E721C"/>
    <w:rsid w:val="004F1263"/>
    <w:rsid w:val="004F4960"/>
    <w:rsid w:val="004F543B"/>
    <w:rsid w:val="004F64C6"/>
    <w:rsid w:val="004F7F2E"/>
    <w:rsid w:val="00501AEA"/>
    <w:rsid w:val="005045EC"/>
    <w:rsid w:val="00504E22"/>
    <w:rsid w:val="005068A2"/>
    <w:rsid w:val="00507319"/>
    <w:rsid w:val="0051053C"/>
    <w:rsid w:val="005213AC"/>
    <w:rsid w:val="00523BF1"/>
    <w:rsid w:val="00545FCC"/>
    <w:rsid w:val="00555933"/>
    <w:rsid w:val="00555C87"/>
    <w:rsid w:val="00560521"/>
    <w:rsid w:val="00560591"/>
    <w:rsid w:val="00565645"/>
    <w:rsid w:val="00566839"/>
    <w:rsid w:val="005823DD"/>
    <w:rsid w:val="00583724"/>
    <w:rsid w:val="005911DD"/>
    <w:rsid w:val="005934B5"/>
    <w:rsid w:val="005955C9"/>
    <w:rsid w:val="0059624D"/>
    <w:rsid w:val="005A0A3E"/>
    <w:rsid w:val="005A53FE"/>
    <w:rsid w:val="005A7752"/>
    <w:rsid w:val="005A788A"/>
    <w:rsid w:val="005A7CE7"/>
    <w:rsid w:val="005C4A56"/>
    <w:rsid w:val="005C52DD"/>
    <w:rsid w:val="005C5709"/>
    <w:rsid w:val="005D316B"/>
    <w:rsid w:val="005D3FE7"/>
    <w:rsid w:val="005D503D"/>
    <w:rsid w:val="005E2269"/>
    <w:rsid w:val="005E2F16"/>
    <w:rsid w:val="005E7067"/>
    <w:rsid w:val="005F50C4"/>
    <w:rsid w:val="00600492"/>
    <w:rsid w:val="006024D8"/>
    <w:rsid w:val="00617BFA"/>
    <w:rsid w:val="00624A3B"/>
    <w:rsid w:val="00624B05"/>
    <w:rsid w:val="0062561E"/>
    <w:rsid w:val="006303EC"/>
    <w:rsid w:val="006311BA"/>
    <w:rsid w:val="006350FA"/>
    <w:rsid w:val="00642360"/>
    <w:rsid w:val="0064611C"/>
    <w:rsid w:val="00646BAD"/>
    <w:rsid w:val="00651DD3"/>
    <w:rsid w:val="006545D9"/>
    <w:rsid w:val="00662E8D"/>
    <w:rsid w:val="00663973"/>
    <w:rsid w:val="00664839"/>
    <w:rsid w:val="006707AF"/>
    <w:rsid w:val="006709A2"/>
    <w:rsid w:val="00674966"/>
    <w:rsid w:val="00680F64"/>
    <w:rsid w:val="00685B53"/>
    <w:rsid w:val="00685F37"/>
    <w:rsid w:val="00696E34"/>
    <w:rsid w:val="00697E0B"/>
    <w:rsid w:val="006A098C"/>
    <w:rsid w:val="006A1271"/>
    <w:rsid w:val="006A2E15"/>
    <w:rsid w:val="006A3513"/>
    <w:rsid w:val="006B0FF9"/>
    <w:rsid w:val="006B1FA3"/>
    <w:rsid w:val="006B53D9"/>
    <w:rsid w:val="006B66CD"/>
    <w:rsid w:val="006B7614"/>
    <w:rsid w:val="006B7807"/>
    <w:rsid w:val="006C163D"/>
    <w:rsid w:val="006D0B94"/>
    <w:rsid w:val="006D3FC5"/>
    <w:rsid w:val="006D49FB"/>
    <w:rsid w:val="006D6160"/>
    <w:rsid w:val="006D7703"/>
    <w:rsid w:val="006E2EEB"/>
    <w:rsid w:val="006E353D"/>
    <w:rsid w:val="006E731D"/>
    <w:rsid w:val="006F33D7"/>
    <w:rsid w:val="006F51C9"/>
    <w:rsid w:val="0070672B"/>
    <w:rsid w:val="00715F77"/>
    <w:rsid w:val="00730184"/>
    <w:rsid w:val="00730290"/>
    <w:rsid w:val="00740024"/>
    <w:rsid w:val="00741D6C"/>
    <w:rsid w:val="00743CB0"/>
    <w:rsid w:val="007446AC"/>
    <w:rsid w:val="00745466"/>
    <w:rsid w:val="0074652A"/>
    <w:rsid w:val="007527D0"/>
    <w:rsid w:val="00757DCE"/>
    <w:rsid w:val="00761DB5"/>
    <w:rsid w:val="00763732"/>
    <w:rsid w:val="00766FB2"/>
    <w:rsid w:val="00774EBE"/>
    <w:rsid w:val="00781E90"/>
    <w:rsid w:val="0078600D"/>
    <w:rsid w:val="0079139A"/>
    <w:rsid w:val="00793837"/>
    <w:rsid w:val="00793E96"/>
    <w:rsid w:val="007977B1"/>
    <w:rsid w:val="007B1923"/>
    <w:rsid w:val="007B1F18"/>
    <w:rsid w:val="007B3F78"/>
    <w:rsid w:val="007C1C48"/>
    <w:rsid w:val="007C5C0B"/>
    <w:rsid w:val="007D51A4"/>
    <w:rsid w:val="007E32F3"/>
    <w:rsid w:val="007E7B2B"/>
    <w:rsid w:val="007E7CA8"/>
    <w:rsid w:val="007F1221"/>
    <w:rsid w:val="007F1AB2"/>
    <w:rsid w:val="007F4C02"/>
    <w:rsid w:val="007F62A2"/>
    <w:rsid w:val="00801A71"/>
    <w:rsid w:val="00803114"/>
    <w:rsid w:val="00806FE3"/>
    <w:rsid w:val="00815028"/>
    <w:rsid w:val="00824335"/>
    <w:rsid w:val="00826102"/>
    <w:rsid w:val="00832CF8"/>
    <w:rsid w:val="00844E73"/>
    <w:rsid w:val="00844F6D"/>
    <w:rsid w:val="00850569"/>
    <w:rsid w:val="00853F12"/>
    <w:rsid w:val="008544F4"/>
    <w:rsid w:val="008608DA"/>
    <w:rsid w:val="00886453"/>
    <w:rsid w:val="0089039A"/>
    <w:rsid w:val="008931B0"/>
    <w:rsid w:val="0089350A"/>
    <w:rsid w:val="008939C3"/>
    <w:rsid w:val="00893EC6"/>
    <w:rsid w:val="00896B74"/>
    <w:rsid w:val="008A2E60"/>
    <w:rsid w:val="008A4977"/>
    <w:rsid w:val="008C0AAD"/>
    <w:rsid w:val="008C6A8C"/>
    <w:rsid w:val="008C6AC6"/>
    <w:rsid w:val="008D05C0"/>
    <w:rsid w:val="008D05E5"/>
    <w:rsid w:val="008D39B7"/>
    <w:rsid w:val="008F394A"/>
    <w:rsid w:val="008F4520"/>
    <w:rsid w:val="009065D8"/>
    <w:rsid w:val="0091002E"/>
    <w:rsid w:val="00911178"/>
    <w:rsid w:val="00913540"/>
    <w:rsid w:val="00913F03"/>
    <w:rsid w:val="0091748A"/>
    <w:rsid w:val="00922134"/>
    <w:rsid w:val="00923890"/>
    <w:rsid w:val="00931793"/>
    <w:rsid w:val="009349C5"/>
    <w:rsid w:val="009372A6"/>
    <w:rsid w:val="009409C2"/>
    <w:rsid w:val="00941730"/>
    <w:rsid w:val="009462BD"/>
    <w:rsid w:val="00951104"/>
    <w:rsid w:val="0095150B"/>
    <w:rsid w:val="00955826"/>
    <w:rsid w:val="0097644E"/>
    <w:rsid w:val="00976A64"/>
    <w:rsid w:val="009807DA"/>
    <w:rsid w:val="00985D62"/>
    <w:rsid w:val="00987971"/>
    <w:rsid w:val="009916A9"/>
    <w:rsid w:val="00993641"/>
    <w:rsid w:val="009A46C5"/>
    <w:rsid w:val="009A5146"/>
    <w:rsid w:val="009A5D07"/>
    <w:rsid w:val="009B39D0"/>
    <w:rsid w:val="009B57EB"/>
    <w:rsid w:val="009C0902"/>
    <w:rsid w:val="009C5F56"/>
    <w:rsid w:val="009D01AF"/>
    <w:rsid w:val="009D1485"/>
    <w:rsid w:val="009D25D9"/>
    <w:rsid w:val="009D6F63"/>
    <w:rsid w:val="009E183D"/>
    <w:rsid w:val="009E4D7B"/>
    <w:rsid w:val="009F1FDB"/>
    <w:rsid w:val="00A02D0C"/>
    <w:rsid w:val="00A1239C"/>
    <w:rsid w:val="00A148B9"/>
    <w:rsid w:val="00A17411"/>
    <w:rsid w:val="00A2678D"/>
    <w:rsid w:val="00A328B2"/>
    <w:rsid w:val="00A33DD0"/>
    <w:rsid w:val="00A37F7B"/>
    <w:rsid w:val="00A405F3"/>
    <w:rsid w:val="00A44427"/>
    <w:rsid w:val="00A509EB"/>
    <w:rsid w:val="00A5411C"/>
    <w:rsid w:val="00A5420C"/>
    <w:rsid w:val="00A54362"/>
    <w:rsid w:val="00A543B2"/>
    <w:rsid w:val="00A61A97"/>
    <w:rsid w:val="00A666EC"/>
    <w:rsid w:val="00A72267"/>
    <w:rsid w:val="00A75E04"/>
    <w:rsid w:val="00A76638"/>
    <w:rsid w:val="00A82842"/>
    <w:rsid w:val="00A85B3A"/>
    <w:rsid w:val="00A8680C"/>
    <w:rsid w:val="00A86B48"/>
    <w:rsid w:val="00A87B03"/>
    <w:rsid w:val="00A901F3"/>
    <w:rsid w:val="00A952F7"/>
    <w:rsid w:val="00A96CC9"/>
    <w:rsid w:val="00AA0004"/>
    <w:rsid w:val="00AA6BF6"/>
    <w:rsid w:val="00AB0778"/>
    <w:rsid w:val="00AB1770"/>
    <w:rsid w:val="00AB379D"/>
    <w:rsid w:val="00AB6133"/>
    <w:rsid w:val="00AB68DF"/>
    <w:rsid w:val="00AB7967"/>
    <w:rsid w:val="00AC02D6"/>
    <w:rsid w:val="00AC1EC5"/>
    <w:rsid w:val="00AC3709"/>
    <w:rsid w:val="00AD058F"/>
    <w:rsid w:val="00AD2A51"/>
    <w:rsid w:val="00AD7535"/>
    <w:rsid w:val="00AE2BBF"/>
    <w:rsid w:val="00AE2F6C"/>
    <w:rsid w:val="00AE32DA"/>
    <w:rsid w:val="00AE3A47"/>
    <w:rsid w:val="00AE74BE"/>
    <w:rsid w:val="00AF335C"/>
    <w:rsid w:val="00AF3BEB"/>
    <w:rsid w:val="00AF4243"/>
    <w:rsid w:val="00AF5141"/>
    <w:rsid w:val="00B017DF"/>
    <w:rsid w:val="00B046CD"/>
    <w:rsid w:val="00B1165F"/>
    <w:rsid w:val="00B13945"/>
    <w:rsid w:val="00B1534F"/>
    <w:rsid w:val="00B210FD"/>
    <w:rsid w:val="00B2325C"/>
    <w:rsid w:val="00B3152C"/>
    <w:rsid w:val="00B3217D"/>
    <w:rsid w:val="00B32E00"/>
    <w:rsid w:val="00B342EB"/>
    <w:rsid w:val="00B412AD"/>
    <w:rsid w:val="00B52963"/>
    <w:rsid w:val="00B52EEA"/>
    <w:rsid w:val="00B557C1"/>
    <w:rsid w:val="00B55883"/>
    <w:rsid w:val="00B57A88"/>
    <w:rsid w:val="00B6330E"/>
    <w:rsid w:val="00B63BA9"/>
    <w:rsid w:val="00B71408"/>
    <w:rsid w:val="00B82692"/>
    <w:rsid w:val="00B962B8"/>
    <w:rsid w:val="00B962CF"/>
    <w:rsid w:val="00BA04AC"/>
    <w:rsid w:val="00BA1F7A"/>
    <w:rsid w:val="00BA3028"/>
    <w:rsid w:val="00BA3B38"/>
    <w:rsid w:val="00BA7E3C"/>
    <w:rsid w:val="00BB3104"/>
    <w:rsid w:val="00BB690E"/>
    <w:rsid w:val="00BB78F6"/>
    <w:rsid w:val="00BC2ADA"/>
    <w:rsid w:val="00BD453B"/>
    <w:rsid w:val="00BE18BB"/>
    <w:rsid w:val="00BE21C8"/>
    <w:rsid w:val="00C052DA"/>
    <w:rsid w:val="00C06716"/>
    <w:rsid w:val="00C1276A"/>
    <w:rsid w:val="00C1401F"/>
    <w:rsid w:val="00C23DE4"/>
    <w:rsid w:val="00C275CD"/>
    <w:rsid w:val="00C3132D"/>
    <w:rsid w:val="00C41FE1"/>
    <w:rsid w:val="00C43356"/>
    <w:rsid w:val="00C4566C"/>
    <w:rsid w:val="00C60346"/>
    <w:rsid w:val="00C60AC3"/>
    <w:rsid w:val="00C61FC7"/>
    <w:rsid w:val="00C66FB8"/>
    <w:rsid w:val="00C8395F"/>
    <w:rsid w:val="00C83A8B"/>
    <w:rsid w:val="00C92459"/>
    <w:rsid w:val="00CA3534"/>
    <w:rsid w:val="00CA6163"/>
    <w:rsid w:val="00CA780E"/>
    <w:rsid w:val="00CC27A8"/>
    <w:rsid w:val="00CC3B07"/>
    <w:rsid w:val="00CC59A6"/>
    <w:rsid w:val="00CD3656"/>
    <w:rsid w:val="00CE0A19"/>
    <w:rsid w:val="00CE146F"/>
    <w:rsid w:val="00CE2C3A"/>
    <w:rsid w:val="00CF04F7"/>
    <w:rsid w:val="00CF29F0"/>
    <w:rsid w:val="00CF32C3"/>
    <w:rsid w:val="00D0155C"/>
    <w:rsid w:val="00D04BF5"/>
    <w:rsid w:val="00D04ED8"/>
    <w:rsid w:val="00D1198E"/>
    <w:rsid w:val="00D1258D"/>
    <w:rsid w:val="00D21DDA"/>
    <w:rsid w:val="00D27818"/>
    <w:rsid w:val="00D305E6"/>
    <w:rsid w:val="00D32EA8"/>
    <w:rsid w:val="00D37C32"/>
    <w:rsid w:val="00D40B7B"/>
    <w:rsid w:val="00D471B5"/>
    <w:rsid w:val="00D50AA6"/>
    <w:rsid w:val="00D534EC"/>
    <w:rsid w:val="00D61F77"/>
    <w:rsid w:val="00D633C3"/>
    <w:rsid w:val="00D72E21"/>
    <w:rsid w:val="00D76AF9"/>
    <w:rsid w:val="00D81CDF"/>
    <w:rsid w:val="00D832A6"/>
    <w:rsid w:val="00D93755"/>
    <w:rsid w:val="00D9395E"/>
    <w:rsid w:val="00D95352"/>
    <w:rsid w:val="00DA0155"/>
    <w:rsid w:val="00DA21F8"/>
    <w:rsid w:val="00DB23AE"/>
    <w:rsid w:val="00DB50F9"/>
    <w:rsid w:val="00DB5B2B"/>
    <w:rsid w:val="00DB69F6"/>
    <w:rsid w:val="00DC097E"/>
    <w:rsid w:val="00DD6131"/>
    <w:rsid w:val="00DD7442"/>
    <w:rsid w:val="00DE28D5"/>
    <w:rsid w:val="00DE51F1"/>
    <w:rsid w:val="00DE6FEE"/>
    <w:rsid w:val="00DF188F"/>
    <w:rsid w:val="00DF29CB"/>
    <w:rsid w:val="00DF7F60"/>
    <w:rsid w:val="00E0420C"/>
    <w:rsid w:val="00E10BCB"/>
    <w:rsid w:val="00E11F2F"/>
    <w:rsid w:val="00E23168"/>
    <w:rsid w:val="00E24941"/>
    <w:rsid w:val="00E25128"/>
    <w:rsid w:val="00E37E08"/>
    <w:rsid w:val="00E56CC2"/>
    <w:rsid w:val="00E617A4"/>
    <w:rsid w:val="00E61CFC"/>
    <w:rsid w:val="00E66339"/>
    <w:rsid w:val="00E824EE"/>
    <w:rsid w:val="00E87FA6"/>
    <w:rsid w:val="00E92299"/>
    <w:rsid w:val="00E9295C"/>
    <w:rsid w:val="00E943C3"/>
    <w:rsid w:val="00E95E7F"/>
    <w:rsid w:val="00EA481B"/>
    <w:rsid w:val="00EA6C22"/>
    <w:rsid w:val="00EA75DD"/>
    <w:rsid w:val="00EB7200"/>
    <w:rsid w:val="00ED43EF"/>
    <w:rsid w:val="00ED6E95"/>
    <w:rsid w:val="00EE05FB"/>
    <w:rsid w:val="00EE2B9E"/>
    <w:rsid w:val="00EF64C5"/>
    <w:rsid w:val="00F0175E"/>
    <w:rsid w:val="00F01772"/>
    <w:rsid w:val="00F07D44"/>
    <w:rsid w:val="00F11097"/>
    <w:rsid w:val="00F12647"/>
    <w:rsid w:val="00F16AF2"/>
    <w:rsid w:val="00F34EA1"/>
    <w:rsid w:val="00F40983"/>
    <w:rsid w:val="00F42A62"/>
    <w:rsid w:val="00F437CF"/>
    <w:rsid w:val="00F54E4F"/>
    <w:rsid w:val="00F6196B"/>
    <w:rsid w:val="00F64B76"/>
    <w:rsid w:val="00F66872"/>
    <w:rsid w:val="00F67A16"/>
    <w:rsid w:val="00F73490"/>
    <w:rsid w:val="00F74D10"/>
    <w:rsid w:val="00F74DA0"/>
    <w:rsid w:val="00F86656"/>
    <w:rsid w:val="00F919D7"/>
    <w:rsid w:val="00F920E6"/>
    <w:rsid w:val="00F9454E"/>
    <w:rsid w:val="00F94F67"/>
    <w:rsid w:val="00F9669B"/>
    <w:rsid w:val="00FA3968"/>
    <w:rsid w:val="00FA5D12"/>
    <w:rsid w:val="00FB03A8"/>
    <w:rsid w:val="00FC26F3"/>
    <w:rsid w:val="00FC338D"/>
    <w:rsid w:val="00FD032F"/>
    <w:rsid w:val="00FD0AED"/>
    <w:rsid w:val="00FD23CA"/>
    <w:rsid w:val="00FD3CA5"/>
    <w:rsid w:val="00FD48DF"/>
    <w:rsid w:val="00FD6036"/>
    <w:rsid w:val="00FD7D73"/>
    <w:rsid w:val="00FE6F9C"/>
    <w:rsid w:val="00FF0AFD"/>
    <w:rsid w:val="00FF2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CBBF6"/>
  <w15:chartTrackingRefBased/>
  <w15:docId w15:val="{95C62D6D-3341-48EA-94CF-5FEE6228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2C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F32C3"/>
  </w:style>
  <w:style w:type="paragraph" w:styleId="Encabezado">
    <w:name w:val="header"/>
    <w:basedOn w:val="Normal"/>
    <w:link w:val="EncabezadoCar"/>
    <w:uiPriority w:val="99"/>
    <w:rsid w:val="00CF32C3"/>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uiPriority w:val="99"/>
    <w:rsid w:val="00CF32C3"/>
    <w:rPr>
      <w:rFonts w:ascii="Arial" w:eastAsia="Times New Roman" w:hAnsi="Arial" w:cs="Times New Roman"/>
      <w:sz w:val="20"/>
      <w:szCs w:val="20"/>
      <w:lang w:val="es-ES_tradnl" w:eastAsia="es-ES"/>
    </w:rPr>
  </w:style>
  <w:style w:type="paragraph" w:styleId="Piedepgina">
    <w:name w:val="footer"/>
    <w:basedOn w:val="Normal"/>
    <w:link w:val="PiedepginaCar"/>
    <w:uiPriority w:val="99"/>
    <w:rsid w:val="00CF32C3"/>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CF32C3"/>
    <w:rPr>
      <w:rFonts w:ascii="Arial" w:eastAsia="Times New Roman" w:hAnsi="Arial" w:cs="Times New Roman"/>
      <w:sz w:val="20"/>
      <w:szCs w:val="20"/>
      <w:lang w:val="es-ES_tradnl" w:eastAsia="es-ES"/>
    </w:rPr>
  </w:style>
  <w:style w:type="paragraph" w:styleId="Prrafodelista">
    <w:name w:val="List Paragraph"/>
    <w:aliases w:val="List,Bullet List,FooterText,numbered,List Paragraph1,Paragraphe de liste1,lp1,HOJA,Bolita,Párrafo de lista4,BOLADEF,Párrafo de lista3,Párrafo de lista21,BOLA,Nivel 1 OS,Colorful List Accent 1,Colorful List - Accent 11,b1,Foot,列出段落,列出段落1"/>
    <w:basedOn w:val="Normal"/>
    <w:link w:val="PrrafodelistaCar"/>
    <w:uiPriority w:val="34"/>
    <w:qFormat/>
    <w:rsid w:val="00CF32C3"/>
    <w:pPr>
      <w:ind w:left="720"/>
      <w:contextualSpacing/>
    </w:pPr>
    <w:rPr>
      <w:rFonts w:ascii="Times New Roman" w:hAnsi="Times New Roman"/>
      <w:sz w:val="20"/>
      <w:szCs w:val="20"/>
      <w:lang w:val="es-CO" w:eastAsia="es-CO"/>
    </w:rPr>
  </w:style>
  <w:style w:type="character" w:customStyle="1" w:styleId="PrrafodelistaCar">
    <w:name w:val="Párrafo de lista Car"/>
    <w:aliases w:val="List Car,Bullet List Car,FooterText Car,numbered Car,List Paragraph1 Car,Paragraphe de liste1 Car,lp1 Car,HOJA Car,Bolita Car,Párrafo de lista4 Car,BOLADEF Car,Párrafo de lista3 Car,Párrafo de lista21 Car,BOLA Car,Nivel 1 OS Car"/>
    <w:basedOn w:val="Fuentedeprrafopredeter"/>
    <w:link w:val="Prrafodelista"/>
    <w:uiPriority w:val="34"/>
    <w:qFormat/>
    <w:rsid w:val="00CF32C3"/>
    <w:rPr>
      <w:rFonts w:ascii="Times New Roman" w:eastAsia="Times New Roman" w:hAnsi="Times New Roman" w:cs="Times New Roman"/>
      <w:sz w:val="20"/>
      <w:szCs w:val="20"/>
      <w:lang w:eastAsia="es-CO"/>
    </w:rPr>
  </w:style>
  <w:style w:type="paragraph" w:styleId="Textocomentario">
    <w:name w:val="annotation text"/>
    <w:basedOn w:val="Normal"/>
    <w:link w:val="TextocomentarioCar"/>
    <w:uiPriority w:val="99"/>
    <w:rsid w:val="00CF32C3"/>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CF32C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unhideWhenUsed/>
    <w:rsid w:val="00CF32C3"/>
    <w:rPr>
      <w:sz w:val="16"/>
      <w:szCs w:val="16"/>
    </w:rPr>
  </w:style>
  <w:style w:type="paragraph" w:styleId="Textonotapie">
    <w:name w:val="footnote text"/>
    <w:aliases w:val="Texto nota pie Car Car Car,FOOTNOTES,fn,single space,Footnote Text Char Char Char,Footnote Text1 Char,Footnote Text2,Footnote Text Char Char Char1 Char,Footnote Text Char Char Char1,ft,ADB,Footnote Text Quo,Footnote Text Char Char,FA Fu,F"/>
    <w:basedOn w:val="Normal"/>
    <w:link w:val="TextonotapieCar"/>
    <w:uiPriority w:val="99"/>
    <w:unhideWhenUsed/>
    <w:qFormat/>
    <w:rsid w:val="00CF32C3"/>
    <w:rPr>
      <w:rFonts w:asciiTheme="minorHAnsi" w:eastAsiaTheme="minorHAnsi" w:hAnsiTheme="minorHAnsi" w:cstheme="minorBidi"/>
      <w:kern w:val="2"/>
      <w:sz w:val="20"/>
      <w:szCs w:val="20"/>
      <w:lang w:val="es-CO" w:eastAsia="en-US"/>
    </w:rPr>
  </w:style>
  <w:style w:type="character" w:customStyle="1" w:styleId="TextonotapieCar">
    <w:name w:val="Texto nota pie Car"/>
    <w:aliases w:val="Texto nota pie Car Car Car Car,FOOTNOTES Car,fn Car,single space Car,Footnote Text Char Char Char Car,Footnote Text1 Char Car,Footnote Text2 Car,Footnote Text Char Char Char1 Char Car,Footnote Text Char Char Char1 Car,ft Car,ADB Car"/>
    <w:basedOn w:val="Fuentedeprrafopredeter"/>
    <w:link w:val="Textonotapie"/>
    <w:uiPriority w:val="99"/>
    <w:qFormat/>
    <w:rsid w:val="00CF32C3"/>
    <w:rPr>
      <w:kern w:val="2"/>
      <w:sz w:val="20"/>
      <w:szCs w:val="20"/>
    </w:rPr>
  </w:style>
  <w:style w:type="character" w:styleId="Refdenotaalpie">
    <w:name w:val="footnote reference"/>
    <w:aliases w:val="referencia nota al pie,Nota a pie,Ref. de nota al pie 2,Footnote symbol,Footnote,Char Car Car Car Ca,Texto de nota al pie,BVI fnr,Texto nota al pie,Appel note de bas de page,Ref. de nota al pie2,Nota de pie,Ref,de nota al pie,f,4_G,o"/>
    <w:basedOn w:val="Fuentedeprrafopredeter"/>
    <w:link w:val="Char2"/>
    <w:uiPriority w:val="99"/>
    <w:unhideWhenUsed/>
    <w:qFormat/>
    <w:rsid w:val="00CF32C3"/>
    <w:rPr>
      <w:vertAlign w:val="superscript"/>
    </w:rPr>
  </w:style>
  <w:style w:type="paragraph" w:styleId="Revisin">
    <w:name w:val="Revision"/>
    <w:hidden/>
    <w:uiPriority w:val="99"/>
    <w:semiHidden/>
    <w:rsid w:val="00FB03A8"/>
    <w:pPr>
      <w:spacing w:after="0" w:line="240" w:lineRule="auto"/>
    </w:pPr>
    <w:rPr>
      <w:rFonts w:ascii="Arial" w:eastAsia="Times New Roman" w:hAnsi="Arial"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303EC"/>
    <w:rPr>
      <w:rFonts w:ascii="Arial" w:hAnsi="Arial"/>
      <w:b/>
      <w:bCs/>
    </w:rPr>
  </w:style>
  <w:style w:type="character" w:customStyle="1" w:styleId="AsuntodelcomentarioCar">
    <w:name w:val="Asunto del comentario Car"/>
    <w:basedOn w:val="TextocomentarioCar"/>
    <w:link w:val="Asuntodelcomentario"/>
    <w:uiPriority w:val="99"/>
    <w:semiHidden/>
    <w:rsid w:val="006303EC"/>
    <w:rPr>
      <w:rFonts w:ascii="Arial" w:eastAsia="Times New Roman" w:hAnsi="Arial" w:cs="Times New Roman"/>
      <w:b/>
      <w:bCs/>
      <w:sz w:val="20"/>
      <w:szCs w:val="20"/>
      <w:lang w:val="es-ES" w:eastAsia="es-ES"/>
    </w:rPr>
  </w:style>
  <w:style w:type="paragraph" w:styleId="Textoindependiente">
    <w:name w:val="Body Text"/>
    <w:basedOn w:val="Normal"/>
    <w:link w:val="TextoindependienteCar"/>
    <w:uiPriority w:val="1"/>
    <w:qFormat/>
    <w:rsid w:val="009065D8"/>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9065D8"/>
    <w:rPr>
      <w:rFonts w:ascii="Arial MT" w:eastAsia="Arial MT" w:hAnsi="Arial MT" w:cs="Arial MT"/>
      <w:lang w:val="es-ES"/>
    </w:rPr>
  </w:style>
  <w:style w:type="paragraph" w:customStyle="1" w:styleId="Char2">
    <w:name w:val="Char2"/>
    <w:basedOn w:val="Normal"/>
    <w:link w:val="Refdenotaalpie"/>
    <w:uiPriority w:val="99"/>
    <w:qFormat/>
    <w:rsid w:val="009065D8"/>
    <w:pPr>
      <w:spacing w:after="160" w:line="240" w:lineRule="exact"/>
    </w:pPr>
    <w:rPr>
      <w:rFonts w:asciiTheme="minorHAnsi" w:eastAsiaTheme="minorHAnsi" w:hAnsiTheme="minorHAnsi" w:cstheme="minorBidi"/>
      <w:sz w:val="22"/>
      <w:szCs w:val="22"/>
      <w:vertAlign w:val="superscript"/>
      <w:lang w:val="es-CO" w:eastAsia="en-US"/>
    </w:rPr>
  </w:style>
  <w:style w:type="character" w:styleId="Hipervnculo">
    <w:name w:val="Hyperlink"/>
    <w:basedOn w:val="Fuentedeprrafopredeter"/>
    <w:uiPriority w:val="99"/>
    <w:unhideWhenUsed/>
    <w:rsid w:val="00662E8D"/>
    <w:rPr>
      <w:color w:val="0563C1" w:themeColor="hyperlink"/>
      <w:u w:val="single"/>
    </w:rPr>
  </w:style>
  <w:style w:type="character" w:styleId="Mencinsinresolver">
    <w:name w:val="Unresolved Mention"/>
    <w:basedOn w:val="Fuentedeprrafopredeter"/>
    <w:uiPriority w:val="99"/>
    <w:semiHidden/>
    <w:unhideWhenUsed/>
    <w:rsid w:val="00662E8D"/>
    <w:rPr>
      <w:color w:val="605E5C"/>
      <w:shd w:val="clear" w:color="auto" w:fill="E1DFDD"/>
    </w:rPr>
  </w:style>
  <w:style w:type="table" w:styleId="Tablaconcuadrcula">
    <w:name w:val="Table Grid"/>
    <w:basedOn w:val="Tablanormal"/>
    <w:uiPriority w:val="39"/>
    <w:rsid w:val="00226D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627807">
      <w:bodyDiv w:val="1"/>
      <w:marLeft w:val="0"/>
      <w:marRight w:val="0"/>
      <w:marTop w:val="0"/>
      <w:marBottom w:val="0"/>
      <w:divBdr>
        <w:top w:val="none" w:sz="0" w:space="0" w:color="auto"/>
        <w:left w:val="none" w:sz="0" w:space="0" w:color="auto"/>
        <w:bottom w:val="none" w:sz="0" w:space="0" w:color="auto"/>
        <w:right w:val="none" w:sz="0" w:space="0" w:color="auto"/>
      </w:divBdr>
    </w:div>
    <w:div w:id="899249425">
      <w:bodyDiv w:val="1"/>
      <w:marLeft w:val="0"/>
      <w:marRight w:val="0"/>
      <w:marTop w:val="0"/>
      <w:marBottom w:val="0"/>
      <w:divBdr>
        <w:top w:val="none" w:sz="0" w:space="0" w:color="auto"/>
        <w:left w:val="none" w:sz="0" w:space="0" w:color="auto"/>
        <w:bottom w:val="none" w:sz="0" w:space="0" w:color="auto"/>
        <w:right w:val="none" w:sz="0" w:space="0" w:color="auto"/>
      </w:divBdr>
    </w:div>
    <w:div w:id="924610268">
      <w:bodyDiv w:val="1"/>
      <w:marLeft w:val="0"/>
      <w:marRight w:val="0"/>
      <w:marTop w:val="0"/>
      <w:marBottom w:val="0"/>
      <w:divBdr>
        <w:top w:val="none" w:sz="0" w:space="0" w:color="auto"/>
        <w:left w:val="none" w:sz="0" w:space="0" w:color="auto"/>
        <w:bottom w:val="none" w:sz="0" w:space="0" w:color="auto"/>
        <w:right w:val="none" w:sz="0" w:space="0" w:color="auto"/>
      </w:divBdr>
    </w:div>
    <w:div w:id="1348559227">
      <w:bodyDiv w:val="1"/>
      <w:marLeft w:val="0"/>
      <w:marRight w:val="0"/>
      <w:marTop w:val="0"/>
      <w:marBottom w:val="0"/>
      <w:divBdr>
        <w:top w:val="none" w:sz="0" w:space="0" w:color="auto"/>
        <w:left w:val="none" w:sz="0" w:space="0" w:color="auto"/>
        <w:bottom w:val="none" w:sz="0" w:space="0" w:color="auto"/>
        <w:right w:val="none" w:sz="0" w:space="0" w:color="auto"/>
      </w:divBdr>
    </w:div>
    <w:div w:id="1609896602">
      <w:bodyDiv w:val="1"/>
      <w:marLeft w:val="0"/>
      <w:marRight w:val="0"/>
      <w:marTop w:val="0"/>
      <w:marBottom w:val="0"/>
      <w:divBdr>
        <w:top w:val="none" w:sz="0" w:space="0" w:color="auto"/>
        <w:left w:val="none" w:sz="0" w:space="0" w:color="auto"/>
        <w:bottom w:val="none" w:sz="0" w:space="0" w:color="auto"/>
        <w:right w:val="none" w:sz="0" w:space="0" w:color="auto"/>
      </w:divBdr>
    </w:div>
    <w:div w:id="1780366989">
      <w:bodyDiv w:val="1"/>
      <w:marLeft w:val="0"/>
      <w:marRight w:val="0"/>
      <w:marTop w:val="0"/>
      <w:marBottom w:val="0"/>
      <w:divBdr>
        <w:top w:val="none" w:sz="0" w:space="0" w:color="auto"/>
        <w:left w:val="none" w:sz="0" w:space="0" w:color="auto"/>
        <w:bottom w:val="none" w:sz="0" w:space="0" w:color="auto"/>
        <w:right w:val="none" w:sz="0" w:space="0" w:color="auto"/>
      </w:divBdr>
    </w:div>
    <w:div w:id="1820802910">
      <w:bodyDiv w:val="1"/>
      <w:marLeft w:val="0"/>
      <w:marRight w:val="0"/>
      <w:marTop w:val="0"/>
      <w:marBottom w:val="0"/>
      <w:divBdr>
        <w:top w:val="none" w:sz="0" w:space="0" w:color="auto"/>
        <w:left w:val="none" w:sz="0" w:space="0" w:color="auto"/>
        <w:bottom w:val="none" w:sz="0" w:space="0" w:color="auto"/>
        <w:right w:val="none" w:sz="0" w:space="0" w:color="auto"/>
      </w:divBdr>
    </w:div>
    <w:div w:id="2072075435">
      <w:bodyDiv w:val="1"/>
      <w:marLeft w:val="0"/>
      <w:marRight w:val="0"/>
      <w:marTop w:val="0"/>
      <w:marBottom w:val="0"/>
      <w:divBdr>
        <w:top w:val="none" w:sz="0" w:space="0" w:color="auto"/>
        <w:left w:val="none" w:sz="0" w:space="0" w:color="auto"/>
        <w:bottom w:val="none" w:sz="0" w:space="0" w:color="auto"/>
        <w:right w:val="none" w:sz="0" w:space="0" w:color="auto"/>
      </w:divBdr>
    </w:div>
    <w:div w:id="21409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BC5C5-34C8-4B10-A2AF-17BE4ED9F899}">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2.xml><?xml version="1.0" encoding="utf-8"?>
<ds:datastoreItem xmlns:ds="http://schemas.openxmlformats.org/officeDocument/2006/customXml" ds:itemID="{E0B6A94F-6210-4445-AA89-45EEAFA1E2D0}">
  <ds:schemaRefs>
    <ds:schemaRef ds:uri="http://schemas.openxmlformats.org/officeDocument/2006/bibliography"/>
  </ds:schemaRefs>
</ds:datastoreItem>
</file>

<file path=customXml/itemProps3.xml><?xml version="1.0" encoding="utf-8"?>
<ds:datastoreItem xmlns:ds="http://schemas.openxmlformats.org/officeDocument/2006/customXml" ds:itemID="{733E348B-EA3B-4D6C-A5B8-E7BAB9DEC04F}"/>
</file>

<file path=customXml/itemProps4.xml><?xml version="1.0" encoding="utf-8"?>
<ds:datastoreItem xmlns:ds="http://schemas.openxmlformats.org/officeDocument/2006/customXml" ds:itemID="{5F882897-3595-485F-9912-C066638E256C}">
  <ds:schemaRefs>
    <ds:schemaRef ds:uri="http://schemas.microsoft.com/sharepoint/v3/contenttype/forms"/>
  </ds:schemaRefs>
</ds:datastoreItem>
</file>

<file path=customXml/itemProps5.xml><?xml version="1.0" encoding="utf-8"?>
<ds:datastoreItem xmlns:ds="http://schemas.openxmlformats.org/officeDocument/2006/customXml" ds:itemID="{7700EB85-90DA-4D4D-AFFD-F19C19F1C5E3}"/>
</file>

<file path=docProps/app.xml><?xml version="1.0" encoding="utf-8"?>
<Properties xmlns="http://schemas.openxmlformats.org/officeDocument/2006/extended-properties" xmlns:vt="http://schemas.openxmlformats.org/officeDocument/2006/docPropsVTypes">
  <Template>Normal</Template>
  <TotalTime>1</TotalTime>
  <Pages>4</Pages>
  <Words>1988</Words>
  <Characters>10934</Characters>
  <Application>Microsoft Office Word</Application>
  <DocSecurity>4</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ISABEL BAZAN ALDANA</dc:creator>
  <cp:keywords/>
  <dc:description/>
  <cp:lastModifiedBy>Arturo Mario Martinez Arteta</cp:lastModifiedBy>
  <cp:revision>2</cp:revision>
  <dcterms:created xsi:type="dcterms:W3CDTF">2026-02-24T00:52:00Z</dcterms:created>
  <dcterms:modified xsi:type="dcterms:W3CDTF">2026-02-24T00:52:00Z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y fmtid="{D5CDD505-2E9C-101B-9397-08002B2CF9AE}" pid="3" name="MediaServiceImageTags">
    <vt:lpwstr/>
  </property>
</Properties>
</file>