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5B51" w14:textId="77777777" w:rsidR="007C5C0B" w:rsidRPr="005D659A" w:rsidRDefault="007C5C0B" w:rsidP="0094007D">
      <w:pPr>
        <w:jc w:val="center"/>
        <w:rPr>
          <w:rFonts w:ascii="Arial Narrow" w:hAnsi="Arial Narrow" w:cs="Arial"/>
          <w:i/>
          <w:iCs/>
          <w:sz w:val="22"/>
          <w:szCs w:val="22"/>
        </w:rPr>
      </w:pPr>
      <w:bookmarkStart w:id="0" w:name="_Hlk172127841"/>
    </w:p>
    <w:p w14:paraId="6BE1A171" w14:textId="7887F42C" w:rsidR="00CF32C3" w:rsidRPr="005D659A" w:rsidRDefault="00CF32C3" w:rsidP="0094007D">
      <w:pPr>
        <w:jc w:val="center"/>
        <w:rPr>
          <w:rFonts w:ascii="Arial Narrow" w:hAnsi="Arial Narrow" w:cs="Arial"/>
          <w:i/>
          <w:iCs/>
          <w:sz w:val="22"/>
          <w:szCs w:val="22"/>
        </w:rPr>
      </w:pPr>
      <w:r w:rsidRPr="005D659A">
        <w:rPr>
          <w:rFonts w:ascii="Arial Narrow" w:hAnsi="Arial Narrow" w:cs="Arial"/>
          <w:i/>
          <w:iCs/>
          <w:sz w:val="22"/>
          <w:szCs w:val="22"/>
        </w:rPr>
        <w:t>“Por la cual se modifica</w:t>
      </w:r>
      <w:r w:rsidR="00F07D44" w:rsidRPr="005D659A">
        <w:rPr>
          <w:rFonts w:ascii="Arial Narrow" w:hAnsi="Arial Narrow" w:cs="Arial"/>
          <w:i/>
          <w:iCs/>
          <w:sz w:val="22"/>
          <w:szCs w:val="22"/>
        </w:rPr>
        <w:t xml:space="preserve"> el</w:t>
      </w:r>
      <w:r w:rsidR="00766FB2" w:rsidRPr="005D659A">
        <w:rPr>
          <w:rFonts w:ascii="Arial Narrow" w:hAnsi="Arial Narrow" w:cs="Arial"/>
          <w:i/>
          <w:iCs/>
          <w:sz w:val="22"/>
          <w:szCs w:val="22"/>
        </w:rPr>
        <w:t xml:space="preserve"> </w:t>
      </w:r>
      <w:r w:rsidR="002527B7" w:rsidRPr="005D659A">
        <w:rPr>
          <w:rFonts w:ascii="Arial Narrow" w:hAnsi="Arial Narrow" w:cs="Arial"/>
          <w:i/>
          <w:iCs/>
          <w:sz w:val="22"/>
          <w:szCs w:val="22"/>
        </w:rPr>
        <w:t>artículo</w:t>
      </w:r>
      <w:r w:rsidR="00227828" w:rsidRPr="005D659A">
        <w:rPr>
          <w:rFonts w:ascii="Arial Narrow" w:hAnsi="Arial Narrow" w:cs="Arial"/>
          <w:i/>
          <w:iCs/>
          <w:sz w:val="22"/>
          <w:szCs w:val="22"/>
        </w:rPr>
        <w:t xml:space="preserve"> </w:t>
      </w:r>
      <w:r w:rsidR="002F2F64" w:rsidRPr="005D659A">
        <w:rPr>
          <w:rFonts w:ascii="Arial Narrow" w:hAnsi="Arial Narrow" w:cs="Arial"/>
          <w:i/>
          <w:iCs/>
          <w:sz w:val="22"/>
          <w:szCs w:val="22"/>
        </w:rPr>
        <w:t>44</w:t>
      </w:r>
      <w:r w:rsidRPr="005D659A">
        <w:rPr>
          <w:rFonts w:ascii="Arial Narrow" w:hAnsi="Arial Narrow" w:cs="Arial"/>
          <w:i/>
          <w:iCs/>
          <w:sz w:val="22"/>
          <w:szCs w:val="22"/>
        </w:rPr>
        <w:t xml:space="preserve"> de la Resolución 2319 de 2024</w:t>
      </w:r>
      <w:r w:rsidR="00227828" w:rsidRPr="005D659A">
        <w:rPr>
          <w:rFonts w:ascii="Arial Narrow" w:hAnsi="Arial Narrow" w:cs="Arial"/>
          <w:i/>
          <w:iCs/>
          <w:sz w:val="22"/>
          <w:szCs w:val="22"/>
        </w:rPr>
        <w:t>,</w:t>
      </w:r>
      <w:r w:rsidR="002527B7" w:rsidRPr="005D659A">
        <w:rPr>
          <w:rFonts w:ascii="Arial Narrow" w:hAnsi="Arial Narrow" w:cs="Arial"/>
          <w:i/>
          <w:iCs/>
          <w:sz w:val="22"/>
          <w:szCs w:val="22"/>
        </w:rPr>
        <w:t xml:space="preserve"> modificad</w:t>
      </w:r>
      <w:r w:rsidR="00650047" w:rsidRPr="005D659A">
        <w:rPr>
          <w:rFonts w:ascii="Arial Narrow" w:hAnsi="Arial Narrow" w:cs="Arial"/>
          <w:i/>
          <w:iCs/>
          <w:sz w:val="22"/>
          <w:szCs w:val="22"/>
        </w:rPr>
        <w:t>o</w:t>
      </w:r>
      <w:r w:rsidR="002527B7" w:rsidRPr="005D659A">
        <w:rPr>
          <w:rFonts w:ascii="Arial Narrow" w:hAnsi="Arial Narrow" w:cs="Arial"/>
          <w:i/>
          <w:iCs/>
          <w:sz w:val="22"/>
          <w:szCs w:val="22"/>
        </w:rPr>
        <w:t xml:space="preserve"> por</w:t>
      </w:r>
      <w:r w:rsidR="00650047" w:rsidRPr="005D659A">
        <w:rPr>
          <w:rFonts w:ascii="Arial Narrow" w:hAnsi="Arial Narrow" w:cs="Arial"/>
          <w:i/>
          <w:iCs/>
          <w:sz w:val="22"/>
          <w:szCs w:val="22"/>
        </w:rPr>
        <w:t xml:space="preserve"> el artículo 2 de la </w:t>
      </w:r>
      <w:r w:rsidR="004944CA" w:rsidRPr="005D659A">
        <w:rPr>
          <w:rFonts w:ascii="Arial Narrow" w:hAnsi="Arial Narrow" w:cs="Arial"/>
          <w:i/>
          <w:iCs/>
          <w:sz w:val="22"/>
          <w:szCs w:val="22"/>
        </w:rPr>
        <w:t>R</w:t>
      </w:r>
      <w:r w:rsidR="000A5BCC" w:rsidRPr="005D659A">
        <w:rPr>
          <w:rFonts w:ascii="Arial Narrow" w:hAnsi="Arial Narrow" w:cs="Arial"/>
          <w:i/>
          <w:iCs/>
          <w:sz w:val="22"/>
          <w:szCs w:val="22"/>
        </w:rPr>
        <w:t>esolución 950 de 2025</w:t>
      </w:r>
      <w:r w:rsidRPr="005D659A">
        <w:rPr>
          <w:rFonts w:ascii="Arial Narrow" w:hAnsi="Arial Narrow" w:cs="Arial"/>
          <w:i/>
          <w:iCs/>
          <w:sz w:val="22"/>
          <w:szCs w:val="22"/>
        </w:rPr>
        <w:t>”</w:t>
      </w:r>
    </w:p>
    <w:p w14:paraId="49FB4FC8" w14:textId="77777777" w:rsidR="00CF32C3" w:rsidRPr="005D659A" w:rsidRDefault="00CF32C3" w:rsidP="0094007D">
      <w:pPr>
        <w:jc w:val="both"/>
        <w:rPr>
          <w:rFonts w:ascii="Arial Narrow" w:hAnsi="Arial Narrow" w:cs="Arial"/>
          <w:sz w:val="22"/>
          <w:szCs w:val="22"/>
        </w:rPr>
      </w:pPr>
    </w:p>
    <w:p w14:paraId="0D09C3B6" w14:textId="77777777" w:rsidR="00025E6F" w:rsidRPr="005D659A" w:rsidRDefault="00025E6F" w:rsidP="0094007D">
      <w:pPr>
        <w:jc w:val="center"/>
        <w:rPr>
          <w:rFonts w:ascii="Arial Narrow" w:hAnsi="Arial Narrow" w:cs="Arial"/>
          <w:b/>
          <w:bCs/>
          <w:sz w:val="22"/>
          <w:szCs w:val="22"/>
        </w:rPr>
      </w:pPr>
    </w:p>
    <w:p w14:paraId="4930936F" w14:textId="67C1B355" w:rsidR="00CF32C3" w:rsidRPr="005D659A" w:rsidRDefault="00CF32C3" w:rsidP="0094007D">
      <w:pPr>
        <w:jc w:val="center"/>
        <w:rPr>
          <w:rFonts w:ascii="Arial Narrow" w:hAnsi="Arial Narrow" w:cs="Arial"/>
          <w:b/>
          <w:bCs/>
          <w:sz w:val="22"/>
          <w:szCs w:val="22"/>
        </w:rPr>
      </w:pPr>
      <w:r w:rsidRPr="005D659A">
        <w:rPr>
          <w:rFonts w:ascii="Arial Narrow" w:hAnsi="Arial Narrow" w:cs="Arial"/>
          <w:b/>
          <w:bCs/>
          <w:sz w:val="22"/>
          <w:szCs w:val="22"/>
        </w:rPr>
        <w:t>LA DIRECTORA GENERAL DE LA AGENCIA PARA LA REINCORPORACIÓN Y LA NORMALIZACIÓN</w:t>
      </w:r>
    </w:p>
    <w:p w14:paraId="6794D2C0" w14:textId="77777777" w:rsidR="00CF32C3" w:rsidRPr="005D659A" w:rsidRDefault="00CF32C3" w:rsidP="0094007D">
      <w:pPr>
        <w:jc w:val="both"/>
        <w:rPr>
          <w:rFonts w:ascii="Arial Narrow" w:hAnsi="Arial Narrow" w:cs="Arial"/>
          <w:sz w:val="22"/>
          <w:szCs w:val="22"/>
        </w:rPr>
      </w:pPr>
    </w:p>
    <w:p w14:paraId="558DF0E8" w14:textId="77777777" w:rsidR="00025E6F" w:rsidRPr="005D659A" w:rsidRDefault="00025E6F" w:rsidP="0094007D">
      <w:pPr>
        <w:jc w:val="center"/>
        <w:rPr>
          <w:rFonts w:ascii="Arial Narrow" w:hAnsi="Arial Narrow" w:cs="Arial"/>
          <w:sz w:val="22"/>
          <w:szCs w:val="22"/>
        </w:rPr>
      </w:pPr>
    </w:p>
    <w:p w14:paraId="53661040" w14:textId="6BEC1024" w:rsidR="00CF32C3" w:rsidRPr="005D659A" w:rsidRDefault="00CF32C3" w:rsidP="0094007D">
      <w:pPr>
        <w:jc w:val="center"/>
        <w:rPr>
          <w:rFonts w:ascii="Arial Narrow" w:hAnsi="Arial Narrow" w:cs="Arial"/>
          <w:sz w:val="22"/>
          <w:szCs w:val="22"/>
        </w:rPr>
      </w:pPr>
      <w:r w:rsidRPr="005D659A">
        <w:rPr>
          <w:rFonts w:ascii="Arial Narrow" w:hAnsi="Arial Narrow" w:cs="Arial"/>
          <w:sz w:val="22"/>
          <w:szCs w:val="22"/>
        </w:rPr>
        <w:t>En ejercicio de sus facultades legales y reglamentarias, en especial, las conferidas por el numeral 2 del artículo 5 del Decreto Ley 4138 de 2011, los artículos 2.3.2.4.1.; 2.3.2.6.4., 2.3.2.6.5., 2.3.2.6.6., 2.3.2.6.7., 2.3.2.6.1.1.; 2.3.2.6.1.3.; 2.3.2.6.1.7 del Decreto 1081 de 2015 adicionados por los artículos 1 del Decreto 1363 de 2018 y 2 del Decreto 846 de 2024 y en desarrollo del artículo 20 de la Ley 2294 de 2023, y</w:t>
      </w:r>
    </w:p>
    <w:p w14:paraId="0D8A54CC" w14:textId="77777777" w:rsidR="00CF32C3" w:rsidRPr="005D659A" w:rsidRDefault="00CF32C3" w:rsidP="0094007D">
      <w:pPr>
        <w:jc w:val="both"/>
        <w:rPr>
          <w:rFonts w:ascii="Arial Narrow" w:hAnsi="Arial Narrow" w:cs="Arial"/>
          <w:sz w:val="22"/>
          <w:szCs w:val="22"/>
        </w:rPr>
      </w:pPr>
    </w:p>
    <w:p w14:paraId="172DA200" w14:textId="77777777" w:rsidR="00025E6F" w:rsidRPr="005D659A" w:rsidRDefault="00025E6F" w:rsidP="0094007D">
      <w:pPr>
        <w:jc w:val="center"/>
        <w:rPr>
          <w:rFonts w:ascii="Arial Narrow" w:hAnsi="Arial Narrow" w:cs="Arial"/>
          <w:b/>
          <w:bCs/>
          <w:sz w:val="22"/>
          <w:szCs w:val="22"/>
        </w:rPr>
      </w:pPr>
    </w:p>
    <w:p w14:paraId="5715ABCC" w14:textId="415FE6FF" w:rsidR="00CF32C3" w:rsidRPr="005D659A" w:rsidRDefault="00CF32C3" w:rsidP="0094007D">
      <w:pPr>
        <w:jc w:val="center"/>
        <w:rPr>
          <w:rFonts w:ascii="Arial Narrow" w:hAnsi="Arial Narrow" w:cs="Arial"/>
          <w:b/>
          <w:bCs/>
          <w:sz w:val="22"/>
          <w:szCs w:val="22"/>
        </w:rPr>
      </w:pPr>
      <w:r w:rsidRPr="005D659A">
        <w:rPr>
          <w:rFonts w:ascii="Arial Narrow" w:hAnsi="Arial Narrow" w:cs="Arial"/>
          <w:b/>
          <w:bCs/>
          <w:sz w:val="22"/>
          <w:szCs w:val="22"/>
        </w:rPr>
        <w:t>CONSIDERANDO</w:t>
      </w:r>
    </w:p>
    <w:p w14:paraId="5F35684B" w14:textId="77777777" w:rsidR="00CF32C3" w:rsidRPr="005D659A" w:rsidRDefault="00CF32C3" w:rsidP="0094007D">
      <w:pPr>
        <w:jc w:val="both"/>
        <w:rPr>
          <w:rFonts w:ascii="Arial Narrow" w:hAnsi="Arial Narrow"/>
          <w:sz w:val="22"/>
          <w:szCs w:val="22"/>
          <w:lang w:val="es-MX"/>
        </w:rPr>
      </w:pPr>
    </w:p>
    <w:p w14:paraId="14997D87" w14:textId="77777777" w:rsidR="00025E6F" w:rsidRPr="005D659A" w:rsidRDefault="00025E6F" w:rsidP="0094007D">
      <w:pPr>
        <w:jc w:val="both"/>
        <w:rPr>
          <w:rFonts w:ascii="Arial Narrow" w:hAnsi="Arial Narrow"/>
          <w:sz w:val="22"/>
          <w:szCs w:val="22"/>
          <w:lang w:val="es-MX"/>
        </w:rPr>
      </w:pPr>
    </w:p>
    <w:p w14:paraId="5A889002" w14:textId="201ADB70" w:rsidR="00F20ECF" w:rsidRPr="005D659A" w:rsidRDefault="00F20ECF" w:rsidP="0094007D">
      <w:pPr>
        <w:jc w:val="both"/>
        <w:rPr>
          <w:rFonts w:ascii="Arial Narrow" w:hAnsi="Arial Narrow"/>
          <w:sz w:val="22"/>
          <w:szCs w:val="22"/>
          <w:lang w:val="es-CO"/>
        </w:rPr>
      </w:pPr>
      <w:r w:rsidRPr="005D659A">
        <w:rPr>
          <w:rFonts w:ascii="Arial Narrow" w:hAnsi="Arial Narrow"/>
          <w:sz w:val="22"/>
          <w:szCs w:val="22"/>
          <w:lang w:val="es-MX"/>
        </w:rPr>
        <w:t xml:space="preserve">Que el </w:t>
      </w:r>
      <w:r w:rsidR="002B228A" w:rsidRPr="005D659A">
        <w:rPr>
          <w:rFonts w:ascii="Arial Narrow" w:hAnsi="Arial Narrow"/>
          <w:sz w:val="22"/>
          <w:szCs w:val="22"/>
          <w:lang w:val="es-MX"/>
        </w:rPr>
        <w:t>b</w:t>
      </w:r>
      <w:r w:rsidRPr="005D659A">
        <w:rPr>
          <w:rFonts w:ascii="Arial Narrow" w:hAnsi="Arial Narrow"/>
          <w:sz w:val="22"/>
          <w:szCs w:val="22"/>
          <w:lang w:val="es-MX"/>
        </w:rPr>
        <w:t xml:space="preserve">eneficio económico de la </w:t>
      </w:r>
      <w:r w:rsidR="002B228A" w:rsidRPr="005D659A">
        <w:rPr>
          <w:rFonts w:ascii="Arial Narrow" w:hAnsi="Arial Narrow"/>
          <w:sz w:val="22"/>
          <w:szCs w:val="22"/>
          <w:lang w:val="es-MX"/>
        </w:rPr>
        <w:t>R</w:t>
      </w:r>
      <w:r w:rsidRPr="005D659A">
        <w:rPr>
          <w:rFonts w:ascii="Arial Narrow" w:hAnsi="Arial Narrow"/>
          <w:sz w:val="22"/>
          <w:szCs w:val="22"/>
          <w:lang w:val="es-MX"/>
        </w:rPr>
        <w:t xml:space="preserve">enta </w:t>
      </w:r>
      <w:r w:rsidR="002B228A" w:rsidRPr="005D659A">
        <w:rPr>
          <w:rFonts w:ascii="Arial Narrow" w:hAnsi="Arial Narrow"/>
          <w:sz w:val="22"/>
          <w:szCs w:val="22"/>
          <w:lang w:val="es-MX"/>
        </w:rPr>
        <w:t>B</w:t>
      </w:r>
      <w:r w:rsidRPr="005D659A">
        <w:rPr>
          <w:rFonts w:ascii="Arial Narrow" w:hAnsi="Arial Narrow"/>
          <w:sz w:val="22"/>
          <w:szCs w:val="22"/>
          <w:lang w:val="es-MX"/>
        </w:rPr>
        <w:t xml:space="preserve">ásica creado en el artículo </w:t>
      </w:r>
      <w:r w:rsidRPr="005D659A">
        <w:rPr>
          <w:rFonts w:ascii="Arial Narrow" w:hAnsi="Arial Narrow"/>
          <w:sz w:val="22"/>
          <w:szCs w:val="22"/>
          <w:lang w:val="es-CO"/>
        </w:rPr>
        <w:t xml:space="preserve">8° del Decreto Ley 899 de 2017 fue </w:t>
      </w:r>
      <w:proofErr w:type="gramStart"/>
      <w:r w:rsidRPr="005D659A">
        <w:rPr>
          <w:rFonts w:ascii="Arial Narrow" w:hAnsi="Arial Narrow"/>
          <w:sz w:val="22"/>
          <w:szCs w:val="22"/>
          <w:lang w:val="es-CO"/>
        </w:rPr>
        <w:t>modificado</w:t>
      </w:r>
      <w:r w:rsidR="0094007D" w:rsidRPr="005D659A">
        <w:rPr>
          <w:rFonts w:ascii="Arial Narrow" w:hAnsi="Arial Narrow"/>
          <w:sz w:val="22"/>
          <w:szCs w:val="22"/>
          <w:lang w:val="es-CO"/>
        </w:rPr>
        <w:t xml:space="preserve"> </w:t>
      </w:r>
      <w:r w:rsidRPr="005D659A">
        <w:rPr>
          <w:rFonts w:ascii="Arial Narrow" w:hAnsi="Arial Narrow"/>
          <w:sz w:val="22"/>
          <w:szCs w:val="22"/>
          <w:lang w:val="es-MX"/>
        </w:rPr>
        <w:t xml:space="preserve"> mediante</w:t>
      </w:r>
      <w:proofErr w:type="gramEnd"/>
      <w:r w:rsidRPr="005D659A">
        <w:rPr>
          <w:rFonts w:ascii="Arial Narrow" w:hAnsi="Arial Narrow"/>
          <w:sz w:val="22"/>
          <w:szCs w:val="22"/>
          <w:lang w:val="es-MX"/>
        </w:rPr>
        <w:t xml:space="preserve">  </w:t>
      </w:r>
      <w:r w:rsidRPr="005D659A">
        <w:rPr>
          <w:rFonts w:ascii="Arial Narrow" w:hAnsi="Arial Narrow"/>
          <w:sz w:val="22"/>
          <w:szCs w:val="22"/>
          <w:lang w:val="es-CO"/>
        </w:rPr>
        <w:t xml:space="preserve">el </w:t>
      </w:r>
      <w:r w:rsidR="004D3498" w:rsidRPr="005D659A">
        <w:rPr>
          <w:rFonts w:ascii="Arial Narrow" w:hAnsi="Arial Narrow"/>
          <w:sz w:val="22"/>
          <w:szCs w:val="22"/>
          <w:lang w:val="es-CO"/>
        </w:rPr>
        <w:t>artículo</w:t>
      </w:r>
      <w:r w:rsidRPr="005D659A">
        <w:rPr>
          <w:rFonts w:ascii="Arial Narrow" w:hAnsi="Arial Narrow"/>
          <w:sz w:val="22"/>
          <w:szCs w:val="22"/>
          <w:lang w:val="es-CO"/>
        </w:rPr>
        <w:t xml:space="preserve"> 284 de la Ley 1955 de 2019, así:</w:t>
      </w:r>
    </w:p>
    <w:p w14:paraId="440992D0" w14:textId="77777777" w:rsidR="00F20ECF" w:rsidRPr="005D659A" w:rsidRDefault="00F20ECF" w:rsidP="0094007D">
      <w:pPr>
        <w:jc w:val="both"/>
        <w:rPr>
          <w:rFonts w:ascii="Arial Narrow" w:hAnsi="Arial Narrow"/>
          <w:sz w:val="22"/>
          <w:szCs w:val="22"/>
          <w:lang w:val="es-CO"/>
        </w:rPr>
      </w:pPr>
    </w:p>
    <w:p w14:paraId="3E521998" w14:textId="292C3E4E" w:rsidR="00F20ECF" w:rsidRPr="005D659A" w:rsidRDefault="002B228A" w:rsidP="0094007D">
      <w:pPr>
        <w:ind w:left="708"/>
        <w:jc w:val="both"/>
        <w:rPr>
          <w:rFonts w:ascii="Arial Narrow" w:hAnsi="Arial Narrow"/>
          <w:sz w:val="22"/>
          <w:szCs w:val="22"/>
          <w:lang w:val="es-CO"/>
        </w:rPr>
      </w:pPr>
      <w:r w:rsidRPr="005D659A">
        <w:rPr>
          <w:rFonts w:ascii="Arial Narrow" w:hAnsi="Arial Narrow"/>
          <w:i/>
          <w:iCs/>
          <w:sz w:val="22"/>
          <w:szCs w:val="22"/>
          <w:lang w:val="es-CO"/>
        </w:rPr>
        <w:t>“</w:t>
      </w:r>
      <w:r w:rsidR="00F20ECF" w:rsidRPr="005D659A">
        <w:rPr>
          <w:rFonts w:ascii="Arial Narrow" w:hAnsi="Arial Narrow"/>
          <w:i/>
          <w:iCs/>
          <w:sz w:val="22"/>
          <w:szCs w:val="22"/>
          <w:lang w:val="es-CO"/>
        </w:rPr>
        <w:t>ARTÍCULO 8. RENTA BÁSICA. La renta básica es un beneficio económico que se otorgará a cada uno de los integrantes de las FARC-EP, una vez surtido el proceso de acreditación y tránsito a la legalidad y a partir de la terminación de las Zonas Veredales Transitorias de Normalización y durante veinticuatro (24) meses, siempre y cuando no tengan un vínculo contractual, laboral, legal y reglamentario, o un contrato de cualquier naturaleza que les genere ingresos. Este beneficio económico equivaldrá al 90% del Salario Mínimo Mensual Legal Vigente en el momento de su reconocimiento.</w:t>
      </w:r>
    </w:p>
    <w:p w14:paraId="6EACA280" w14:textId="77777777" w:rsidR="00F20ECF" w:rsidRPr="005D659A" w:rsidRDefault="00F20ECF" w:rsidP="0094007D">
      <w:pPr>
        <w:jc w:val="both"/>
        <w:rPr>
          <w:rFonts w:ascii="Arial Narrow" w:hAnsi="Arial Narrow"/>
          <w:sz w:val="22"/>
          <w:szCs w:val="22"/>
          <w:lang w:val="es-CO"/>
        </w:rPr>
      </w:pPr>
    </w:p>
    <w:p w14:paraId="6FE2F0DF" w14:textId="46099AF9" w:rsidR="00F20ECF" w:rsidRPr="005D659A" w:rsidRDefault="00F20ECF" w:rsidP="0094007D">
      <w:pPr>
        <w:ind w:left="708"/>
        <w:jc w:val="both"/>
        <w:rPr>
          <w:rFonts w:ascii="Arial Narrow" w:hAnsi="Arial Narrow"/>
          <w:sz w:val="22"/>
          <w:szCs w:val="22"/>
          <w:lang w:val="es-CO"/>
        </w:rPr>
      </w:pPr>
      <w:r w:rsidRPr="005D659A">
        <w:rPr>
          <w:rFonts w:ascii="Arial Narrow" w:hAnsi="Arial Narrow"/>
          <w:i/>
          <w:iCs/>
          <w:sz w:val="22"/>
          <w:szCs w:val="22"/>
          <w:lang w:val="es-CO"/>
        </w:rPr>
        <w:t xml:space="preserve">Una vez cumplidos los veinticuatro (24) meses anteriormente señalados, se otorgará una </w:t>
      </w:r>
      <w:r w:rsidRPr="005D659A">
        <w:rPr>
          <w:rFonts w:ascii="Arial Narrow" w:hAnsi="Arial Narrow"/>
          <w:b/>
          <w:bCs/>
          <w:i/>
          <w:iCs/>
          <w:sz w:val="22"/>
          <w:szCs w:val="22"/>
          <w:lang w:val="es-CO"/>
        </w:rPr>
        <w:t>asignación mensual</w:t>
      </w:r>
      <w:r w:rsidRPr="005D659A">
        <w:rPr>
          <w:rFonts w:ascii="Arial Narrow" w:hAnsi="Arial Narrow"/>
          <w:i/>
          <w:iCs/>
          <w:sz w:val="22"/>
          <w:szCs w:val="22"/>
          <w:lang w:val="es-CO"/>
        </w:rPr>
        <w:t xml:space="preserve"> equivalente al 90% del Salario Mínimo Mensual Legal Vigente, sujeta al cumplimiento de la ruta de reincorporación, la cual se compone de: Formación Académica, Formación para el Trabajo y Desarrollo Humano, Acompañamiento Psicosocial, Generación de Ingresos, entre otros componentes que dispongan el Gobierno nacional. Este beneficio no será considerado fuente de generación de ingresos y su plazo estará determinado por las normas en materia de implementación del Acuerdo Final para la Terminación del Conflicto y el Establecimiento de una Paz Estable y Duradera contenidas en este Plan Nacional de Desarrollo. Las condiciones y términos para el reconocimiento de este beneficio serán establecidas por el Gobierno nacional</w:t>
      </w:r>
      <w:r w:rsidR="002B228A" w:rsidRPr="005D659A">
        <w:rPr>
          <w:rFonts w:ascii="Arial Narrow" w:hAnsi="Arial Narrow"/>
          <w:i/>
          <w:iCs/>
          <w:sz w:val="22"/>
          <w:szCs w:val="22"/>
          <w:lang w:val="es-CO"/>
        </w:rPr>
        <w:t>”</w:t>
      </w:r>
      <w:r w:rsidR="007B41DD" w:rsidRPr="005D659A">
        <w:rPr>
          <w:rFonts w:ascii="Arial Narrow" w:hAnsi="Arial Narrow"/>
          <w:i/>
          <w:iCs/>
          <w:sz w:val="22"/>
          <w:szCs w:val="22"/>
          <w:lang w:val="es-CO"/>
        </w:rPr>
        <w:t xml:space="preserve"> (negrillas fuera de texto).</w:t>
      </w:r>
    </w:p>
    <w:p w14:paraId="703F9C43" w14:textId="77777777" w:rsidR="00F20ECF" w:rsidRPr="005D659A" w:rsidRDefault="00F20ECF" w:rsidP="0094007D">
      <w:pPr>
        <w:jc w:val="both"/>
        <w:rPr>
          <w:rFonts w:ascii="Arial Narrow" w:hAnsi="Arial Narrow"/>
          <w:sz w:val="22"/>
          <w:szCs w:val="22"/>
          <w:lang w:val="es-CO"/>
        </w:rPr>
      </w:pPr>
    </w:p>
    <w:p w14:paraId="299BE32D" w14:textId="6CF8A3B1" w:rsidR="004D3498" w:rsidRPr="005D659A" w:rsidRDefault="00245616" w:rsidP="0094007D">
      <w:pPr>
        <w:jc w:val="both"/>
        <w:rPr>
          <w:rFonts w:ascii="Arial Narrow" w:hAnsi="Arial Narrow" w:cs="Arial"/>
          <w:sz w:val="22"/>
          <w:szCs w:val="22"/>
        </w:rPr>
      </w:pPr>
      <w:r w:rsidRPr="005D659A">
        <w:rPr>
          <w:rFonts w:ascii="Arial Narrow" w:hAnsi="Arial Narrow"/>
          <w:sz w:val="22"/>
          <w:szCs w:val="22"/>
          <w:lang w:val="es-MX"/>
        </w:rPr>
        <w:t>Que</w:t>
      </w:r>
      <w:r w:rsidR="00F20ECF" w:rsidRPr="005D659A">
        <w:rPr>
          <w:rFonts w:ascii="Arial Narrow" w:hAnsi="Arial Narrow"/>
          <w:sz w:val="22"/>
          <w:szCs w:val="22"/>
          <w:lang w:val="es-MX"/>
        </w:rPr>
        <w:t xml:space="preserve"> la ruta de reincorporación</w:t>
      </w:r>
      <w:r w:rsidR="0094007D" w:rsidRPr="005D659A">
        <w:rPr>
          <w:rFonts w:ascii="Arial Narrow" w:hAnsi="Arial Narrow"/>
          <w:sz w:val="22"/>
          <w:szCs w:val="22"/>
          <w:lang w:val="es-MX"/>
        </w:rPr>
        <w:t xml:space="preserve"> </w:t>
      </w:r>
      <w:r w:rsidR="00F20ECF" w:rsidRPr="005D659A">
        <w:rPr>
          <w:rFonts w:ascii="Arial Narrow" w:hAnsi="Arial Narrow"/>
          <w:sz w:val="22"/>
          <w:szCs w:val="22"/>
          <w:lang w:val="es-MX"/>
        </w:rPr>
        <w:t>de los firmantes de paz</w:t>
      </w:r>
      <w:r w:rsidR="002B228A" w:rsidRPr="005D659A">
        <w:rPr>
          <w:rFonts w:ascii="Arial Narrow" w:hAnsi="Arial Narrow"/>
          <w:sz w:val="22"/>
          <w:szCs w:val="22"/>
          <w:lang w:val="es-MX"/>
        </w:rPr>
        <w:t xml:space="preserve"> a que refiere el precitado artículo, </w:t>
      </w:r>
      <w:r w:rsidR="00F20ECF" w:rsidRPr="005D659A">
        <w:rPr>
          <w:rFonts w:ascii="Arial Narrow" w:hAnsi="Arial Narrow"/>
          <w:sz w:val="22"/>
          <w:szCs w:val="22"/>
          <w:lang w:val="es-MX"/>
        </w:rPr>
        <w:t xml:space="preserve">fue modificada por el artículo 20 de la </w:t>
      </w:r>
      <w:r w:rsidR="00F20ECF" w:rsidRPr="005D659A">
        <w:rPr>
          <w:rFonts w:ascii="Arial Narrow" w:hAnsi="Arial Narrow" w:cs="Arial"/>
          <w:sz w:val="22"/>
          <w:szCs w:val="22"/>
        </w:rPr>
        <w:t>Ley 2294 de 2023 que</w:t>
      </w:r>
      <w:r w:rsidR="0094007D" w:rsidRPr="005D659A">
        <w:rPr>
          <w:rFonts w:ascii="Arial Narrow" w:hAnsi="Arial Narrow" w:cs="Arial"/>
          <w:sz w:val="22"/>
          <w:szCs w:val="22"/>
        </w:rPr>
        <w:t xml:space="preserve"> </w:t>
      </w:r>
      <w:r w:rsidR="00F20ECF" w:rsidRPr="005D659A">
        <w:rPr>
          <w:rFonts w:ascii="Arial Narrow" w:hAnsi="Arial Narrow" w:cs="Arial"/>
          <w:sz w:val="22"/>
          <w:szCs w:val="22"/>
        </w:rPr>
        <w:t xml:space="preserve">creó el Programa de Reincorporación Integral – PRI, </w:t>
      </w:r>
      <w:r w:rsidR="00D11F3C" w:rsidRPr="005D659A">
        <w:rPr>
          <w:rFonts w:ascii="Arial Narrow" w:hAnsi="Arial Narrow" w:cs="Arial"/>
          <w:sz w:val="22"/>
          <w:szCs w:val="22"/>
        </w:rPr>
        <w:t xml:space="preserve">el cual fue </w:t>
      </w:r>
      <w:r w:rsidR="00F20ECF" w:rsidRPr="005D659A">
        <w:rPr>
          <w:rFonts w:ascii="Arial Narrow" w:hAnsi="Arial Narrow" w:cs="Arial"/>
          <w:sz w:val="22"/>
          <w:szCs w:val="22"/>
        </w:rPr>
        <w:t>reglamentado mediante el</w:t>
      </w:r>
      <w:r w:rsidR="0094007D" w:rsidRPr="005D659A">
        <w:rPr>
          <w:rFonts w:ascii="Arial Narrow" w:hAnsi="Arial Narrow" w:cs="Arial"/>
          <w:sz w:val="22"/>
          <w:szCs w:val="22"/>
        </w:rPr>
        <w:t xml:space="preserve"> </w:t>
      </w:r>
      <w:r w:rsidR="009065D8" w:rsidRPr="005D659A">
        <w:rPr>
          <w:rFonts w:ascii="Arial Narrow" w:hAnsi="Arial Narrow" w:cs="Arial"/>
          <w:sz w:val="22"/>
          <w:szCs w:val="22"/>
        </w:rPr>
        <w:t>Decreto 0846 de 2024</w:t>
      </w:r>
      <w:r w:rsidR="008879AF" w:rsidRPr="005D659A">
        <w:rPr>
          <w:rFonts w:ascii="Arial Narrow" w:hAnsi="Arial Narrow" w:cs="Arial"/>
          <w:sz w:val="22"/>
          <w:szCs w:val="22"/>
        </w:rPr>
        <w:t xml:space="preserve"> incorporado en el Decreto 1081 de 2015, que </w:t>
      </w:r>
      <w:r w:rsidR="00D11F3C" w:rsidRPr="005D659A">
        <w:rPr>
          <w:rFonts w:ascii="Arial Narrow" w:hAnsi="Arial Narrow" w:cs="Arial"/>
          <w:sz w:val="22"/>
          <w:szCs w:val="22"/>
        </w:rPr>
        <w:t xml:space="preserve">en su artículo </w:t>
      </w:r>
      <w:hyperlink r:id="rId11" w:anchor="2.3.2.6.1.1" w:tooltip="vinculo" w:history="1">
        <w:r w:rsidR="00D11F3C" w:rsidRPr="005D659A">
          <w:rPr>
            <w:rFonts w:ascii="Arial Narrow" w:hAnsi="Arial Narrow"/>
            <w:sz w:val="22"/>
            <w:szCs w:val="22"/>
          </w:rPr>
          <w:t>2.3.2.6.1.1</w:t>
        </w:r>
      </w:hyperlink>
      <w:r w:rsidR="00D11F3C" w:rsidRPr="005D659A">
        <w:rPr>
          <w:rFonts w:ascii="Arial Narrow" w:hAnsi="Arial Narrow" w:cs="Arial"/>
          <w:sz w:val="22"/>
          <w:szCs w:val="22"/>
        </w:rPr>
        <w:t xml:space="preserve">. </w:t>
      </w:r>
      <w:r w:rsidR="007C71C6" w:rsidRPr="005D659A">
        <w:rPr>
          <w:rFonts w:ascii="Arial Narrow" w:hAnsi="Arial Narrow" w:cs="Arial"/>
          <w:sz w:val="22"/>
          <w:szCs w:val="22"/>
        </w:rPr>
        <w:t>dispone</w:t>
      </w:r>
      <w:r w:rsidR="00D11F3C" w:rsidRPr="005D659A">
        <w:rPr>
          <w:rFonts w:ascii="Arial Narrow" w:hAnsi="Arial Narrow" w:cs="Arial"/>
          <w:sz w:val="22"/>
          <w:szCs w:val="22"/>
        </w:rPr>
        <w:t xml:space="preserve"> que el mismo está estructurado por la Línea Estrategia de Reincorporación Económica, que contempla dentro de sus ejes temáticos </w:t>
      </w:r>
      <w:r w:rsidR="007C71C6" w:rsidRPr="005D659A">
        <w:rPr>
          <w:rFonts w:ascii="Arial Narrow" w:hAnsi="Arial Narrow" w:cs="Arial"/>
          <w:sz w:val="22"/>
          <w:szCs w:val="22"/>
        </w:rPr>
        <w:t xml:space="preserve">entre otros, </w:t>
      </w:r>
      <w:r w:rsidR="00D11F3C" w:rsidRPr="005D659A">
        <w:rPr>
          <w:rFonts w:ascii="Arial Narrow" w:hAnsi="Arial Narrow" w:cs="Arial"/>
          <w:sz w:val="22"/>
          <w:szCs w:val="22"/>
        </w:rPr>
        <w:t>el de “Beneficios Económicos”.</w:t>
      </w:r>
    </w:p>
    <w:p w14:paraId="48FAF5BD" w14:textId="77777777" w:rsidR="004D3498" w:rsidRPr="005D659A" w:rsidRDefault="004D3498" w:rsidP="0094007D">
      <w:pPr>
        <w:jc w:val="both"/>
        <w:rPr>
          <w:rFonts w:ascii="Arial Narrow" w:hAnsi="Arial Narrow" w:cs="Arial"/>
          <w:sz w:val="22"/>
          <w:szCs w:val="22"/>
        </w:rPr>
      </w:pPr>
    </w:p>
    <w:p w14:paraId="5D7A70E5" w14:textId="2F13B9A8" w:rsidR="004D3498" w:rsidRPr="005D659A" w:rsidRDefault="004D3498" w:rsidP="0094007D">
      <w:pPr>
        <w:jc w:val="both"/>
        <w:rPr>
          <w:rFonts w:ascii="Arial Narrow" w:hAnsi="Arial Narrow" w:cs="Arial"/>
          <w:sz w:val="22"/>
          <w:szCs w:val="22"/>
          <w:u w:val="single"/>
        </w:rPr>
      </w:pPr>
      <w:r w:rsidRPr="005D659A">
        <w:rPr>
          <w:rFonts w:ascii="Arial Narrow" w:hAnsi="Arial Narrow" w:cs="Arial"/>
          <w:sz w:val="22"/>
          <w:szCs w:val="22"/>
        </w:rPr>
        <w:t>Que</w:t>
      </w:r>
      <w:r w:rsidR="003500F3" w:rsidRPr="005D659A">
        <w:rPr>
          <w:rFonts w:ascii="Arial Narrow" w:hAnsi="Arial Narrow" w:cs="Arial"/>
          <w:sz w:val="22"/>
          <w:szCs w:val="22"/>
        </w:rPr>
        <w:t>,</w:t>
      </w:r>
      <w:r w:rsidR="00D11F3C" w:rsidRPr="005D659A">
        <w:rPr>
          <w:rFonts w:ascii="Arial Narrow" w:hAnsi="Arial Narrow" w:cs="Arial"/>
          <w:sz w:val="22"/>
          <w:szCs w:val="22"/>
        </w:rPr>
        <w:t xml:space="preserve"> </w:t>
      </w:r>
      <w:r w:rsidRPr="005D659A">
        <w:rPr>
          <w:rFonts w:ascii="Arial Narrow" w:hAnsi="Arial Narrow" w:cs="Arial"/>
          <w:sz w:val="22"/>
          <w:szCs w:val="22"/>
        </w:rPr>
        <w:t xml:space="preserve">en ejercicio de las facultades conferidas en dicho </w:t>
      </w:r>
      <w:r w:rsidR="007B41DD" w:rsidRPr="005D659A">
        <w:rPr>
          <w:rFonts w:ascii="Arial Narrow" w:hAnsi="Arial Narrow" w:cs="Arial"/>
          <w:sz w:val="22"/>
          <w:szCs w:val="22"/>
        </w:rPr>
        <w:t>D</w:t>
      </w:r>
      <w:r w:rsidRPr="005D659A">
        <w:rPr>
          <w:rFonts w:ascii="Arial Narrow" w:hAnsi="Arial Narrow" w:cs="Arial"/>
          <w:sz w:val="22"/>
          <w:szCs w:val="22"/>
        </w:rPr>
        <w:t xml:space="preserve">ecreto, esta </w:t>
      </w:r>
      <w:r w:rsidR="00D11F3C" w:rsidRPr="005D659A">
        <w:rPr>
          <w:rFonts w:ascii="Arial Narrow" w:hAnsi="Arial Narrow" w:cs="Arial"/>
          <w:sz w:val="22"/>
          <w:szCs w:val="22"/>
        </w:rPr>
        <w:t>E</w:t>
      </w:r>
      <w:r w:rsidRPr="005D659A">
        <w:rPr>
          <w:rFonts w:ascii="Arial Narrow" w:hAnsi="Arial Narrow" w:cs="Arial"/>
          <w:sz w:val="22"/>
          <w:szCs w:val="22"/>
        </w:rPr>
        <w:t>ntidad expidió la Resolución 2319 de 2024</w:t>
      </w:r>
      <w:r w:rsidR="003500F3" w:rsidRPr="005D659A">
        <w:rPr>
          <w:rFonts w:ascii="Arial Narrow" w:hAnsi="Arial Narrow" w:cs="Arial"/>
          <w:sz w:val="22"/>
          <w:szCs w:val="22"/>
        </w:rPr>
        <w:t xml:space="preserve"> </w:t>
      </w:r>
      <w:r w:rsidRPr="005D659A">
        <w:rPr>
          <w:rFonts w:ascii="Arial Narrow" w:hAnsi="Arial Narrow" w:cs="Arial"/>
          <w:sz w:val="22"/>
          <w:szCs w:val="22"/>
        </w:rPr>
        <w:t>que en su artículo 44</w:t>
      </w:r>
      <w:r w:rsidR="007B41DD" w:rsidRPr="005D659A">
        <w:rPr>
          <w:rFonts w:ascii="Arial Narrow" w:hAnsi="Arial Narrow" w:cs="Arial"/>
          <w:sz w:val="22"/>
          <w:szCs w:val="22"/>
        </w:rPr>
        <w:t>,</w:t>
      </w:r>
      <w:r w:rsidR="008879AF" w:rsidRPr="005D659A">
        <w:rPr>
          <w:rFonts w:ascii="Arial Narrow" w:hAnsi="Arial Narrow" w:cs="Arial"/>
          <w:sz w:val="22"/>
          <w:szCs w:val="22"/>
        </w:rPr>
        <w:t xml:space="preserve"> modificado por el artículo 2 de la Resolución 950 de 2025</w:t>
      </w:r>
      <w:r w:rsidRPr="005D659A">
        <w:rPr>
          <w:rFonts w:ascii="Arial Narrow" w:hAnsi="Arial Narrow" w:cs="Arial"/>
          <w:sz w:val="22"/>
          <w:szCs w:val="22"/>
        </w:rPr>
        <w:t>, regul</w:t>
      </w:r>
      <w:r w:rsidR="008879AF" w:rsidRPr="005D659A">
        <w:rPr>
          <w:rFonts w:ascii="Arial Narrow" w:hAnsi="Arial Narrow" w:cs="Arial"/>
          <w:sz w:val="22"/>
          <w:szCs w:val="22"/>
        </w:rPr>
        <w:t>ó</w:t>
      </w:r>
      <w:r w:rsidRPr="005D659A">
        <w:rPr>
          <w:rFonts w:ascii="Arial Narrow" w:hAnsi="Arial Narrow" w:cs="Arial"/>
          <w:sz w:val="22"/>
          <w:szCs w:val="22"/>
        </w:rPr>
        <w:t xml:space="preserve"> el beneficio </w:t>
      </w:r>
      <w:r w:rsidR="00D11F3C" w:rsidRPr="005D659A">
        <w:rPr>
          <w:rFonts w:ascii="Arial Narrow" w:hAnsi="Arial Narrow" w:cs="Arial"/>
          <w:sz w:val="22"/>
          <w:szCs w:val="22"/>
        </w:rPr>
        <w:t xml:space="preserve">económico </w:t>
      </w:r>
      <w:r w:rsidR="00FF0DA3" w:rsidRPr="005D659A">
        <w:rPr>
          <w:rFonts w:ascii="Arial Narrow" w:hAnsi="Arial Narrow" w:cs="Arial"/>
          <w:sz w:val="22"/>
          <w:szCs w:val="22"/>
        </w:rPr>
        <w:t>denominado</w:t>
      </w:r>
      <w:r w:rsidR="00D11F3C" w:rsidRPr="005D659A">
        <w:rPr>
          <w:rFonts w:ascii="Arial Narrow" w:hAnsi="Arial Narrow" w:cs="Arial"/>
          <w:sz w:val="22"/>
          <w:szCs w:val="22"/>
        </w:rPr>
        <w:t xml:space="preserve"> </w:t>
      </w:r>
      <w:r w:rsidR="00FF0DA3" w:rsidRPr="005D659A">
        <w:rPr>
          <w:rFonts w:ascii="Arial Narrow" w:hAnsi="Arial Narrow" w:cs="Arial"/>
          <w:sz w:val="22"/>
          <w:szCs w:val="22"/>
        </w:rPr>
        <w:t>“Asignación</w:t>
      </w:r>
      <w:r w:rsidRPr="005D659A">
        <w:rPr>
          <w:rFonts w:ascii="Arial Narrow" w:hAnsi="Arial Narrow" w:cs="Arial"/>
          <w:sz w:val="22"/>
          <w:szCs w:val="22"/>
        </w:rPr>
        <w:t xml:space="preserve"> Mensua</w:t>
      </w:r>
      <w:r w:rsidR="00D11F3C" w:rsidRPr="005D659A">
        <w:rPr>
          <w:rFonts w:ascii="Arial Narrow" w:hAnsi="Arial Narrow" w:cs="Arial"/>
          <w:sz w:val="22"/>
          <w:szCs w:val="22"/>
        </w:rPr>
        <w:t>l”</w:t>
      </w:r>
      <w:r w:rsidR="00C034A4" w:rsidRPr="005D659A">
        <w:rPr>
          <w:rFonts w:ascii="Arial Narrow" w:hAnsi="Arial Narrow" w:cs="Arial"/>
          <w:sz w:val="22"/>
          <w:szCs w:val="22"/>
        </w:rPr>
        <w:t xml:space="preserve">, </w:t>
      </w:r>
      <w:r w:rsidR="00D11F3C" w:rsidRPr="005D659A">
        <w:rPr>
          <w:rFonts w:ascii="Arial Narrow" w:hAnsi="Arial Narrow" w:cs="Arial"/>
          <w:sz w:val="22"/>
          <w:szCs w:val="22"/>
        </w:rPr>
        <w:t>creado</w:t>
      </w:r>
      <w:r w:rsidR="0094007D" w:rsidRPr="005D659A">
        <w:rPr>
          <w:rFonts w:ascii="Arial Narrow" w:hAnsi="Arial Narrow" w:cs="Arial"/>
          <w:sz w:val="22"/>
          <w:szCs w:val="22"/>
        </w:rPr>
        <w:t xml:space="preserve"> </w:t>
      </w:r>
      <w:r w:rsidRPr="005D659A">
        <w:rPr>
          <w:rFonts w:ascii="Arial Narrow" w:hAnsi="Arial Narrow" w:cs="Arial"/>
          <w:sz w:val="22"/>
          <w:szCs w:val="22"/>
        </w:rPr>
        <w:t xml:space="preserve">en el </w:t>
      </w:r>
      <w:r w:rsidR="00C034A4" w:rsidRPr="005D659A">
        <w:rPr>
          <w:rFonts w:ascii="Arial Narrow" w:hAnsi="Arial Narrow" w:cs="Arial"/>
          <w:sz w:val="22"/>
          <w:szCs w:val="22"/>
        </w:rPr>
        <w:t xml:space="preserve">transcrito </w:t>
      </w:r>
      <w:r w:rsidRPr="005D659A">
        <w:rPr>
          <w:rFonts w:ascii="Arial Narrow" w:hAnsi="Arial Narrow" w:cs="Arial"/>
          <w:sz w:val="22"/>
          <w:szCs w:val="22"/>
        </w:rPr>
        <w:t>inciso segundo del artículo 8 del Decreto Ley 899 de 2017, modificado por el artículo 284 de la Ley 1955 de 2019.</w:t>
      </w:r>
    </w:p>
    <w:p w14:paraId="3C2F4BCC" w14:textId="77777777" w:rsidR="00193C22" w:rsidRPr="005D659A" w:rsidRDefault="00193C22" w:rsidP="0094007D">
      <w:pPr>
        <w:jc w:val="both"/>
        <w:rPr>
          <w:rFonts w:ascii="Arial Narrow" w:hAnsi="Arial Narrow" w:cs="Arial"/>
          <w:sz w:val="22"/>
          <w:szCs w:val="22"/>
        </w:rPr>
      </w:pPr>
    </w:p>
    <w:p w14:paraId="1EB2C77F" w14:textId="451C3B8B" w:rsidR="004D3498" w:rsidRPr="005D659A" w:rsidRDefault="004D3498" w:rsidP="0094007D">
      <w:pPr>
        <w:jc w:val="both"/>
        <w:rPr>
          <w:rFonts w:ascii="Arial Narrow" w:hAnsi="Arial Narrow" w:cs="Arial"/>
          <w:i/>
          <w:iCs/>
          <w:sz w:val="22"/>
          <w:szCs w:val="22"/>
        </w:rPr>
      </w:pPr>
      <w:proofErr w:type="gramStart"/>
      <w:r w:rsidRPr="005D659A">
        <w:rPr>
          <w:rFonts w:ascii="Arial Narrow" w:hAnsi="Arial Narrow" w:cs="Arial"/>
          <w:sz w:val="22"/>
          <w:szCs w:val="22"/>
        </w:rPr>
        <w:t>Que</w:t>
      </w:r>
      <w:proofErr w:type="gramEnd"/>
      <w:r w:rsidR="00015DE3" w:rsidRPr="005D659A">
        <w:rPr>
          <w:rFonts w:ascii="Arial Narrow" w:hAnsi="Arial Narrow" w:cs="Arial"/>
          <w:sz w:val="22"/>
          <w:szCs w:val="22"/>
        </w:rPr>
        <w:t xml:space="preserve"> frente a la procedencia del otorgamiento de</w:t>
      </w:r>
      <w:r w:rsidR="00766B5A" w:rsidRPr="005D659A">
        <w:rPr>
          <w:rFonts w:ascii="Arial Narrow" w:hAnsi="Arial Narrow" w:cs="Arial"/>
          <w:sz w:val="22"/>
          <w:szCs w:val="22"/>
        </w:rPr>
        <w:t xml:space="preserve">l beneficio económico </w:t>
      </w:r>
      <w:r w:rsidR="000475DC" w:rsidRPr="005D659A">
        <w:rPr>
          <w:rFonts w:ascii="Arial Narrow" w:hAnsi="Arial Narrow" w:cs="Arial"/>
          <w:sz w:val="22"/>
          <w:szCs w:val="22"/>
        </w:rPr>
        <w:t>de la</w:t>
      </w:r>
      <w:r w:rsidR="00015DE3" w:rsidRPr="005D659A">
        <w:rPr>
          <w:rFonts w:ascii="Arial Narrow" w:hAnsi="Arial Narrow" w:cs="Arial"/>
          <w:sz w:val="22"/>
          <w:szCs w:val="22"/>
        </w:rPr>
        <w:t xml:space="preserve"> </w:t>
      </w:r>
      <w:r w:rsidR="00766B5A" w:rsidRPr="005D659A">
        <w:rPr>
          <w:rFonts w:ascii="Arial Narrow" w:hAnsi="Arial Narrow" w:cs="Arial"/>
          <w:sz w:val="22"/>
          <w:szCs w:val="22"/>
        </w:rPr>
        <w:t>A</w:t>
      </w:r>
      <w:r w:rsidR="00015DE3" w:rsidRPr="005D659A">
        <w:rPr>
          <w:rFonts w:ascii="Arial Narrow" w:hAnsi="Arial Narrow" w:cs="Arial"/>
          <w:sz w:val="22"/>
          <w:szCs w:val="22"/>
        </w:rPr>
        <w:t xml:space="preserve">signación </w:t>
      </w:r>
      <w:r w:rsidR="00766B5A" w:rsidRPr="005D659A">
        <w:rPr>
          <w:rFonts w:ascii="Arial Narrow" w:hAnsi="Arial Narrow" w:cs="Arial"/>
          <w:sz w:val="22"/>
          <w:szCs w:val="22"/>
        </w:rPr>
        <w:t>M</w:t>
      </w:r>
      <w:r w:rsidR="00015DE3" w:rsidRPr="005D659A">
        <w:rPr>
          <w:rFonts w:ascii="Arial Narrow" w:hAnsi="Arial Narrow" w:cs="Arial"/>
          <w:sz w:val="22"/>
          <w:szCs w:val="22"/>
        </w:rPr>
        <w:t xml:space="preserve">ensual, </w:t>
      </w:r>
      <w:r w:rsidRPr="005D659A">
        <w:rPr>
          <w:rFonts w:ascii="Arial Narrow" w:hAnsi="Arial Narrow" w:cs="Arial"/>
          <w:sz w:val="22"/>
          <w:szCs w:val="22"/>
        </w:rPr>
        <w:t>el citado artículo 44 de la Resolución 2319 de 2024, modificado por el artículo 2 de la Resolución 0950 de 2025,</w:t>
      </w:r>
      <w:r w:rsidR="00193C22" w:rsidRPr="005D659A">
        <w:rPr>
          <w:rFonts w:ascii="Arial Narrow" w:hAnsi="Arial Narrow" w:cs="Arial"/>
          <w:sz w:val="22"/>
          <w:szCs w:val="22"/>
        </w:rPr>
        <w:t xml:space="preserve"> establece en su parágrafo </w:t>
      </w:r>
      <w:r w:rsidR="00193C22" w:rsidRPr="005D659A">
        <w:rPr>
          <w:rFonts w:ascii="Arial Narrow" w:hAnsi="Arial Narrow" w:cs="Arial"/>
          <w:sz w:val="22"/>
          <w:szCs w:val="22"/>
        </w:rPr>
        <w:lastRenderedPageBreak/>
        <w:t>1 que “</w:t>
      </w:r>
      <w:r w:rsidR="00193C22" w:rsidRPr="005D659A">
        <w:rPr>
          <w:rFonts w:ascii="Arial Narrow" w:hAnsi="Arial Narrow" w:cs="Arial"/>
          <w:i/>
          <w:iCs/>
          <w:sz w:val="22"/>
          <w:szCs w:val="22"/>
        </w:rPr>
        <w:t>El beneficiario que devengue más de cinco (5) Salarios Mínimos Legales Mensuales Vigentes no podrá acceder al beneficio de Asignación Mensual”.</w:t>
      </w:r>
    </w:p>
    <w:p w14:paraId="4B9C0FD4" w14:textId="77777777" w:rsidR="004D3498" w:rsidRPr="005D659A" w:rsidRDefault="004D3498" w:rsidP="0094007D">
      <w:pPr>
        <w:jc w:val="both"/>
        <w:rPr>
          <w:rFonts w:ascii="Arial Narrow" w:hAnsi="Arial Narrow" w:cs="Arial"/>
          <w:i/>
          <w:iCs/>
          <w:sz w:val="22"/>
          <w:szCs w:val="22"/>
        </w:rPr>
      </w:pPr>
    </w:p>
    <w:p w14:paraId="1A98BFDA" w14:textId="77777777" w:rsidR="004A4F4B" w:rsidRPr="005D659A" w:rsidRDefault="004A4F4B" w:rsidP="004A4F4B">
      <w:pPr>
        <w:jc w:val="both"/>
        <w:rPr>
          <w:rFonts w:ascii="Arial Narrow" w:hAnsi="Arial Narrow" w:cs="Arial"/>
          <w:sz w:val="22"/>
          <w:szCs w:val="22"/>
          <w:lang w:val="es-CO"/>
        </w:rPr>
      </w:pPr>
    </w:p>
    <w:p w14:paraId="13B4A4BE" w14:textId="7FE0E9F4" w:rsidR="002E306B" w:rsidRPr="005D659A" w:rsidRDefault="002E306B" w:rsidP="0094007D">
      <w:pPr>
        <w:jc w:val="both"/>
        <w:rPr>
          <w:rFonts w:ascii="Arial Narrow" w:hAnsi="Arial Narrow" w:cs="Arial"/>
          <w:sz w:val="22"/>
          <w:szCs w:val="22"/>
        </w:rPr>
      </w:pPr>
      <w:r w:rsidRPr="005D659A">
        <w:rPr>
          <w:rFonts w:ascii="Arial Narrow" w:hAnsi="Arial Narrow" w:cs="Arial"/>
          <w:sz w:val="22"/>
          <w:szCs w:val="22"/>
        </w:rPr>
        <w:t xml:space="preserve">Que teniendo en cuenta que el proceso de reincorporación lleva más de ocho (8) años en implementación, estas personas han recibido apoyos económicos en dos etapas: primero, la Renta Básica durante veinticuatro (24) meses y, posteriormente, la Asignación Mensual, ambos equivalentes al noventa por ciento (90%) del </w:t>
      </w:r>
      <w:r w:rsidR="000475DC" w:rsidRPr="005D659A">
        <w:rPr>
          <w:rFonts w:ascii="Arial Narrow" w:hAnsi="Arial Narrow" w:cs="Arial"/>
          <w:sz w:val="22"/>
          <w:szCs w:val="22"/>
        </w:rPr>
        <w:t>S</w:t>
      </w:r>
      <w:r w:rsidRPr="005D659A">
        <w:rPr>
          <w:rFonts w:ascii="Arial Narrow" w:hAnsi="Arial Narrow" w:cs="Arial"/>
          <w:sz w:val="22"/>
          <w:szCs w:val="22"/>
        </w:rPr>
        <w:t xml:space="preserve">alario </w:t>
      </w:r>
      <w:r w:rsidR="000475DC" w:rsidRPr="005D659A">
        <w:rPr>
          <w:rFonts w:ascii="Arial Narrow" w:hAnsi="Arial Narrow" w:cs="Arial"/>
          <w:sz w:val="22"/>
          <w:szCs w:val="22"/>
        </w:rPr>
        <w:t>M</w:t>
      </w:r>
      <w:r w:rsidRPr="005D659A">
        <w:rPr>
          <w:rFonts w:ascii="Arial Narrow" w:hAnsi="Arial Narrow" w:cs="Arial"/>
          <w:sz w:val="22"/>
          <w:szCs w:val="22"/>
        </w:rPr>
        <w:t xml:space="preserve">ínimo </w:t>
      </w:r>
      <w:r w:rsidR="000475DC" w:rsidRPr="005D659A">
        <w:rPr>
          <w:rFonts w:ascii="Arial Narrow" w:hAnsi="Arial Narrow" w:cs="Arial"/>
          <w:sz w:val="22"/>
          <w:szCs w:val="22"/>
        </w:rPr>
        <w:t>M</w:t>
      </w:r>
      <w:r w:rsidRPr="005D659A">
        <w:rPr>
          <w:rFonts w:ascii="Arial Narrow" w:hAnsi="Arial Narrow" w:cs="Arial"/>
          <w:sz w:val="22"/>
          <w:szCs w:val="22"/>
        </w:rPr>
        <w:t xml:space="preserve">ensual </w:t>
      </w:r>
      <w:r w:rsidR="000475DC" w:rsidRPr="005D659A">
        <w:rPr>
          <w:rFonts w:ascii="Arial Narrow" w:hAnsi="Arial Narrow" w:cs="Arial"/>
          <w:sz w:val="22"/>
          <w:szCs w:val="22"/>
        </w:rPr>
        <w:t>V</w:t>
      </w:r>
      <w:r w:rsidRPr="005D659A">
        <w:rPr>
          <w:rFonts w:ascii="Arial Narrow" w:hAnsi="Arial Narrow" w:cs="Arial"/>
          <w:sz w:val="22"/>
          <w:szCs w:val="22"/>
        </w:rPr>
        <w:t>igente.</w:t>
      </w:r>
    </w:p>
    <w:p w14:paraId="380883B0" w14:textId="77777777" w:rsidR="002E306B" w:rsidRPr="005D659A" w:rsidRDefault="002E306B" w:rsidP="0094007D">
      <w:pPr>
        <w:jc w:val="both"/>
        <w:rPr>
          <w:rFonts w:ascii="Arial Narrow" w:hAnsi="Arial Narrow" w:cs="Arial"/>
          <w:sz w:val="22"/>
          <w:szCs w:val="22"/>
        </w:rPr>
      </w:pPr>
    </w:p>
    <w:p w14:paraId="627AC02F" w14:textId="77777777" w:rsidR="002E306B" w:rsidRPr="005D659A" w:rsidRDefault="002E306B" w:rsidP="0094007D">
      <w:pPr>
        <w:jc w:val="both"/>
        <w:rPr>
          <w:rFonts w:ascii="Arial Narrow" w:hAnsi="Arial Narrow" w:cs="Arial"/>
          <w:sz w:val="22"/>
          <w:szCs w:val="22"/>
          <w:lang w:val="es-CO"/>
        </w:rPr>
      </w:pPr>
      <w:r w:rsidRPr="005D659A">
        <w:rPr>
          <w:rFonts w:ascii="Arial Narrow" w:hAnsi="Arial Narrow" w:cs="Arial"/>
          <w:sz w:val="22"/>
          <w:szCs w:val="22"/>
          <w:lang w:val="es-CO"/>
        </w:rPr>
        <w:t>Que el límite actualmente establecido de cinco (5) Salarios Mínimos Legales Mensuales Vigentes como umbral máximo de ingresos para acceder a la Asignación Mensual resulta desproporcionado frente al estado avanzado del proceso de reincorporación, a la duración acumulada de los apoyos económicos otorgados y a los incrementos significativos que ha experimentado el salario mínimo en los últimos años, lo cual desdibuja la finalidad del beneficio como mecanismo de apoyo a quienes efectivamente lo requieren.</w:t>
      </w:r>
    </w:p>
    <w:p w14:paraId="1C7157BA" w14:textId="77777777" w:rsidR="002E306B" w:rsidRPr="005D659A" w:rsidRDefault="002E306B" w:rsidP="0094007D">
      <w:pPr>
        <w:jc w:val="both"/>
        <w:rPr>
          <w:rFonts w:ascii="Arial Narrow" w:hAnsi="Arial Narrow" w:cs="Arial"/>
          <w:sz w:val="22"/>
          <w:szCs w:val="22"/>
        </w:rPr>
      </w:pPr>
    </w:p>
    <w:p w14:paraId="60856F8A" w14:textId="59EAA610" w:rsidR="002E306B" w:rsidRPr="005D659A" w:rsidRDefault="002E306B" w:rsidP="0094007D">
      <w:pPr>
        <w:jc w:val="both"/>
        <w:rPr>
          <w:rFonts w:ascii="Arial Narrow" w:hAnsi="Arial Narrow" w:cs="Arial"/>
          <w:sz w:val="22"/>
          <w:szCs w:val="22"/>
          <w:lang w:val="es-CO"/>
        </w:rPr>
      </w:pPr>
      <w:r w:rsidRPr="005D659A">
        <w:rPr>
          <w:rFonts w:ascii="Arial Narrow" w:hAnsi="Arial Narrow" w:cs="Arial"/>
          <w:sz w:val="22"/>
          <w:szCs w:val="22"/>
          <w:lang w:val="es-CO"/>
        </w:rPr>
        <w:t>En este contexto, ajustar el reconocimiento de este beneficio</w:t>
      </w:r>
      <w:r w:rsidR="003C4160" w:rsidRPr="005D659A">
        <w:rPr>
          <w:rFonts w:ascii="Arial Narrow" w:hAnsi="Arial Narrow" w:cs="Arial"/>
          <w:sz w:val="22"/>
          <w:szCs w:val="22"/>
          <w:lang w:val="es-CO"/>
        </w:rPr>
        <w:t xml:space="preserve"> económico </w:t>
      </w:r>
      <w:r w:rsidRPr="005D659A">
        <w:rPr>
          <w:rFonts w:ascii="Arial Narrow" w:hAnsi="Arial Narrow" w:cs="Arial"/>
          <w:sz w:val="22"/>
          <w:szCs w:val="22"/>
          <w:lang w:val="es-CO"/>
        </w:rPr>
        <w:t>únicamente a quienes no cuenten con un vínculo contractual, laboral, legal o reglamentario, ni con contratos que les generen ingresos, tal como lo dispone el inciso primero del artículo 8° del Decreto Ley 899 de 2017, modificado por el artículo 284 de la Ley 1955 de 2019, constituye una medida suficiente, razonable y proporcional</w:t>
      </w:r>
      <w:r w:rsidR="003C4160" w:rsidRPr="005D659A">
        <w:rPr>
          <w:rFonts w:ascii="Arial Narrow" w:hAnsi="Arial Narrow" w:cs="Arial"/>
          <w:sz w:val="22"/>
          <w:szCs w:val="22"/>
          <w:lang w:val="es-CO"/>
        </w:rPr>
        <w:t>, que p</w:t>
      </w:r>
      <w:r w:rsidRPr="005D659A">
        <w:rPr>
          <w:rFonts w:ascii="Arial Narrow" w:hAnsi="Arial Narrow" w:cs="Arial"/>
          <w:sz w:val="22"/>
          <w:szCs w:val="22"/>
          <w:lang w:val="es-CO"/>
        </w:rPr>
        <w:t>ermite, además, que en el marco de la crisis fiscal que atraviesa el país, se facilite la transición de otros firmantes hacia condiciones de autosostenibilidad dentro de</w:t>
      </w:r>
      <w:r w:rsidR="00366C69" w:rsidRPr="005D659A">
        <w:rPr>
          <w:rFonts w:ascii="Arial Narrow" w:hAnsi="Arial Narrow" w:cs="Arial"/>
          <w:sz w:val="22"/>
          <w:szCs w:val="22"/>
          <w:lang w:val="es-CO"/>
        </w:rPr>
        <w:t xml:space="preserve"> la línea estratégica </w:t>
      </w:r>
      <w:r w:rsidRPr="005D659A">
        <w:rPr>
          <w:rFonts w:ascii="Arial Narrow" w:hAnsi="Arial Narrow" w:cs="Arial"/>
          <w:sz w:val="22"/>
          <w:szCs w:val="22"/>
          <w:lang w:val="es-CO"/>
        </w:rPr>
        <w:t>de reincorporación económica.</w:t>
      </w:r>
    </w:p>
    <w:p w14:paraId="52C28CB4" w14:textId="77777777" w:rsidR="002E306B" w:rsidRPr="005D659A" w:rsidRDefault="002E306B" w:rsidP="0094007D">
      <w:pPr>
        <w:jc w:val="both"/>
        <w:rPr>
          <w:rFonts w:ascii="Arial Narrow" w:hAnsi="Arial Narrow" w:cs="Arial"/>
          <w:sz w:val="22"/>
          <w:szCs w:val="22"/>
        </w:rPr>
      </w:pPr>
    </w:p>
    <w:p w14:paraId="029907E1" w14:textId="727C2129" w:rsidR="000B516E" w:rsidRPr="005D659A" w:rsidRDefault="000B516E" w:rsidP="000B516E">
      <w:pPr>
        <w:jc w:val="both"/>
        <w:rPr>
          <w:rFonts w:ascii="Arial Narrow" w:hAnsi="Arial Narrow" w:cs="Arial"/>
          <w:sz w:val="22"/>
          <w:szCs w:val="22"/>
          <w:lang w:val="es-CO"/>
        </w:rPr>
      </w:pPr>
      <w:r w:rsidRPr="005D659A">
        <w:rPr>
          <w:rFonts w:ascii="Arial Narrow" w:hAnsi="Arial Narrow" w:cs="Arial"/>
          <w:sz w:val="22"/>
          <w:szCs w:val="22"/>
          <w:lang w:val="es-CO"/>
        </w:rPr>
        <w:t>Que, desde la creación del proceso de reincorporación en el año 2017, el Salario Mínimo Legal Mensual Vigente ha presentado incrementos significativos que han superado la inflación causada el año inmediatamente anterior, permitiendo incrementos reales en el poder adquisitivo de quienes lo devengan, conforme al mandato constitucional de salario mínimo vital y móvil consagrado en el artículo 53 de la Constitución Política.</w:t>
      </w:r>
    </w:p>
    <w:p w14:paraId="43CFFBD5" w14:textId="77777777" w:rsidR="000B516E" w:rsidRPr="005D659A" w:rsidRDefault="000B516E" w:rsidP="000B516E">
      <w:pPr>
        <w:jc w:val="both"/>
        <w:rPr>
          <w:rFonts w:ascii="Arial Narrow" w:hAnsi="Arial Narrow" w:cs="Arial"/>
          <w:sz w:val="22"/>
          <w:szCs w:val="22"/>
          <w:lang w:val="es-CO"/>
        </w:rPr>
      </w:pPr>
    </w:p>
    <w:p w14:paraId="1CFD03F5" w14:textId="77777777" w:rsidR="000B516E" w:rsidRPr="005D659A" w:rsidRDefault="000B516E" w:rsidP="000B516E">
      <w:pPr>
        <w:jc w:val="both"/>
        <w:rPr>
          <w:rFonts w:ascii="Arial Narrow" w:hAnsi="Arial Narrow" w:cs="Arial"/>
          <w:sz w:val="22"/>
          <w:szCs w:val="22"/>
          <w:lang w:val="es-CO"/>
        </w:rPr>
      </w:pPr>
      <w:r w:rsidRPr="005D659A">
        <w:rPr>
          <w:rFonts w:ascii="Arial Narrow" w:hAnsi="Arial Narrow" w:cs="Arial"/>
          <w:sz w:val="22"/>
          <w:szCs w:val="22"/>
          <w:lang w:val="es-CO"/>
        </w:rPr>
        <w:t>Que, en efecto, la evolución del Salario Mínimo Legal Mensual Vigente desde el año 2017 hasta el año 2026 evidencia el siguiente comportamiento comparativo:</w:t>
      </w:r>
    </w:p>
    <w:p w14:paraId="318D95DD" w14:textId="77777777" w:rsidR="000B516E" w:rsidRPr="005D659A" w:rsidRDefault="000B516E" w:rsidP="000B516E">
      <w:pPr>
        <w:jc w:val="both"/>
        <w:rPr>
          <w:rFonts w:ascii="Arial Narrow" w:hAnsi="Arial Narrow" w:cs="Arial"/>
          <w:sz w:val="22"/>
          <w:szCs w:val="22"/>
          <w:lang w:val="es-CO"/>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5D659A" w:rsidRPr="005D659A" w14:paraId="0ACBC746" w14:textId="77777777" w:rsidTr="001D685C">
        <w:tc>
          <w:tcPr>
            <w:tcW w:w="1765" w:type="dxa"/>
          </w:tcPr>
          <w:p w14:paraId="1FBAFA2E" w14:textId="77777777" w:rsidR="000B516E" w:rsidRPr="005D659A" w:rsidRDefault="000B516E" w:rsidP="001D685C">
            <w:pPr>
              <w:jc w:val="center"/>
              <w:rPr>
                <w:rFonts w:ascii="Arial Narrow" w:hAnsi="Arial Narrow"/>
                <w:b/>
                <w:bCs/>
                <w:sz w:val="22"/>
                <w:szCs w:val="22"/>
              </w:rPr>
            </w:pPr>
            <w:r w:rsidRPr="005D659A">
              <w:rPr>
                <w:rFonts w:ascii="Arial Narrow" w:hAnsi="Arial Narrow"/>
                <w:b/>
                <w:bCs/>
                <w:sz w:val="22"/>
                <w:szCs w:val="22"/>
              </w:rPr>
              <w:t>Año</w:t>
            </w:r>
          </w:p>
        </w:tc>
        <w:tc>
          <w:tcPr>
            <w:tcW w:w="1765" w:type="dxa"/>
          </w:tcPr>
          <w:p w14:paraId="631C87B5" w14:textId="77777777" w:rsidR="000B516E" w:rsidRPr="005D659A" w:rsidRDefault="000B516E" w:rsidP="001D685C">
            <w:pPr>
              <w:jc w:val="center"/>
              <w:rPr>
                <w:rFonts w:ascii="Arial Narrow" w:hAnsi="Arial Narrow"/>
                <w:b/>
                <w:bCs/>
                <w:sz w:val="22"/>
                <w:szCs w:val="22"/>
              </w:rPr>
            </w:pPr>
            <w:r w:rsidRPr="005D659A">
              <w:rPr>
                <w:rFonts w:ascii="Arial Narrow" w:hAnsi="Arial Narrow"/>
                <w:b/>
                <w:bCs/>
                <w:sz w:val="22"/>
                <w:szCs w:val="22"/>
              </w:rPr>
              <w:t>SMLMV ($)</w:t>
            </w:r>
          </w:p>
        </w:tc>
        <w:tc>
          <w:tcPr>
            <w:tcW w:w="1766" w:type="dxa"/>
          </w:tcPr>
          <w:p w14:paraId="588F1227" w14:textId="77777777" w:rsidR="000B516E" w:rsidRPr="005D659A" w:rsidRDefault="000B516E" w:rsidP="001D685C">
            <w:pPr>
              <w:jc w:val="center"/>
              <w:rPr>
                <w:rFonts w:ascii="Arial Narrow" w:hAnsi="Arial Narrow"/>
                <w:b/>
                <w:bCs/>
                <w:sz w:val="22"/>
                <w:szCs w:val="22"/>
              </w:rPr>
            </w:pPr>
            <w:r w:rsidRPr="005D659A">
              <w:rPr>
                <w:rFonts w:ascii="Arial Narrow" w:hAnsi="Arial Narrow"/>
                <w:b/>
                <w:bCs/>
                <w:sz w:val="22"/>
                <w:szCs w:val="22"/>
              </w:rPr>
              <w:t>Incremento nominal (%)</w:t>
            </w:r>
          </w:p>
        </w:tc>
        <w:tc>
          <w:tcPr>
            <w:tcW w:w="1766" w:type="dxa"/>
          </w:tcPr>
          <w:p w14:paraId="03B8557D" w14:textId="77777777" w:rsidR="000B516E" w:rsidRPr="005D659A" w:rsidRDefault="000B516E" w:rsidP="001D685C">
            <w:pPr>
              <w:jc w:val="center"/>
              <w:rPr>
                <w:rFonts w:ascii="Arial Narrow" w:hAnsi="Arial Narrow"/>
                <w:b/>
                <w:bCs/>
                <w:sz w:val="22"/>
                <w:szCs w:val="22"/>
              </w:rPr>
            </w:pPr>
            <w:r w:rsidRPr="005D659A">
              <w:rPr>
                <w:rFonts w:ascii="Arial Narrow" w:hAnsi="Arial Narrow"/>
                <w:b/>
                <w:bCs/>
                <w:sz w:val="22"/>
                <w:szCs w:val="22"/>
              </w:rPr>
              <w:t>Inflación año anterior (%)</w:t>
            </w:r>
          </w:p>
        </w:tc>
        <w:tc>
          <w:tcPr>
            <w:tcW w:w="1766" w:type="dxa"/>
          </w:tcPr>
          <w:p w14:paraId="51B43E6D" w14:textId="77777777" w:rsidR="000B516E" w:rsidRPr="005D659A" w:rsidRDefault="000B516E" w:rsidP="001D685C">
            <w:pPr>
              <w:jc w:val="center"/>
              <w:rPr>
                <w:rFonts w:ascii="Arial Narrow" w:hAnsi="Arial Narrow"/>
                <w:b/>
                <w:bCs/>
                <w:sz w:val="22"/>
                <w:szCs w:val="22"/>
              </w:rPr>
            </w:pPr>
            <w:r w:rsidRPr="005D659A">
              <w:rPr>
                <w:rFonts w:ascii="Arial Narrow" w:hAnsi="Arial Narrow"/>
                <w:b/>
                <w:bCs/>
                <w:sz w:val="22"/>
                <w:szCs w:val="22"/>
              </w:rPr>
              <w:t>Incremento real aproximado (%)</w:t>
            </w:r>
          </w:p>
        </w:tc>
      </w:tr>
      <w:tr w:rsidR="005D659A" w:rsidRPr="005D659A" w14:paraId="2D9D64F2" w14:textId="77777777" w:rsidTr="001D685C">
        <w:tc>
          <w:tcPr>
            <w:tcW w:w="1765" w:type="dxa"/>
          </w:tcPr>
          <w:p w14:paraId="46A87C94"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2017</w:t>
            </w:r>
          </w:p>
        </w:tc>
        <w:tc>
          <w:tcPr>
            <w:tcW w:w="1765" w:type="dxa"/>
          </w:tcPr>
          <w:p w14:paraId="48C023CA"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737.717</w:t>
            </w:r>
          </w:p>
        </w:tc>
        <w:tc>
          <w:tcPr>
            <w:tcW w:w="1766" w:type="dxa"/>
          </w:tcPr>
          <w:p w14:paraId="0E29D70D"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7,0</w:t>
            </w:r>
          </w:p>
        </w:tc>
        <w:tc>
          <w:tcPr>
            <w:tcW w:w="1766" w:type="dxa"/>
          </w:tcPr>
          <w:p w14:paraId="762BB8F4"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5,75 (2016)</w:t>
            </w:r>
          </w:p>
        </w:tc>
        <w:tc>
          <w:tcPr>
            <w:tcW w:w="1766" w:type="dxa"/>
          </w:tcPr>
          <w:p w14:paraId="0663616E"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+1,25</w:t>
            </w:r>
          </w:p>
        </w:tc>
      </w:tr>
      <w:tr w:rsidR="005D659A" w:rsidRPr="005D659A" w14:paraId="0A628FBE" w14:textId="77777777" w:rsidTr="001D685C">
        <w:tc>
          <w:tcPr>
            <w:tcW w:w="1765" w:type="dxa"/>
          </w:tcPr>
          <w:p w14:paraId="0A36634C"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2018</w:t>
            </w:r>
          </w:p>
        </w:tc>
        <w:tc>
          <w:tcPr>
            <w:tcW w:w="1765" w:type="dxa"/>
          </w:tcPr>
          <w:p w14:paraId="638C03BE"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781.242</w:t>
            </w:r>
          </w:p>
        </w:tc>
        <w:tc>
          <w:tcPr>
            <w:tcW w:w="1766" w:type="dxa"/>
          </w:tcPr>
          <w:p w14:paraId="0D788584"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5,9</w:t>
            </w:r>
          </w:p>
        </w:tc>
        <w:tc>
          <w:tcPr>
            <w:tcW w:w="1766" w:type="dxa"/>
          </w:tcPr>
          <w:p w14:paraId="63A6C53C"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4,09 (2017)</w:t>
            </w:r>
          </w:p>
        </w:tc>
        <w:tc>
          <w:tcPr>
            <w:tcW w:w="1766" w:type="dxa"/>
          </w:tcPr>
          <w:p w14:paraId="0FE9760D"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+1,81</w:t>
            </w:r>
          </w:p>
        </w:tc>
      </w:tr>
      <w:tr w:rsidR="005D659A" w:rsidRPr="005D659A" w14:paraId="5646F572" w14:textId="77777777" w:rsidTr="001D685C">
        <w:tc>
          <w:tcPr>
            <w:tcW w:w="1765" w:type="dxa"/>
          </w:tcPr>
          <w:p w14:paraId="02311649"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2019</w:t>
            </w:r>
          </w:p>
        </w:tc>
        <w:tc>
          <w:tcPr>
            <w:tcW w:w="1765" w:type="dxa"/>
          </w:tcPr>
          <w:p w14:paraId="3030B315"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828.116</w:t>
            </w:r>
          </w:p>
        </w:tc>
        <w:tc>
          <w:tcPr>
            <w:tcW w:w="1766" w:type="dxa"/>
          </w:tcPr>
          <w:p w14:paraId="5752E7D3"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6,0</w:t>
            </w:r>
          </w:p>
        </w:tc>
        <w:tc>
          <w:tcPr>
            <w:tcW w:w="1766" w:type="dxa"/>
          </w:tcPr>
          <w:p w14:paraId="2294672A"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3,18 (2018)</w:t>
            </w:r>
          </w:p>
        </w:tc>
        <w:tc>
          <w:tcPr>
            <w:tcW w:w="1766" w:type="dxa"/>
          </w:tcPr>
          <w:p w14:paraId="3246841C"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+2,82</w:t>
            </w:r>
          </w:p>
        </w:tc>
      </w:tr>
      <w:tr w:rsidR="005D659A" w:rsidRPr="005D659A" w14:paraId="63E5A2C2" w14:textId="77777777" w:rsidTr="001D685C">
        <w:tc>
          <w:tcPr>
            <w:tcW w:w="1765" w:type="dxa"/>
          </w:tcPr>
          <w:p w14:paraId="7B42F6FE"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2020</w:t>
            </w:r>
          </w:p>
        </w:tc>
        <w:tc>
          <w:tcPr>
            <w:tcW w:w="1765" w:type="dxa"/>
          </w:tcPr>
          <w:p w14:paraId="530A73A5"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877.803</w:t>
            </w:r>
          </w:p>
        </w:tc>
        <w:tc>
          <w:tcPr>
            <w:tcW w:w="1766" w:type="dxa"/>
          </w:tcPr>
          <w:p w14:paraId="53036711"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6,0</w:t>
            </w:r>
          </w:p>
        </w:tc>
        <w:tc>
          <w:tcPr>
            <w:tcW w:w="1766" w:type="dxa"/>
          </w:tcPr>
          <w:p w14:paraId="4495E71E"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3,80 (2019)</w:t>
            </w:r>
          </w:p>
        </w:tc>
        <w:tc>
          <w:tcPr>
            <w:tcW w:w="1766" w:type="dxa"/>
          </w:tcPr>
          <w:p w14:paraId="45D051F9"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+2,20</w:t>
            </w:r>
          </w:p>
        </w:tc>
      </w:tr>
      <w:tr w:rsidR="005D659A" w:rsidRPr="005D659A" w14:paraId="38A806B5" w14:textId="77777777" w:rsidTr="001D685C">
        <w:tc>
          <w:tcPr>
            <w:tcW w:w="1765" w:type="dxa"/>
          </w:tcPr>
          <w:p w14:paraId="7BA1DC7E"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2021</w:t>
            </w:r>
          </w:p>
        </w:tc>
        <w:tc>
          <w:tcPr>
            <w:tcW w:w="1765" w:type="dxa"/>
          </w:tcPr>
          <w:p w14:paraId="0B94BCD2"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908.526</w:t>
            </w:r>
          </w:p>
        </w:tc>
        <w:tc>
          <w:tcPr>
            <w:tcW w:w="1766" w:type="dxa"/>
          </w:tcPr>
          <w:p w14:paraId="641C7F41"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3,5</w:t>
            </w:r>
          </w:p>
        </w:tc>
        <w:tc>
          <w:tcPr>
            <w:tcW w:w="1766" w:type="dxa"/>
          </w:tcPr>
          <w:p w14:paraId="344ADEF2"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1,61 (2020)</w:t>
            </w:r>
          </w:p>
        </w:tc>
        <w:tc>
          <w:tcPr>
            <w:tcW w:w="1766" w:type="dxa"/>
          </w:tcPr>
          <w:p w14:paraId="3757A6D5"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+1,89</w:t>
            </w:r>
          </w:p>
        </w:tc>
      </w:tr>
      <w:tr w:rsidR="005D659A" w:rsidRPr="005D659A" w14:paraId="15690EFF" w14:textId="77777777" w:rsidTr="001D685C">
        <w:tc>
          <w:tcPr>
            <w:tcW w:w="1765" w:type="dxa"/>
          </w:tcPr>
          <w:p w14:paraId="2116129D"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2022</w:t>
            </w:r>
          </w:p>
        </w:tc>
        <w:tc>
          <w:tcPr>
            <w:tcW w:w="1765" w:type="dxa"/>
          </w:tcPr>
          <w:p w14:paraId="66D4E81A"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1.000.000</w:t>
            </w:r>
          </w:p>
        </w:tc>
        <w:tc>
          <w:tcPr>
            <w:tcW w:w="1766" w:type="dxa"/>
          </w:tcPr>
          <w:p w14:paraId="10D909D6"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10,1</w:t>
            </w:r>
          </w:p>
        </w:tc>
        <w:tc>
          <w:tcPr>
            <w:tcW w:w="1766" w:type="dxa"/>
          </w:tcPr>
          <w:p w14:paraId="715B08CB"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5,62 (2021)</w:t>
            </w:r>
          </w:p>
        </w:tc>
        <w:tc>
          <w:tcPr>
            <w:tcW w:w="1766" w:type="dxa"/>
          </w:tcPr>
          <w:p w14:paraId="4C6D3A79"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+4,48</w:t>
            </w:r>
          </w:p>
        </w:tc>
      </w:tr>
      <w:tr w:rsidR="005D659A" w:rsidRPr="005D659A" w14:paraId="0DDF73D8" w14:textId="77777777" w:rsidTr="001D685C">
        <w:tc>
          <w:tcPr>
            <w:tcW w:w="1765" w:type="dxa"/>
          </w:tcPr>
          <w:p w14:paraId="7A711AB5"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2023</w:t>
            </w:r>
          </w:p>
        </w:tc>
        <w:tc>
          <w:tcPr>
            <w:tcW w:w="1765" w:type="dxa"/>
          </w:tcPr>
          <w:p w14:paraId="601A9C4B"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1.160.000</w:t>
            </w:r>
          </w:p>
        </w:tc>
        <w:tc>
          <w:tcPr>
            <w:tcW w:w="1766" w:type="dxa"/>
          </w:tcPr>
          <w:p w14:paraId="77EAE3E7"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16,0</w:t>
            </w:r>
          </w:p>
        </w:tc>
        <w:tc>
          <w:tcPr>
            <w:tcW w:w="1766" w:type="dxa"/>
          </w:tcPr>
          <w:p w14:paraId="0935FC06"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13,12 (2022)</w:t>
            </w:r>
          </w:p>
        </w:tc>
        <w:tc>
          <w:tcPr>
            <w:tcW w:w="1766" w:type="dxa"/>
          </w:tcPr>
          <w:p w14:paraId="77122341"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+2.88</w:t>
            </w:r>
          </w:p>
        </w:tc>
      </w:tr>
      <w:tr w:rsidR="005D659A" w:rsidRPr="005D659A" w14:paraId="22E30476" w14:textId="77777777" w:rsidTr="001D685C">
        <w:tc>
          <w:tcPr>
            <w:tcW w:w="1765" w:type="dxa"/>
          </w:tcPr>
          <w:p w14:paraId="506BE96E"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2024</w:t>
            </w:r>
          </w:p>
        </w:tc>
        <w:tc>
          <w:tcPr>
            <w:tcW w:w="1765" w:type="dxa"/>
          </w:tcPr>
          <w:p w14:paraId="56E6F122"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1.300.000</w:t>
            </w:r>
          </w:p>
        </w:tc>
        <w:tc>
          <w:tcPr>
            <w:tcW w:w="1766" w:type="dxa"/>
          </w:tcPr>
          <w:p w14:paraId="74BD8CD3"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12,1</w:t>
            </w:r>
          </w:p>
        </w:tc>
        <w:tc>
          <w:tcPr>
            <w:tcW w:w="1766" w:type="dxa"/>
          </w:tcPr>
          <w:p w14:paraId="26D074F0"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9,28 (2023)</w:t>
            </w:r>
          </w:p>
        </w:tc>
        <w:tc>
          <w:tcPr>
            <w:tcW w:w="1766" w:type="dxa"/>
          </w:tcPr>
          <w:p w14:paraId="2622DF73"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+2,82</w:t>
            </w:r>
          </w:p>
        </w:tc>
      </w:tr>
      <w:tr w:rsidR="005D659A" w:rsidRPr="005D659A" w14:paraId="638F5004" w14:textId="77777777" w:rsidTr="001D685C">
        <w:tc>
          <w:tcPr>
            <w:tcW w:w="1765" w:type="dxa"/>
          </w:tcPr>
          <w:p w14:paraId="7A2EF9DB"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2025</w:t>
            </w:r>
          </w:p>
        </w:tc>
        <w:tc>
          <w:tcPr>
            <w:tcW w:w="1765" w:type="dxa"/>
          </w:tcPr>
          <w:p w14:paraId="77344256"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1.423.500</w:t>
            </w:r>
          </w:p>
        </w:tc>
        <w:tc>
          <w:tcPr>
            <w:tcW w:w="1766" w:type="dxa"/>
          </w:tcPr>
          <w:p w14:paraId="2AE1E025"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9,5</w:t>
            </w:r>
          </w:p>
        </w:tc>
        <w:tc>
          <w:tcPr>
            <w:tcW w:w="1766" w:type="dxa"/>
          </w:tcPr>
          <w:p w14:paraId="3660AB82"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5,2 (2024)</w:t>
            </w:r>
          </w:p>
        </w:tc>
        <w:tc>
          <w:tcPr>
            <w:tcW w:w="1766" w:type="dxa"/>
          </w:tcPr>
          <w:p w14:paraId="35A05951"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+4,3</w:t>
            </w:r>
          </w:p>
        </w:tc>
      </w:tr>
      <w:tr w:rsidR="000B516E" w:rsidRPr="005D659A" w14:paraId="588ECC40" w14:textId="77777777" w:rsidTr="001D685C">
        <w:tc>
          <w:tcPr>
            <w:tcW w:w="1765" w:type="dxa"/>
          </w:tcPr>
          <w:p w14:paraId="0BFD9042"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2026</w:t>
            </w:r>
          </w:p>
        </w:tc>
        <w:tc>
          <w:tcPr>
            <w:tcW w:w="1765" w:type="dxa"/>
          </w:tcPr>
          <w:p w14:paraId="1993EF8C"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1.750.905</w:t>
            </w:r>
          </w:p>
        </w:tc>
        <w:tc>
          <w:tcPr>
            <w:tcW w:w="1766" w:type="dxa"/>
          </w:tcPr>
          <w:p w14:paraId="5B5990D8"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23,0</w:t>
            </w:r>
          </w:p>
        </w:tc>
        <w:tc>
          <w:tcPr>
            <w:tcW w:w="1766" w:type="dxa"/>
          </w:tcPr>
          <w:p w14:paraId="16169725"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5,1 (2025)</w:t>
            </w:r>
          </w:p>
        </w:tc>
        <w:tc>
          <w:tcPr>
            <w:tcW w:w="1766" w:type="dxa"/>
          </w:tcPr>
          <w:p w14:paraId="7BB136C3" w14:textId="77777777" w:rsidR="000B516E" w:rsidRPr="005D659A" w:rsidRDefault="000B516E" w:rsidP="001D685C">
            <w:pPr>
              <w:jc w:val="center"/>
              <w:rPr>
                <w:rFonts w:ascii="Arial Narrow" w:hAnsi="Arial Narrow"/>
                <w:sz w:val="22"/>
                <w:szCs w:val="22"/>
              </w:rPr>
            </w:pPr>
            <w:r w:rsidRPr="005D659A">
              <w:rPr>
                <w:rFonts w:ascii="Arial Narrow" w:hAnsi="Arial Narrow"/>
                <w:sz w:val="22"/>
                <w:szCs w:val="22"/>
              </w:rPr>
              <w:t>+17,9</w:t>
            </w:r>
          </w:p>
        </w:tc>
      </w:tr>
    </w:tbl>
    <w:p w14:paraId="793EA55D" w14:textId="77777777" w:rsidR="000B516E" w:rsidRPr="005D659A" w:rsidRDefault="000B516E" w:rsidP="000B516E"/>
    <w:p w14:paraId="735AD31F" w14:textId="77777777" w:rsidR="000B516E" w:rsidRPr="005D659A" w:rsidRDefault="000B516E" w:rsidP="000B516E">
      <w:pPr>
        <w:jc w:val="both"/>
        <w:rPr>
          <w:rFonts w:ascii="Arial Narrow" w:hAnsi="Arial Narrow" w:cs="Arial"/>
          <w:sz w:val="22"/>
          <w:szCs w:val="22"/>
          <w:lang w:val="es-CO"/>
        </w:rPr>
      </w:pPr>
    </w:p>
    <w:p w14:paraId="7E6253A7" w14:textId="77777777" w:rsidR="000B516E" w:rsidRPr="005D659A" w:rsidRDefault="000B516E" w:rsidP="000B516E">
      <w:pPr>
        <w:jc w:val="both"/>
        <w:rPr>
          <w:rFonts w:ascii="Arial Narrow" w:hAnsi="Arial Narrow" w:cs="Arial"/>
          <w:sz w:val="22"/>
          <w:szCs w:val="22"/>
          <w:lang w:val="es-CO"/>
        </w:rPr>
      </w:pPr>
      <w:r w:rsidRPr="005D659A">
        <w:rPr>
          <w:rFonts w:ascii="Arial Narrow" w:hAnsi="Arial Narrow" w:cs="Arial"/>
          <w:sz w:val="22"/>
          <w:szCs w:val="22"/>
          <w:lang w:val="es-CO"/>
        </w:rPr>
        <w:t>Que del análisis comparado se evidencia que, en términos acumulados, el Salario Mínimo Legal Mensual Vigente ha tenido un crecimiento real positivo de 42.35% desde 2017, consolidando una mejora sustancial del poder adquisitivo del ingreso mínimo, particularmente con el incremento decretado para el año 2026, el cual representa un aumento nominal del veintitrés por ciento (23%), significativamente superior a los niveles recientes de inflación.</w:t>
      </w:r>
    </w:p>
    <w:p w14:paraId="5A689FB2" w14:textId="77777777" w:rsidR="009D5A0F" w:rsidRPr="005D659A" w:rsidRDefault="009D5A0F" w:rsidP="0094007D">
      <w:pPr>
        <w:jc w:val="both"/>
        <w:rPr>
          <w:rFonts w:ascii="Arial Narrow" w:hAnsi="Arial Narrow" w:cs="Arial"/>
          <w:sz w:val="22"/>
          <w:szCs w:val="22"/>
        </w:rPr>
      </w:pPr>
    </w:p>
    <w:p w14:paraId="2C27293C" w14:textId="6D5C0196" w:rsidR="008D6D9D" w:rsidRPr="005D659A" w:rsidRDefault="008D6D9D" w:rsidP="0094007D">
      <w:pPr>
        <w:jc w:val="both"/>
        <w:rPr>
          <w:rFonts w:ascii="Arial Narrow" w:hAnsi="Arial Narrow" w:cs="Arial"/>
          <w:sz w:val="22"/>
          <w:szCs w:val="22"/>
          <w:lang w:val="es-CO"/>
        </w:rPr>
      </w:pPr>
      <w:r w:rsidRPr="005D659A">
        <w:rPr>
          <w:rFonts w:ascii="Arial Narrow" w:hAnsi="Arial Narrow" w:cs="Arial"/>
          <w:sz w:val="22"/>
          <w:szCs w:val="22"/>
          <w:lang w:val="es-CO"/>
        </w:rPr>
        <w:t xml:space="preserve">Que el incremento del Salario Mínimo Legal Mensual Vigente fijado </w:t>
      </w:r>
      <w:r w:rsidR="00927BD3" w:rsidRPr="005D659A">
        <w:rPr>
          <w:rFonts w:ascii="Arial Narrow" w:hAnsi="Arial Narrow" w:cs="Arial"/>
          <w:sz w:val="22"/>
          <w:szCs w:val="22"/>
          <w:lang w:val="es-CO"/>
        </w:rPr>
        <w:t xml:space="preserve">durante los años </w:t>
      </w:r>
      <w:r w:rsidR="009D5A0F" w:rsidRPr="005D659A">
        <w:rPr>
          <w:rFonts w:ascii="Arial Narrow" w:hAnsi="Arial Narrow" w:cs="Arial"/>
          <w:sz w:val="22"/>
          <w:szCs w:val="22"/>
          <w:lang w:val="es-CO"/>
        </w:rPr>
        <w:t xml:space="preserve">2017 a 2026  </w:t>
      </w:r>
      <w:r w:rsidRPr="005D659A">
        <w:rPr>
          <w:rFonts w:ascii="Arial Narrow" w:hAnsi="Arial Narrow" w:cs="Arial"/>
          <w:sz w:val="22"/>
          <w:szCs w:val="22"/>
          <w:lang w:val="es-CO"/>
        </w:rPr>
        <w:t>permite afirmar, de manera razonable y objetiva, que una persona que devenga</w:t>
      </w:r>
      <w:r w:rsidR="0094007D" w:rsidRPr="005D659A">
        <w:rPr>
          <w:rFonts w:ascii="Arial Narrow" w:hAnsi="Arial Narrow" w:cs="Arial"/>
          <w:sz w:val="22"/>
          <w:szCs w:val="22"/>
          <w:lang w:val="es-CO"/>
        </w:rPr>
        <w:t xml:space="preserve"> </w:t>
      </w:r>
      <w:r w:rsidRPr="005D659A">
        <w:rPr>
          <w:rFonts w:ascii="Arial Narrow" w:hAnsi="Arial Narrow" w:cs="Arial"/>
          <w:sz w:val="22"/>
          <w:szCs w:val="22"/>
          <w:lang w:val="es-CO"/>
        </w:rPr>
        <w:t>ingreso</w:t>
      </w:r>
      <w:r w:rsidR="002E306B" w:rsidRPr="005D659A">
        <w:rPr>
          <w:rFonts w:ascii="Arial Narrow" w:hAnsi="Arial Narrow" w:cs="Arial"/>
          <w:sz w:val="22"/>
          <w:szCs w:val="22"/>
          <w:lang w:val="es-CO"/>
        </w:rPr>
        <w:t xml:space="preserve">s </w:t>
      </w:r>
      <w:r w:rsidR="00C6270B" w:rsidRPr="005D659A">
        <w:rPr>
          <w:rFonts w:ascii="Arial Narrow" w:hAnsi="Arial Narrow" w:cs="Arial"/>
          <w:sz w:val="22"/>
          <w:szCs w:val="22"/>
          <w:lang w:val="es-CO"/>
        </w:rPr>
        <w:t xml:space="preserve">como consecuencia de un vínculo contractual, laboral, legal o reglamentario, o de contratos que les generen ingresos </w:t>
      </w:r>
      <w:r w:rsidR="002E306B" w:rsidRPr="005D659A">
        <w:rPr>
          <w:rFonts w:ascii="Arial Narrow" w:hAnsi="Arial Narrow" w:cs="Arial"/>
          <w:sz w:val="22"/>
          <w:szCs w:val="22"/>
          <w:lang w:val="es-CO"/>
        </w:rPr>
        <w:t>que le per</w:t>
      </w:r>
      <w:r w:rsidR="00366C69" w:rsidRPr="005D659A">
        <w:rPr>
          <w:rFonts w:ascii="Arial Narrow" w:hAnsi="Arial Narrow" w:cs="Arial"/>
          <w:sz w:val="22"/>
          <w:szCs w:val="22"/>
          <w:lang w:val="es-CO"/>
        </w:rPr>
        <w:t>m</w:t>
      </w:r>
      <w:r w:rsidR="002E306B" w:rsidRPr="005D659A">
        <w:rPr>
          <w:rFonts w:ascii="Arial Narrow" w:hAnsi="Arial Narrow" w:cs="Arial"/>
          <w:sz w:val="22"/>
          <w:szCs w:val="22"/>
          <w:lang w:val="es-CO"/>
        </w:rPr>
        <w:t>iten</w:t>
      </w:r>
      <w:r w:rsidR="0094007D" w:rsidRPr="005D659A">
        <w:rPr>
          <w:rFonts w:ascii="Arial Narrow" w:hAnsi="Arial Narrow" w:cs="Arial"/>
          <w:sz w:val="22"/>
          <w:szCs w:val="22"/>
          <w:lang w:val="es-CO"/>
        </w:rPr>
        <w:t xml:space="preserve"> </w:t>
      </w:r>
      <w:r w:rsidRPr="005D659A">
        <w:rPr>
          <w:rFonts w:ascii="Arial Narrow" w:hAnsi="Arial Narrow" w:cs="Arial"/>
          <w:sz w:val="22"/>
          <w:szCs w:val="22"/>
          <w:lang w:val="es-CO"/>
        </w:rPr>
        <w:t>para sufragar los costos básicos de subsistencia en condiciones de dignidad, particularmente si se tiene en cuenta el tamaño promedio del hogar colombiano y el mandato constitucional de salario mínimo vital y móvil.</w:t>
      </w:r>
    </w:p>
    <w:p w14:paraId="7CDD0A34" w14:textId="77777777" w:rsidR="008D6D9D" w:rsidRPr="005D659A" w:rsidRDefault="008D6D9D" w:rsidP="0094007D">
      <w:pPr>
        <w:jc w:val="both"/>
        <w:rPr>
          <w:rFonts w:ascii="Arial Narrow" w:hAnsi="Arial Narrow" w:cs="Arial"/>
          <w:sz w:val="22"/>
          <w:szCs w:val="22"/>
          <w:lang w:val="es-CO"/>
        </w:rPr>
      </w:pPr>
    </w:p>
    <w:p w14:paraId="7565A9D3" w14:textId="3F16A946" w:rsidR="008D6D9D" w:rsidRPr="005D659A" w:rsidRDefault="008D6D9D" w:rsidP="0094007D">
      <w:pPr>
        <w:jc w:val="both"/>
        <w:rPr>
          <w:rFonts w:ascii="Arial Narrow" w:hAnsi="Arial Narrow" w:cs="Arial"/>
          <w:sz w:val="22"/>
          <w:szCs w:val="22"/>
          <w:lang w:val="es-CO"/>
        </w:rPr>
      </w:pPr>
      <w:r w:rsidRPr="005D659A">
        <w:rPr>
          <w:rFonts w:ascii="Arial Narrow" w:hAnsi="Arial Narrow" w:cs="Arial"/>
          <w:sz w:val="22"/>
          <w:szCs w:val="22"/>
          <w:lang w:val="es-CO"/>
        </w:rPr>
        <w:t xml:space="preserve">Que, en consecuencia, resulta razonable </w:t>
      </w:r>
      <w:r w:rsidR="008F1F24" w:rsidRPr="005D659A">
        <w:rPr>
          <w:rFonts w:ascii="Arial Narrow" w:hAnsi="Arial Narrow" w:cs="Arial"/>
          <w:sz w:val="22"/>
          <w:szCs w:val="22"/>
          <w:lang w:val="es-CO"/>
        </w:rPr>
        <w:t xml:space="preserve">afirmar </w:t>
      </w:r>
      <w:r w:rsidRPr="005D659A">
        <w:rPr>
          <w:rFonts w:ascii="Arial Narrow" w:hAnsi="Arial Narrow" w:cs="Arial"/>
          <w:sz w:val="22"/>
          <w:szCs w:val="22"/>
          <w:lang w:val="es-CO"/>
        </w:rPr>
        <w:t>que las personas en proceso de reincorporación que, luego de más de ocho (8) años de acompañamiento estatal, devengan ingresos</w:t>
      </w:r>
      <w:r w:rsidR="006D4BD2" w:rsidRPr="005D659A">
        <w:rPr>
          <w:rFonts w:ascii="Arial Narrow" w:hAnsi="Arial Narrow" w:cs="Arial"/>
          <w:sz w:val="22"/>
          <w:szCs w:val="22"/>
          <w:lang w:val="es-CO"/>
        </w:rPr>
        <w:t xml:space="preserve"> </w:t>
      </w:r>
      <w:r w:rsidRPr="005D659A">
        <w:rPr>
          <w:rFonts w:ascii="Arial Narrow" w:hAnsi="Arial Narrow" w:cs="Arial"/>
          <w:sz w:val="22"/>
          <w:szCs w:val="22"/>
          <w:lang w:val="es-CO"/>
        </w:rPr>
        <w:t>han adquirido destrezas, competencias y capacidades suficientes para asumir de manera autónoma su subsistencia, sin que ello implique desconocer el carácter diferencial ni los enfoques del Programa de Reincorporación Integral.</w:t>
      </w:r>
    </w:p>
    <w:p w14:paraId="24C34A0C" w14:textId="77777777" w:rsidR="008D6D9D" w:rsidRPr="005D659A" w:rsidRDefault="008D6D9D" w:rsidP="0094007D">
      <w:pPr>
        <w:jc w:val="both"/>
        <w:rPr>
          <w:rFonts w:ascii="Arial Narrow" w:hAnsi="Arial Narrow" w:cs="Arial"/>
          <w:sz w:val="22"/>
          <w:szCs w:val="22"/>
          <w:lang w:val="es-CO"/>
        </w:rPr>
      </w:pPr>
    </w:p>
    <w:p w14:paraId="58310B59" w14:textId="19F996EE" w:rsidR="008D6D9D" w:rsidRPr="005D659A" w:rsidRDefault="008D6D9D" w:rsidP="0094007D">
      <w:pPr>
        <w:jc w:val="both"/>
        <w:rPr>
          <w:rFonts w:ascii="Arial Narrow" w:hAnsi="Arial Narrow" w:cs="Arial"/>
          <w:sz w:val="22"/>
          <w:szCs w:val="22"/>
          <w:lang w:val="es-CO"/>
        </w:rPr>
      </w:pPr>
      <w:r w:rsidRPr="005D659A">
        <w:rPr>
          <w:rFonts w:ascii="Arial Narrow" w:hAnsi="Arial Narrow" w:cs="Arial"/>
          <w:sz w:val="22"/>
          <w:szCs w:val="22"/>
          <w:lang w:val="es-CO"/>
        </w:rPr>
        <w:t xml:space="preserve">Que la redefinición </w:t>
      </w:r>
      <w:r w:rsidR="006D4BD2" w:rsidRPr="005D659A">
        <w:rPr>
          <w:rFonts w:ascii="Arial Narrow" w:hAnsi="Arial Narrow" w:cs="Arial"/>
          <w:sz w:val="22"/>
          <w:szCs w:val="22"/>
          <w:lang w:val="es-CO"/>
        </w:rPr>
        <w:t>de las condici</w:t>
      </w:r>
      <w:r w:rsidR="000475DC" w:rsidRPr="005D659A">
        <w:rPr>
          <w:rFonts w:ascii="Arial Narrow" w:hAnsi="Arial Narrow" w:cs="Arial"/>
          <w:sz w:val="22"/>
          <w:szCs w:val="22"/>
          <w:lang w:val="es-CO"/>
        </w:rPr>
        <w:t>ones</w:t>
      </w:r>
      <w:r w:rsidR="006D4BD2" w:rsidRPr="005D659A">
        <w:rPr>
          <w:rFonts w:ascii="Arial Narrow" w:hAnsi="Arial Narrow" w:cs="Arial"/>
          <w:sz w:val="22"/>
          <w:szCs w:val="22"/>
          <w:lang w:val="es-CO"/>
        </w:rPr>
        <w:t xml:space="preserve"> de</w:t>
      </w:r>
      <w:r w:rsidRPr="005D659A">
        <w:rPr>
          <w:rFonts w:ascii="Arial Narrow" w:hAnsi="Arial Narrow" w:cs="Arial"/>
          <w:sz w:val="22"/>
          <w:szCs w:val="22"/>
          <w:lang w:val="es-CO"/>
        </w:rPr>
        <w:t xml:space="preserve"> acceso a la Asignación Mensual responde, además, a criterios de sostenibilidad fiscal y de eficiencia en el uso de los recursos públicos, permitiendo focalizar el beneficio en las personas que se encuentran en mayor situación de vulnerabilidad económica y garantizar su continuidad para un mayor número de firmantes de paz que aún requieren dicho apoyo para avanzar en su Plan de Reincorporación Individual.</w:t>
      </w:r>
    </w:p>
    <w:p w14:paraId="7044A3A0" w14:textId="77777777" w:rsidR="008F1F24" w:rsidRPr="005D659A" w:rsidRDefault="008F1F24" w:rsidP="0094007D">
      <w:pPr>
        <w:jc w:val="both"/>
        <w:rPr>
          <w:rFonts w:ascii="Arial Narrow" w:hAnsi="Arial Narrow" w:cs="Arial"/>
          <w:sz w:val="22"/>
          <w:szCs w:val="22"/>
          <w:lang w:val="es-CO"/>
        </w:rPr>
      </w:pPr>
    </w:p>
    <w:p w14:paraId="607C9A47" w14:textId="1C64395C" w:rsidR="0091670F" w:rsidRPr="005D659A" w:rsidRDefault="0091670F" w:rsidP="0094007D">
      <w:pPr>
        <w:jc w:val="both"/>
        <w:rPr>
          <w:rFonts w:ascii="Arial Narrow" w:hAnsi="Arial Narrow" w:cs="Arial"/>
          <w:sz w:val="22"/>
          <w:szCs w:val="22"/>
        </w:rPr>
      </w:pPr>
    </w:p>
    <w:p w14:paraId="2589FE09" w14:textId="41AF39A3" w:rsidR="007B4C15" w:rsidRPr="005D659A" w:rsidRDefault="0091670F" w:rsidP="0094007D">
      <w:pPr>
        <w:jc w:val="both"/>
        <w:rPr>
          <w:rFonts w:ascii="Arial Narrow" w:hAnsi="Arial Narrow" w:cs="Arial"/>
          <w:sz w:val="22"/>
          <w:szCs w:val="22"/>
        </w:rPr>
      </w:pPr>
      <w:r w:rsidRPr="005D659A">
        <w:rPr>
          <w:rFonts w:ascii="Arial Narrow" w:hAnsi="Arial Narrow" w:cs="Arial"/>
          <w:sz w:val="22"/>
          <w:szCs w:val="22"/>
        </w:rPr>
        <w:t>Que por las consideraciones antes</w:t>
      </w:r>
      <w:r w:rsidR="0094007D" w:rsidRPr="005D659A">
        <w:rPr>
          <w:rFonts w:ascii="Arial Narrow" w:hAnsi="Arial Narrow" w:cs="Arial"/>
          <w:sz w:val="22"/>
          <w:szCs w:val="22"/>
        </w:rPr>
        <w:t xml:space="preserve"> </w:t>
      </w:r>
      <w:r w:rsidRPr="005D659A">
        <w:rPr>
          <w:rFonts w:ascii="Arial Narrow" w:hAnsi="Arial Narrow" w:cs="Arial"/>
          <w:sz w:val="22"/>
          <w:szCs w:val="22"/>
        </w:rPr>
        <w:t>expuestas</w:t>
      </w:r>
      <w:r w:rsidR="002E306B" w:rsidRPr="005D659A">
        <w:rPr>
          <w:rFonts w:ascii="Arial Narrow" w:hAnsi="Arial Narrow" w:cs="Arial"/>
          <w:sz w:val="22"/>
          <w:szCs w:val="22"/>
        </w:rPr>
        <w:t xml:space="preserve"> y amparados en los principios de r</w:t>
      </w:r>
      <w:proofErr w:type="spellStart"/>
      <w:r w:rsidR="002E306B" w:rsidRPr="005D659A">
        <w:rPr>
          <w:rFonts w:ascii="Arial Narrow" w:hAnsi="Arial Narrow" w:cs="Arial"/>
          <w:sz w:val="22"/>
          <w:szCs w:val="22"/>
          <w:lang w:val="es-CO"/>
        </w:rPr>
        <w:t>azonabilidad</w:t>
      </w:r>
      <w:proofErr w:type="spellEnd"/>
      <w:r w:rsidR="002E306B" w:rsidRPr="005D659A">
        <w:rPr>
          <w:rFonts w:ascii="Arial Narrow" w:hAnsi="Arial Narrow" w:cs="Arial"/>
          <w:sz w:val="22"/>
          <w:szCs w:val="22"/>
          <w:lang w:val="es-CO"/>
        </w:rPr>
        <w:t>, proporcionalidad, progresividad y equidad,</w:t>
      </w:r>
      <w:r w:rsidR="0094007D" w:rsidRPr="005D659A">
        <w:rPr>
          <w:rFonts w:ascii="Arial Narrow" w:hAnsi="Arial Narrow" w:cs="Arial"/>
          <w:sz w:val="22"/>
          <w:szCs w:val="22"/>
          <w:lang w:val="es-CO"/>
        </w:rPr>
        <w:t xml:space="preserve"> </w:t>
      </w:r>
      <w:r w:rsidR="002E306B" w:rsidRPr="005D659A">
        <w:rPr>
          <w:rFonts w:ascii="Arial Narrow" w:hAnsi="Arial Narrow" w:cs="Arial"/>
          <w:sz w:val="22"/>
          <w:szCs w:val="22"/>
        </w:rPr>
        <w:t xml:space="preserve"> </w:t>
      </w:r>
      <w:r w:rsidR="007B4C15" w:rsidRPr="005D659A">
        <w:rPr>
          <w:rFonts w:ascii="Arial Narrow" w:hAnsi="Arial Narrow" w:cs="Arial"/>
          <w:sz w:val="22"/>
          <w:szCs w:val="22"/>
        </w:rPr>
        <w:t>se hace necesario</w:t>
      </w:r>
      <w:r w:rsidR="0052123A" w:rsidRPr="005D659A">
        <w:rPr>
          <w:rFonts w:ascii="Arial Narrow" w:hAnsi="Arial Narrow" w:cs="Arial"/>
          <w:sz w:val="22"/>
          <w:szCs w:val="22"/>
        </w:rPr>
        <w:t xml:space="preserve"> modificar el parágrafo 1 del artículo 44 de la Resolución 2319 de 2024, modificad</w:t>
      </w:r>
      <w:r w:rsidR="00A873B0" w:rsidRPr="005D659A">
        <w:rPr>
          <w:rFonts w:ascii="Arial Narrow" w:hAnsi="Arial Narrow" w:cs="Arial"/>
          <w:sz w:val="22"/>
          <w:szCs w:val="22"/>
        </w:rPr>
        <w:t>a</w:t>
      </w:r>
      <w:r w:rsidR="0052123A" w:rsidRPr="005D659A">
        <w:rPr>
          <w:rFonts w:ascii="Arial Narrow" w:hAnsi="Arial Narrow" w:cs="Arial"/>
          <w:sz w:val="22"/>
          <w:szCs w:val="22"/>
        </w:rPr>
        <w:t xml:space="preserve"> por las resoluciones 030, 950 y 3195 de 2025, </w:t>
      </w:r>
      <w:r w:rsidR="007B4C15" w:rsidRPr="005D659A">
        <w:rPr>
          <w:rFonts w:ascii="Arial Narrow" w:hAnsi="Arial Narrow" w:cs="Arial"/>
          <w:sz w:val="22"/>
          <w:szCs w:val="22"/>
        </w:rPr>
        <w:t>redefini</w:t>
      </w:r>
      <w:r w:rsidR="00370D50" w:rsidRPr="005D659A">
        <w:rPr>
          <w:rFonts w:ascii="Arial Narrow" w:hAnsi="Arial Narrow" w:cs="Arial"/>
          <w:sz w:val="22"/>
          <w:szCs w:val="22"/>
        </w:rPr>
        <w:t>endo</w:t>
      </w:r>
      <w:r w:rsidR="007B4C15" w:rsidRPr="005D659A">
        <w:rPr>
          <w:rFonts w:ascii="Arial Narrow" w:hAnsi="Arial Narrow" w:cs="Arial"/>
          <w:sz w:val="22"/>
          <w:szCs w:val="22"/>
        </w:rPr>
        <w:t xml:space="preserve"> las </w:t>
      </w:r>
      <w:r w:rsidR="00EA73AE" w:rsidRPr="005D659A">
        <w:rPr>
          <w:rFonts w:ascii="Arial Narrow" w:hAnsi="Arial Narrow" w:cs="Arial"/>
          <w:sz w:val="22"/>
          <w:szCs w:val="22"/>
        </w:rPr>
        <w:t>condiciones de acceso</w:t>
      </w:r>
      <w:r w:rsidR="00A8680C" w:rsidRPr="005D659A">
        <w:rPr>
          <w:rFonts w:ascii="Arial Narrow" w:hAnsi="Arial Narrow" w:cs="Arial"/>
          <w:sz w:val="22"/>
          <w:szCs w:val="22"/>
        </w:rPr>
        <w:t xml:space="preserve"> </w:t>
      </w:r>
      <w:r w:rsidR="00B63BA9" w:rsidRPr="005D659A">
        <w:rPr>
          <w:rFonts w:ascii="Arial Narrow" w:hAnsi="Arial Narrow" w:cs="Arial"/>
          <w:sz w:val="22"/>
          <w:szCs w:val="22"/>
        </w:rPr>
        <w:t xml:space="preserve">para </w:t>
      </w:r>
      <w:r w:rsidR="00D72B8F" w:rsidRPr="005D659A">
        <w:rPr>
          <w:rFonts w:ascii="Arial Narrow" w:hAnsi="Arial Narrow" w:cs="Arial"/>
          <w:sz w:val="22"/>
          <w:szCs w:val="22"/>
        </w:rPr>
        <w:t>su</w:t>
      </w:r>
      <w:r w:rsidR="00B63BA9" w:rsidRPr="005D659A">
        <w:rPr>
          <w:rFonts w:ascii="Arial Narrow" w:hAnsi="Arial Narrow" w:cs="Arial"/>
          <w:sz w:val="22"/>
          <w:szCs w:val="22"/>
        </w:rPr>
        <w:t xml:space="preserve"> reconocimiento</w:t>
      </w:r>
      <w:r w:rsidR="0094007D" w:rsidRPr="005D659A">
        <w:rPr>
          <w:rFonts w:ascii="Arial Narrow" w:hAnsi="Arial Narrow" w:cs="Arial"/>
          <w:sz w:val="22"/>
          <w:szCs w:val="22"/>
        </w:rPr>
        <w:t xml:space="preserve"> </w:t>
      </w:r>
      <w:r w:rsidR="002E306B" w:rsidRPr="005D659A">
        <w:rPr>
          <w:rFonts w:ascii="Arial Narrow" w:hAnsi="Arial Narrow" w:cs="Arial"/>
          <w:sz w:val="22"/>
          <w:szCs w:val="22"/>
        </w:rPr>
        <w:t>estableciendo</w:t>
      </w:r>
      <w:r w:rsidR="0094007D" w:rsidRPr="005D659A">
        <w:rPr>
          <w:rFonts w:ascii="Arial Narrow" w:hAnsi="Arial Narrow" w:cs="Arial"/>
          <w:sz w:val="22"/>
          <w:szCs w:val="22"/>
        </w:rPr>
        <w:t xml:space="preserve"> </w:t>
      </w:r>
      <w:r w:rsidR="002E306B" w:rsidRPr="005D659A">
        <w:rPr>
          <w:rFonts w:ascii="Arial Narrow" w:hAnsi="Arial Narrow" w:cs="Arial"/>
          <w:sz w:val="22"/>
          <w:szCs w:val="22"/>
        </w:rPr>
        <w:t>que dicho reconocimiento</w:t>
      </w:r>
      <w:r w:rsidR="0094007D" w:rsidRPr="005D659A">
        <w:rPr>
          <w:rFonts w:ascii="Arial Narrow" w:hAnsi="Arial Narrow" w:cs="Arial"/>
          <w:sz w:val="22"/>
          <w:szCs w:val="22"/>
        </w:rPr>
        <w:t xml:space="preserve"> </w:t>
      </w:r>
      <w:r w:rsidR="002E306B" w:rsidRPr="005D659A">
        <w:rPr>
          <w:rFonts w:ascii="Arial Narrow" w:hAnsi="Arial Narrow" w:cs="Arial"/>
          <w:sz w:val="22"/>
          <w:szCs w:val="22"/>
        </w:rPr>
        <w:t>procederá para quienes no perciban</w:t>
      </w:r>
      <w:r w:rsidR="0094007D" w:rsidRPr="005D659A">
        <w:rPr>
          <w:rFonts w:ascii="Arial Narrow" w:hAnsi="Arial Narrow" w:cs="Arial"/>
          <w:sz w:val="22"/>
          <w:szCs w:val="22"/>
        </w:rPr>
        <w:t xml:space="preserve"> </w:t>
      </w:r>
      <w:r w:rsidR="002E306B" w:rsidRPr="005D659A">
        <w:rPr>
          <w:rFonts w:ascii="Arial Narrow" w:hAnsi="Arial Narrow" w:cs="Arial"/>
          <w:sz w:val="22"/>
          <w:szCs w:val="22"/>
        </w:rPr>
        <w:t>ingresos</w:t>
      </w:r>
      <w:r w:rsidR="00F06988" w:rsidRPr="005D659A">
        <w:rPr>
          <w:rFonts w:ascii="Arial Narrow" w:hAnsi="Arial Narrow" w:cs="Arial"/>
          <w:sz w:val="22"/>
          <w:szCs w:val="22"/>
        </w:rPr>
        <w:t xml:space="preserve">, </w:t>
      </w:r>
      <w:r w:rsidR="00E9175F" w:rsidRPr="005D659A">
        <w:rPr>
          <w:rFonts w:ascii="Arial Narrow" w:hAnsi="Arial Narrow" w:cs="Arial"/>
          <w:sz w:val="22"/>
          <w:szCs w:val="22"/>
        </w:rPr>
        <w:t>y de esta manera</w:t>
      </w:r>
      <w:r w:rsidR="000D4259" w:rsidRPr="005D659A">
        <w:rPr>
          <w:rFonts w:ascii="Arial Narrow" w:hAnsi="Arial Narrow" w:cs="Arial"/>
          <w:sz w:val="22"/>
          <w:szCs w:val="22"/>
        </w:rPr>
        <w:t>,</w:t>
      </w:r>
      <w:r w:rsidR="0094007D" w:rsidRPr="005D659A">
        <w:rPr>
          <w:rFonts w:ascii="Arial Narrow" w:hAnsi="Arial Narrow" w:cs="Arial"/>
          <w:sz w:val="22"/>
          <w:szCs w:val="22"/>
        </w:rPr>
        <w:t xml:space="preserve"> </w:t>
      </w:r>
      <w:r w:rsidR="007B4C15" w:rsidRPr="005D659A">
        <w:rPr>
          <w:rFonts w:ascii="Arial Narrow" w:hAnsi="Arial Narrow" w:cs="Arial"/>
          <w:sz w:val="22"/>
          <w:szCs w:val="22"/>
        </w:rPr>
        <w:t xml:space="preserve"> garantizar que </w:t>
      </w:r>
      <w:r w:rsidR="00EA73AE" w:rsidRPr="005D659A">
        <w:rPr>
          <w:rFonts w:ascii="Arial Narrow" w:hAnsi="Arial Narrow" w:cs="Arial"/>
          <w:sz w:val="22"/>
          <w:szCs w:val="22"/>
        </w:rPr>
        <w:t xml:space="preserve">este </w:t>
      </w:r>
      <w:r w:rsidR="007B4C15" w:rsidRPr="005D659A">
        <w:rPr>
          <w:rFonts w:ascii="Arial Narrow" w:hAnsi="Arial Narrow" w:cs="Arial"/>
          <w:sz w:val="22"/>
          <w:szCs w:val="22"/>
        </w:rPr>
        <w:t>se continue reconociendo</w:t>
      </w:r>
      <w:r w:rsidR="00E9175F" w:rsidRPr="005D659A">
        <w:rPr>
          <w:rFonts w:ascii="Arial Narrow" w:hAnsi="Arial Narrow" w:cs="Arial"/>
          <w:sz w:val="22"/>
          <w:szCs w:val="22"/>
        </w:rPr>
        <w:t xml:space="preserve"> </w:t>
      </w:r>
      <w:r w:rsidR="007B4C15" w:rsidRPr="005D659A">
        <w:rPr>
          <w:rFonts w:ascii="Arial Narrow" w:hAnsi="Arial Narrow" w:cs="Arial"/>
          <w:sz w:val="22"/>
          <w:szCs w:val="22"/>
        </w:rPr>
        <w:t>al mayor número de firmantes</w:t>
      </w:r>
      <w:r w:rsidR="00E9175F" w:rsidRPr="005D659A">
        <w:rPr>
          <w:rFonts w:ascii="Arial Narrow" w:hAnsi="Arial Narrow" w:cs="Arial"/>
          <w:sz w:val="22"/>
          <w:szCs w:val="22"/>
        </w:rPr>
        <w:t>,</w:t>
      </w:r>
      <w:r w:rsidR="0094007D" w:rsidRPr="005D659A">
        <w:rPr>
          <w:rFonts w:ascii="Arial Narrow" w:hAnsi="Arial Narrow" w:cs="Arial"/>
          <w:sz w:val="22"/>
          <w:szCs w:val="22"/>
        </w:rPr>
        <w:t xml:space="preserve"> </w:t>
      </w:r>
      <w:r w:rsidR="007B4C15" w:rsidRPr="005D659A">
        <w:rPr>
          <w:rFonts w:ascii="Arial Narrow" w:hAnsi="Arial Narrow" w:cs="Arial"/>
          <w:sz w:val="22"/>
          <w:szCs w:val="22"/>
        </w:rPr>
        <w:t>de manera que logren</w:t>
      </w:r>
      <w:r w:rsidR="0094007D" w:rsidRPr="005D659A">
        <w:rPr>
          <w:rFonts w:ascii="Arial Narrow" w:hAnsi="Arial Narrow" w:cs="Arial"/>
          <w:sz w:val="22"/>
          <w:szCs w:val="22"/>
        </w:rPr>
        <w:t xml:space="preserve"> </w:t>
      </w:r>
      <w:r w:rsidR="007B4C15" w:rsidRPr="005D659A">
        <w:rPr>
          <w:rFonts w:ascii="Arial Narrow" w:hAnsi="Arial Narrow" w:cs="Arial"/>
          <w:sz w:val="22"/>
          <w:szCs w:val="22"/>
        </w:rPr>
        <w:t>avanzar con su programa de Reincorporación Individual</w:t>
      </w:r>
      <w:r w:rsidR="002E306B" w:rsidRPr="005D659A">
        <w:rPr>
          <w:rFonts w:ascii="Arial Narrow" w:hAnsi="Arial Narrow" w:cs="Arial"/>
          <w:sz w:val="22"/>
          <w:szCs w:val="22"/>
        </w:rPr>
        <w:t>, lo cual</w:t>
      </w:r>
      <w:r w:rsidR="0094007D" w:rsidRPr="005D659A">
        <w:rPr>
          <w:rFonts w:ascii="Arial Narrow" w:hAnsi="Arial Narrow" w:cs="Arial"/>
          <w:sz w:val="22"/>
          <w:szCs w:val="22"/>
        </w:rPr>
        <w:t xml:space="preserve"> </w:t>
      </w:r>
      <w:r w:rsidR="002E306B" w:rsidRPr="005D659A">
        <w:rPr>
          <w:rFonts w:ascii="Arial Narrow" w:hAnsi="Arial Narrow" w:cs="Arial"/>
          <w:sz w:val="22"/>
          <w:szCs w:val="22"/>
          <w:lang w:val="es-CO"/>
        </w:rPr>
        <w:t>resulta acorde con la evolución natural del proceso de reincorporación, el contexto económico actual y los fines del Estado Social de Derecho</w:t>
      </w:r>
      <w:r w:rsidR="00187B20" w:rsidRPr="005D659A">
        <w:rPr>
          <w:rFonts w:ascii="Arial Narrow" w:hAnsi="Arial Narrow" w:cs="Arial"/>
          <w:sz w:val="22"/>
          <w:szCs w:val="22"/>
          <w:lang w:val="es-CO"/>
        </w:rPr>
        <w:t>.</w:t>
      </w:r>
    </w:p>
    <w:p w14:paraId="62DE648E" w14:textId="77777777" w:rsidR="007B4C15" w:rsidRPr="005D659A" w:rsidRDefault="007B4C15" w:rsidP="0094007D">
      <w:pPr>
        <w:jc w:val="both"/>
        <w:rPr>
          <w:rFonts w:ascii="Arial Narrow" w:hAnsi="Arial Narrow" w:cs="Arial"/>
          <w:sz w:val="22"/>
          <w:szCs w:val="22"/>
        </w:rPr>
      </w:pPr>
    </w:p>
    <w:p w14:paraId="6E22AA78" w14:textId="6A409FB4" w:rsidR="00B342EB" w:rsidRPr="005D659A" w:rsidRDefault="00B342EB" w:rsidP="0094007D">
      <w:pPr>
        <w:jc w:val="both"/>
        <w:rPr>
          <w:rFonts w:ascii="Arial Narrow" w:hAnsi="Arial Narrow"/>
          <w:iCs/>
          <w:sz w:val="22"/>
          <w:szCs w:val="22"/>
        </w:rPr>
      </w:pPr>
      <w:r w:rsidRPr="005D659A">
        <w:rPr>
          <w:rFonts w:ascii="Arial Narrow" w:hAnsi="Arial Narrow"/>
          <w:sz w:val="22"/>
          <w:szCs w:val="22"/>
          <w:lang w:val="es-MX"/>
        </w:rPr>
        <w:t xml:space="preserve">Que </w:t>
      </w:r>
      <w:r w:rsidRPr="005D659A">
        <w:rPr>
          <w:rFonts w:ascii="Arial Narrow" w:hAnsi="Arial Narrow"/>
          <w:iCs/>
          <w:sz w:val="22"/>
          <w:szCs w:val="22"/>
        </w:rPr>
        <w:t xml:space="preserve">por tratarse de un acto administrativo general considerado como </w:t>
      </w:r>
      <w:bookmarkStart w:id="1" w:name="_Hlk79587242"/>
      <w:r w:rsidRPr="005D659A">
        <w:rPr>
          <w:rFonts w:ascii="Arial Narrow" w:hAnsi="Arial Narrow"/>
          <w:iCs/>
          <w:sz w:val="22"/>
          <w:szCs w:val="22"/>
        </w:rPr>
        <w:t xml:space="preserve">proyecto específico de regulación </w:t>
      </w:r>
      <w:bookmarkEnd w:id="1"/>
      <w:r w:rsidRPr="005D659A">
        <w:rPr>
          <w:rFonts w:ascii="Arial Narrow" w:hAnsi="Arial Narrow"/>
          <w:iCs/>
          <w:sz w:val="22"/>
          <w:szCs w:val="22"/>
        </w:rPr>
        <w:t>y en cumplimiento a las disposiciones contenidas en el Decreto 1081 de 2015, modificado por el Decreto 270 de 2017, en consonancia con lo dispuesto en el artículo 8 numeral 8 de la Ley 1437 de 2011 y con el propósito de fortalecer los principios de transparencia, publicidad y participación ciudadana, el proyecto de acto administrativo fue publicado en la página web de la Agencia para la Reincorporación y la Normalización, por el término de cinco</w:t>
      </w:r>
      <w:r w:rsidR="00031A5F" w:rsidRPr="005D659A">
        <w:rPr>
          <w:rFonts w:ascii="Arial Narrow" w:hAnsi="Arial Narrow"/>
          <w:iCs/>
          <w:sz w:val="22"/>
          <w:szCs w:val="22"/>
        </w:rPr>
        <w:t xml:space="preserve"> </w:t>
      </w:r>
      <w:r w:rsidRPr="005D659A">
        <w:rPr>
          <w:rFonts w:ascii="Arial Narrow" w:hAnsi="Arial Narrow"/>
          <w:iCs/>
          <w:sz w:val="22"/>
          <w:szCs w:val="22"/>
        </w:rPr>
        <w:t xml:space="preserve">(5) días hábiles, entre el </w:t>
      </w:r>
      <w:r w:rsidR="00031A5F" w:rsidRPr="005D659A">
        <w:rPr>
          <w:rFonts w:ascii="Arial Narrow" w:hAnsi="Arial Narrow"/>
          <w:iCs/>
          <w:sz w:val="22"/>
          <w:szCs w:val="22"/>
        </w:rPr>
        <w:t>***</w:t>
      </w:r>
      <w:r w:rsidRPr="005D659A">
        <w:rPr>
          <w:rFonts w:ascii="Arial Narrow" w:hAnsi="Arial Narrow"/>
          <w:iCs/>
          <w:sz w:val="22"/>
          <w:szCs w:val="22"/>
        </w:rPr>
        <w:t>y el</w:t>
      </w:r>
      <w:r w:rsidR="00031A5F" w:rsidRPr="005D659A">
        <w:rPr>
          <w:rFonts w:ascii="Arial Narrow" w:hAnsi="Arial Narrow"/>
          <w:iCs/>
          <w:sz w:val="22"/>
          <w:szCs w:val="22"/>
        </w:rPr>
        <w:t>***</w:t>
      </w:r>
      <w:r w:rsidRPr="005D659A">
        <w:rPr>
          <w:rFonts w:ascii="Arial Narrow" w:hAnsi="Arial Narrow"/>
          <w:iCs/>
          <w:sz w:val="22"/>
          <w:szCs w:val="22"/>
        </w:rPr>
        <w:t xml:space="preserve">, para </w:t>
      </w:r>
      <w:bookmarkStart w:id="2" w:name="_Hlk79587284"/>
      <w:r w:rsidRPr="005D659A">
        <w:rPr>
          <w:rFonts w:ascii="Arial Narrow" w:hAnsi="Arial Narrow"/>
          <w:iCs/>
          <w:sz w:val="22"/>
          <w:szCs w:val="22"/>
        </w:rPr>
        <w:t>conocimiento de la ciudadanía, con el fin de recibir sugerencias, propuestas y opiniones.</w:t>
      </w:r>
    </w:p>
    <w:p w14:paraId="42F2A1FF" w14:textId="77777777" w:rsidR="00B342EB" w:rsidRPr="005D659A" w:rsidRDefault="00B342EB" w:rsidP="0094007D">
      <w:pPr>
        <w:jc w:val="both"/>
        <w:rPr>
          <w:rFonts w:ascii="Arial Narrow" w:hAnsi="Arial Narrow"/>
          <w:iCs/>
          <w:sz w:val="22"/>
          <w:szCs w:val="22"/>
        </w:rPr>
      </w:pPr>
    </w:p>
    <w:bookmarkEnd w:id="2"/>
    <w:p w14:paraId="713D9CC2" w14:textId="05D10099" w:rsidR="00B342EB" w:rsidRPr="005D659A" w:rsidRDefault="00B342EB" w:rsidP="0094007D">
      <w:pPr>
        <w:jc w:val="both"/>
        <w:rPr>
          <w:rFonts w:ascii="Arial Narrow" w:hAnsi="Arial Narrow"/>
          <w:iCs/>
          <w:sz w:val="22"/>
          <w:szCs w:val="22"/>
        </w:rPr>
      </w:pPr>
      <w:r w:rsidRPr="005D659A">
        <w:rPr>
          <w:rFonts w:ascii="Arial Narrow" w:hAnsi="Arial Narrow"/>
          <w:iCs/>
          <w:sz w:val="22"/>
          <w:szCs w:val="22"/>
        </w:rPr>
        <w:t xml:space="preserve">Que, cumplido el término de publicación, </w:t>
      </w:r>
      <w:r w:rsidR="00031A5F" w:rsidRPr="005D659A">
        <w:rPr>
          <w:rFonts w:ascii="Arial Narrow" w:hAnsi="Arial Narrow"/>
          <w:iCs/>
          <w:sz w:val="22"/>
          <w:szCs w:val="22"/>
        </w:rPr>
        <w:t>(</w:t>
      </w:r>
      <w:r w:rsidRPr="005D659A">
        <w:rPr>
          <w:rFonts w:ascii="Arial Narrow" w:hAnsi="Arial Narrow"/>
          <w:iCs/>
          <w:sz w:val="22"/>
          <w:szCs w:val="22"/>
        </w:rPr>
        <w:t>si</w:t>
      </w:r>
      <w:r w:rsidR="00031A5F" w:rsidRPr="005D659A">
        <w:rPr>
          <w:rFonts w:ascii="Arial Narrow" w:hAnsi="Arial Narrow"/>
          <w:iCs/>
          <w:sz w:val="22"/>
          <w:szCs w:val="22"/>
        </w:rPr>
        <w:t>/no)</w:t>
      </w:r>
      <w:r w:rsidRPr="005D659A">
        <w:rPr>
          <w:rFonts w:ascii="Arial Narrow" w:hAnsi="Arial Narrow"/>
          <w:iCs/>
          <w:sz w:val="22"/>
          <w:szCs w:val="22"/>
        </w:rPr>
        <w:t xml:space="preserve"> se recibieron observaciones o comentarios, los cuales fueron revisados con el fin de realizar los ajustes a que hubo lugar y, asimismo, se dio respuesta a la </w:t>
      </w:r>
      <w:r w:rsidR="002B0C55" w:rsidRPr="005D659A">
        <w:rPr>
          <w:rFonts w:ascii="Arial Narrow" w:hAnsi="Arial Narrow"/>
          <w:iCs/>
          <w:sz w:val="22"/>
          <w:szCs w:val="22"/>
        </w:rPr>
        <w:t>ciudadanía mediante</w:t>
      </w:r>
      <w:r w:rsidRPr="005D659A">
        <w:rPr>
          <w:rFonts w:ascii="Arial Narrow" w:hAnsi="Arial Narrow"/>
          <w:iCs/>
          <w:sz w:val="22"/>
          <w:szCs w:val="22"/>
        </w:rPr>
        <w:t xml:space="preserve"> OFI </w:t>
      </w:r>
      <w:proofErr w:type="spellStart"/>
      <w:r w:rsidRPr="005D659A">
        <w:rPr>
          <w:rFonts w:ascii="Arial Narrow" w:hAnsi="Arial Narrow"/>
          <w:iCs/>
          <w:sz w:val="22"/>
          <w:szCs w:val="22"/>
        </w:rPr>
        <w:t>xxxxx</w:t>
      </w:r>
      <w:proofErr w:type="spellEnd"/>
      <w:r w:rsidRPr="005D659A">
        <w:rPr>
          <w:rFonts w:ascii="Arial Narrow" w:hAnsi="Arial Narrow"/>
          <w:iCs/>
          <w:sz w:val="22"/>
          <w:szCs w:val="22"/>
        </w:rPr>
        <w:t xml:space="preserve">, conforme al Decreto 1081 de 2015 y la Ley 1437 de 2011. </w:t>
      </w:r>
    </w:p>
    <w:p w14:paraId="0ACDDFA0" w14:textId="77777777" w:rsidR="00B342EB" w:rsidRPr="005D659A" w:rsidRDefault="00B342EB" w:rsidP="0094007D">
      <w:pPr>
        <w:jc w:val="both"/>
        <w:rPr>
          <w:rFonts w:ascii="Arial Narrow" w:hAnsi="Arial Narrow" w:cs="Arial"/>
          <w:sz w:val="22"/>
          <w:szCs w:val="22"/>
        </w:rPr>
      </w:pPr>
    </w:p>
    <w:p w14:paraId="1635DBBC" w14:textId="428C7052" w:rsidR="00CF32C3" w:rsidRPr="005D659A" w:rsidRDefault="00CF32C3" w:rsidP="0094007D">
      <w:pPr>
        <w:jc w:val="both"/>
        <w:rPr>
          <w:rFonts w:ascii="Arial Narrow" w:hAnsi="Arial Narrow" w:cs="Arial"/>
          <w:sz w:val="22"/>
          <w:szCs w:val="22"/>
        </w:rPr>
      </w:pPr>
      <w:r w:rsidRPr="005D659A">
        <w:rPr>
          <w:rFonts w:ascii="Arial Narrow" w:hAnsi="Arial Narrow" w:cs="Arial"/>
          <w:sz w:val="22"/>
          <w:szCs w:val="22"/>
        </w:rPr>
        <w:t xml:space="preserve">En mérito de lo expuesto, </w:t>
      </w:r>
    </w:p>
    <w:p w14:paraId="099930ED" w14:textId="77777777" w:rsidR="00664839" w:rsidRPr="005D659A" w:rsidRDefault="00664839" w:rsidP="0094007D">
      <w:pPr>
        <w:jc w:val="both"/>
        <w:rPr>
          <w:rFonts w:ascii="Arial Narrow" w:hAnsi="Arial Narrow" w:cs="Arial"/>
          <w:sz w:val="22"/>
          <w:szCs w:val="22"/>
        </w:rPr>
      </w:pPr>
    </w:p>
    <w:p w14:paraId="2B3B8148" w14:textId="1D487956" w:rsidR="00CF32C3" w:rsidRPr="005D659A" w:rsidRDefault="00CF32C3" w:rsidP="0094007D">
      <w:pPr>
        <w:jc w:val="center"/>
        <w:rPr>
          <w:rFonts w:ascii="Arial Narrow" w:hAnsi="Arial Narrow" w:cs="Arial"/>
          <w:b/>
          <w:bCs/>
          <w:sz w:val="22"/>
          <w:szCs w:val="22"/>
        </w:rPr>
      </w:pPr>
      <w:r w:rsidRPr="005D659A">
        <w:rPr>
          <w:rFonts w:ascii="Arial Narrow" w:hAnsi="Arial Narrow" w:cs="Arial"/>
          <w:b/>
          <w:bCs/>
          <w:sz w:val="22"/>
          <w:szCs w:val="22"/>
        </w:rPr>
        <w:t>RESUELVE</w:t>
      </w:r>
      <w:r w:rsidR="006024D8" w:rsidRPr="005D659A">
        <w:rPr>
          <w:rFonts w:ascii="Arial Narrow" w:hAnsi="Arial Narrow" w:cs="Arial"/>
          <w:b/>
          <w:bCs/>
          <w:sz w:val="22"/>
          <w:szCs w:val="22"/>
        </w:rPr>
        <w:t>:</w:t>
      </w:r>
    </w:p>
    <w:p w14:paraId="24DB73A9" w14:textId="77777777" w:rsidR="00CF32C3" w:rsidRPr="005D659A" w:rsidRDefault="00CF32C3" w:rsidP="0094007D">
      <w:pPr>
        <w:jc w:val="center"/>
        <w:rPr>
          <w:rFonts w:ascii="Arial Narrow" w:hAnsi="Arial Narrow" w:cs="Arial"/>
          <w:sz w:val="22"/>
          <w:szCs w:val="22"/>
        </w:rPr>
      </w:pPr>
    </w:p>
    <w:p w14:paraId="1C37B739" w14:textId="77777777" w:rsidR="004A0295" w:rsidRPr="005D659A" w:rsidRDefault="004A0295" w:rsidP="0094007D">
      <w:pPr>
        <w:ind w:left="567" w:right="283"/>
        <w:jc w:val="both"/>
        <w:rPr>
          <w:rFonts w:ascii="Arial Narrow" w:hAnsi="Arial Narrow"/>
          <w:i/>
          <w:iCs/>
          <w:sz w:val="22"/>
          <w:szCs w:val="22"/>
        </w:rPr>
      </w:pPr>
    </w:p>
    <w:p w14:paraId="4B9D32DC" w14:textId="661483F1" w:rsidR="00CC27A8" w:rsidRPr="005D659A" w:rsidRDefault="00CC27A8" w:rsidP="0094007D">
      <w:pPr>
        <w:jc w:val="both"/>
        <w:rPr>
          <w:rFonts w:ascii="Arial Narrow" w:hAnsi="Arial Narrow"/>
          <w:sz w:val="22"/>
          <w:szCs w:val="22"/>
        </w:rPr>
      </w:pPr>
      <w:r w:rsidRPr="005D659A">
        <w:rPr>
          <w:rFonts w:ascii="Arial Narrow" w:hAnsi="Arial Narrow"/>
          <w:b/>
          <w:bCs/>
          <w:sz w:val="22"/>
          <w:szCs w:val="22"/>
          <w:lang w:val="es-MX"/>
        </w:rPr>
        <w:t xml:space="preserve">ARTÍCULO </w:t>
      </w:r>
      <w:r w:rsidR="00206E18" w:rsidRPr="005D659A">
        <w:rPr>
          <w:rFonts w:ascii="Arial Narrow" w:hAnsi="Arial Narrow"/>
          <w:b/>
          <w:bCs/>
          <w:sz w:val="22"/>
          <w:szCs w:val="22"/>
          <w:lang w:val="es-MX"/>
        </w:rPr>
        <w:t>PRIMERO</w:t>
      </w:r>
      <w:r w:rsidRPr="005D659A">
        <w:rPr>
          <w:rFonts w:ascii="Arial Narrow" w:hAnsi="Arial Narrow"/>
          <w:b/>
          <w:bCs/>
          <w:sz w:val="22"/>
          <w:szCs w:val="22"/>
          <w:lang w:val="es-MX"/>
        </w:rPr>
        <w:t>.</w:t>
      </w:r>
      <w:r w:rsidRPr="005D659A">
        <w:rPr>
          <w:rFonts w:ascii="Arial Narrow" w:hAnsi="Arial Narrow"/>
          <w:sz w:val="22"/>
          <w:szCs w:val="22"/>
          <w:lang w:val="es-MX"/>
        </w:rPr>
        <w:t xml:space="preserve"> Modificar el </w:t>
      </w:r>
      <w:r w:rsidRPr="005D659A">
        <w:rPr>
          <w:rFonts w:ascii="Arial Narrow" w:hAnsi="Arial Narrow"/>
          <w:sz w:val="22"/>
          <w:szCs w:val="22"/>
        </w:rPr>
        <w:t xml:space="preserve">artículo </w:t>
      </w:r>
      <w:r w:rsidR="00182998" w:rsidRPr="005D659A">
        <w:rPr>
          <w:rFonts w:ascii="Arial Narrow" w:hAnsi="Arial Narrow"/>
          <w:sz w:val="22"/>
          <w:szCs w:val="22"/>
        </w:rPr>
        <w:t>44</w:t>
      </w:r>
      <w:r w:rsidRPr="005D659A">
        <w:rPr>
          <w:rFonts w:ascii="Arial Narrow" w:hAnsi="Arial Narrow"/>
          <w:sz w:val="22"/>
          <w:szCs w:val="22"/>
        </w:rPr>
        <w:t xml:space="preserve"> de la </w:t>
      </w:r>
      <w:r w:rsidR="007410B0" w:rsidRPr="005D659A">
        <w:rPr>
          <w:rFonts w:ascii="Arial Narrow" w:hAnsi="Arial Narrow"/>
          <w:sz w:val="22"/>
          <w:szCs w:val="22"/>
        </w:rPr>
        <w:t>R</w:t>
      </w:r>
      <w:r w:rsidR="00792FE9" w:rsidRPr="005D659A">
        <w:rPr>
          <w:rFonts w:ascii="Arial Narrow" w:hAnsi="Arial Narrow"/>
          <w:sz w:val="22"/>
          <w:szCs w:val="22"/>
        </w:rPr>
        <w:t>e</w:t>
      </w:r>
      <w:r w:rsidRPr="005D659A">
        <w:rPr>
          <w:rFonts w:ascii="Arial Narrow" w:hAnsi="Arial Narrow"/>
          <w:sz w:val="22"/>
          <w:szCs w:val="22"/>
        </w:rPr>
        <w:t>solución 2319 de 2024</w:t>
      </w:r>
      <w:r w:rsidR="00792FE9" w:rsidRPr="005D659A">
        <w:rPr>
          <w:rFonts w:ascii="Arial Narrow" w:hAnsi="Arial Narrow"/>
          <w:sz w:val="22"/>
          <w:szCs w:val="22"/>
        </w:rPr>
        <w:t xml:space="preserve"> modifi</w:t>
      </w:r>
      <w:r w:rsidR="00956A38" w:rsidRPr="005D659A">
        <w:rPr>
          <w:rFonts w:ascii="Arial Narrow" w:hAnsi="Arial Narrow"/>
          <w:sz w:val="22"/>
          <w:szCs w:val="22"/>
        </w:rPr>
        <w:t xml:space="preserve">cado por el </w:t>
      </w:r>
      <w:r w:rsidR="00891B3B" w:rsidRPr="005D659A">
        <w:rPr>
          <w:rFonts w:ascii="Arial Narrow" w:hAnsi="Arial Narrow"/>
          <w:sz w:val="22"/>
          <w:szCs w:val="22"/>
        </w:rPr>
        <w:t xml:space="preserve">artículo 2 de la Resolución </w:t>
      </w:r>
      <w:r w:rsidR="007A0DCE" w:rsidRPr="005D659A">
        <w:rPr>
          <w:rFonts w:ascii="Arial Narrow" w:hAnsi="Arial Narrow"/>
          <w:sz w:val="22"/>
          <w:szCs w:val="22"/>
        </w:rPr>
        <w:t>950 de 2025</w:t>
      </w:r>
      <w:r w:rsidR="00182998" w:rsidRPr="005D659A">
        <w:rPr>
          <w:rFonts w:ascii="Arial Narrow" w:hAnsi="Arial Narrow"/>
          <w:sz w:val="22"/>
          <w:szCs w:val="22"/>
        </w:rPr>
        <w:t xml:space="preserve">, </w:t>
      </w:r>
      <w:r w:rsidR="001F06D3" w:rsidRPr="005D659A">
        <w:rPr>
          <w:rFonts w:ascii="Arial Narrow" w:hAnsi="Arial Narrow"/>
          <w:sz w:val="22"/>
          <w:szCs w:val="22"/>
        </w:rPr>
        <w:t xml:space="preserve">en el sentido de </w:t>
      </w:r>
      <w:r w:rsidR="00792FE9" w:rsidRPr="005D659A">
        <w:rPr>
          <w:rFonts w:ascii="Arial Narrow" w:hAnsi="Arial Narrow"/>
          <w:sz w:val="22"/>
          <w:szCs w:val="22"/>
        </w:rPr>
        <w:t xml:space="preserve">modificar el </w:t>
      </w:r>
      <w:r w:rsidR="00206E18" w:rsidRPr="005D659A">
        <w:rPr>
          <w:rFonts w:ascii="Arial Narrow" w:hAnsi="Arial Narrow"/>
          <w:sz w:val="22"/>
          <w:szCs w:val="22"/>
        </w:rPr>
        <w:t>parágrafo</w:t>
      </w:r>
      <w:r w:rsidR="00792FE9" w:rsidRPr="005D659A">
        <w:rPr>
          <w:rFonts w:ascii="Arial Narrow" w:hAnsi="Arial Narrow"/>
          <w:sz w:val="22"/>
          <w:szCs w:val="22"/>
        </w:rPr>
        <w:t xml:space="preserve"> 1</w:t>
      </w:r>
      <w:r w:rsidR="001F06D3" w:rsidRPr="005D659A">
        <w:rPr>
          <w:rFonts w:ascii="Arial Narrow" w:hAnsi="Arial Narrow"/>
          <w:sz w:val="22"/>
          <w:szCs w:val="22"/>
        </w:rPr>
        <w:t xml:space="preserve">, </w:t>
      </w:r>
      <w:r w:rsidRPr="005D659A">
        <w:rPr>
          <w:rFonts w:ascii="Arial Narrow" w:hAnsi="Arial Narrow"/>
          <w:sz w:val="22"/>
          <w:szCs w:val="22"/>
        </w:rPr>
        <w:t>el cual queda</w:t>
      </w:r>
      <w:r w:rsidR="001F06D3" w:rsidRPr="005D659A">
        <w:rPr>
          <w:rFonts w:ascii="Arial Narrow" w:hAnsi="Arial Narrow"/>
          <w:sz w:val="22"/>
          <w:szCs w:val="22"/>
        </w:rPr>
        <w:t>rá así:</w:t>
      </w:r>
    </w:p>
    <w:p w14:paraId="094AA7AF" w14:textId="77777777" w:rsidR="00A509EB" w:rsidRPr="005D659A" w:rsidRDefault="00A509EB" w:rsidP="0094007D">
      <w:pPr>
        <w:jc w:val="both"/>
        <w:rPr>
          <w:rFonts w:ascii="Arial Narrow" w:hAnsi="Arial Narrow"/>
          <w:b/>
          <w:bCs/>
          <w:sz w:val="22"/>
          <w:szCs w:val="22"/>
          <w:lang w:val="es-MX"/>
        </w:rPr>
      </w:pPr>
    </w:p>
    <w:p w14:paraId="1A4854B3" w14:textId="2D894DB7" w:rsidR="006350FA" w:rsidRPr="005D659A" w:rsidRDefault="0089039A" w:rsidP="0094007D">
      <w:pPr>
        <w:ind w:left="567"/>
        <w:jc w:val="both"/>
        <w:rPr>
          <w:rFonts w:ascii="Arial Narrow" w:hAnsi="Arial Narrow"/>
          <w:i/>
          <w:iCs/>
          <w:sz w:val="20"/>
          <w:szCs w:val="20"/>
          <w:lang w:val="es-CO"/>
        </w:rPr>
      </w:pPr>
      <w:r w:rsidRPr="005D659A">
        <w:rPr>
          <w:rFonts w:ascii="Arial Narrow" w:hAnsi="Arial Narrow"/>
          <w:i/>
          <w:iCs/>
          <w:sz w:val="20"/>
          <w:szCs w:val="20"/>
        </w:rPr>
        <w:t>“</w:t>
      </w:r>
      <w:r w:rsidR="006350FA" w:rsidRPr="005D659A">
        <w:rPr>
          <w:rFonts w:ascii="Arial Narrow" w:hAnsi="Arial Narrow"/>
          <w:b/>
          <w:bCs/>
          <w:i/>
          <w:iCs/>
          <w:sz w:val="20"/>
          <w:szCs w:val="20"/>
        </w:rPr>
        <w:t>ARTÍCULO 44. ASIGNACIÓN MENSUAL.</w:t>
      </w:r>
      <w:r w:rsidR="006350FA" w:rsidRPr="005D659A">
        <w:rPr>
          <w:rFonts w:ascii="Arial Narrow" w:hAnsi="Arial Narrow"/>
          <w:i/>
          <w:iCs/>
          <w:sz w:val="20"/>
          <w:szCs w:val="20"/>
        </w:rPr>
        <w:t xml:space="preserve"> De conformidad con el inciso 2° artículo 8° del Decreto Ley 899 de 2017 modificado por el artículo 284 de la Ley 1955 de 2019, se otorgará una Asignación Mensual equivalente al 90% del Salario Mínimo Mensual Legal Vigente, la cual estará vinculada al avance del Plan de Reincorporación Individual, de acuerdo con los siguientes criterios de cumplimiento por parte del sujeto en reincorporación: </w:t>
      </w:r>
    </w:p>
    <w:p w14:paraId="0DFC6835" w14:textId="77777777" w:rsidR="006350FA" w:rsidRPr="005D659A" w:rsidRDefault="006350FA" w:rsidP="0094007D">
      <w:pPr>
        <w:jc w:val="both"/>
        <w:rPr>
          <w:rFonts w:ascii="Arial Narrow" w:hAnsi="Arial Narrow"/>
          <w:b/>
          <w:bCs/>
          <w:i/>
          <w:iCs/>
          <w:sz w:val="20"/>
          <w:szCs w:val="20"/>
          <w:lang w:val="es-CO"/>
        </w:rPr>
      </w:pPr>
    </w:p>
    <w:p w14:paraId="00FE6D57" w14:textId="77777777" w:rsidR="006350FA" w:rsidRPr="005D659A" w:rsidRDefault="006350FA" w:rsidP="0094007D">
      <w:pPr>
        <w:pStyle w:val="Prrafodelista"/>
        <w:numPr>
          <w:ilvl w:val="0"/>
          <w:numId w:val="9"/>
        </w:numPr>
        <w:jc w:val="both"/>
        <w:rPr>
          <w:rFonts w:ascii="Arial Narrow" w:hAnsi="Arial Narrow"/>
          <w:i/>
          <w:iCs/>
        </w:rPr>
      </w:pPr>
      <w:r w:rsidRPr="005D659A">
        <w:rPr>
          <w:rFonts w:ascii="Arial Narrow" w:hAnsi="Arial Narrow"/>
          <w:i/>
          <w:iCs/>
        </w:rPr>
        <w:t xml:space="preserve">En Fase de formulación del Plan de Reincorporación Individual: Asistencia a las sesiones para adelantar las acciones establecidas en el artículo 8º de la presente resolución y asistencia durante los dos meses del acompañamiento inicial. </w:t>
      </w:r>
    </w:p>
    <w:p w14:paraId="32AD39B0" w14:textId="77777777" w:rsidR="006350FA" w:rsidRPr="005D659A" w:rsidRDefault="006350FA" w:rsidP="0094007D">
      <w:pPr>
        <w:pStyle w:val="Prrafodelista"/>
        <w:numPr>
          <w:ilvl w:val="0"/>
          <w:numId w:val="9"/>
        </w:numPr>
        <w:jc w:val="both"/>
        <w:rPr>
          <w:rFonts w:ascii="Arial Narrow" w:hAnsi="Arial Narrow"/>
          <w:i/>
          <w:iCs/>
        </w:rPr>
      </w:pPr>
      <w:r w:rsidRPr="005D659A">
        <w:rPr>
          <w:rFonts w:ascii="Arial Narrow" w:hAnsi="Arial Narrow"/>
          <w:i/>
          <w:iCs/>
        </w:rPr>
        <w:t xml:space="preserve">En fase de seguimiento del Plan de Reincorporación Individual: cumplir mínimo con el 50% del avance de las actividades fijadas para el bimestre, exceptuando aquellas en estado “sin avance con justificación”. El seguimiento a estas actividades se realizará de forma bimestral registrando su resultado en el Sistema de Información de la Agencia para la Reincorporación y la Normalización. </w:t>
      </w:r>
    </w:p>
    <w:p w14:paraId="69C4581E" w14:textId="77777777" w:rsidR="006350FA" w:rsidRPr="005D659A" w:rsidRDefault="006350FA" w:rsidP="0094007D">
      <w:pPr>
        <w:pStyle w:val="Prrafodelista"/>
        <w:numPr>
          <w:ilvl w:val="0"/>
          <w:numId w:val="9"/>
        </w:numPr>
        <w:jc w:val="both"/>
        <w:rPr>
          <w:rFonts w:ascii="Arial Narrow" w:hAnsi="Arial Narrow"/>
          <w:b/>
          <w:bCs/>
          <w:i/>
          <w:iCs/>
        </w:rPr>
      </w:pPr>
      <w:r w:rsidRPr="005D659A">
        <w:rPr>
          <w:rFonts w:ascii="Arial Narrow" w:hAnsi="Arial Narrow"/>
          <w:i/>
          <w:iCs/>
        </w:rPr>
        <w:t>En fase de Evaluación del Plan de Reincorporación Individual: la asistencia a la sesión requerida para la evaluación de las acciones priorizadas en el ciclo anual.</w:t>
      </w:r>
      <w:r w:rsidRPr="005D659A">
        <w:rPr>
          <w:rFonts w:ascii="Arial Narrow" w:hAnsi="Arial Narrow"/>
          <w:b/>
          <w:bCs/>
          <w:i/>
          <w:iCs/>
        </w:rPr>
        <w:t xml:space="preserve"> </w:t>
      </w:r>
    </w:p>
    <w:p w14:paraId="5327BE02" w14:textId="77777777" w:rsidR="006350FA" w:rsidRPr="005D659A" w:rsidRDefault="006350FA" w:rsidP="0094007D">
      <w:pPr>
        <w:ind w:left="360"/>
        <w:jc w:val="both"/>
        <w:rPr>
          <w:rFonts w:ascii="Arial Narrow" w:hAnsi="Arial Narrow"/>
          <w:b/>
          <w:bCs/>
          <w:i/>
          <w:iCs/>
          <w:sz w:val="20"/>
          <w:szCs w:val="20"/>
        </w:rPr>
      </w:pPr>
    </w:p>
    <w:p w14:paraId="484C2E39" w14:textId="44FE0D7D" w:rsidR="006350FA" w:rsidRPr="005D659A" w:rsidRDefault="006350FA" w:rsidP="0094007D">
      <w:pPr>
        <w:ind w:left="567"/>
        <w:jc w:val="both"/>
        <w:rPr>
          <w:rFonts w:ascii="Arial Narrow" w:hAnsi="Arial Narrow"/>
          <w:i/>
          <w:iCs/>
          <w:sz w:val="20"/>
          <w:szCs w:val="20"/>
        </w:rPr>
      </w:pPr>
      <w:r w:rsidRPr="005D659A">
        <w:rPr>
          <w:rFonts w:ascii="Arial Narrow" w:hAnsi="Arial Narrow"/>
          <w:b/>
          <w:bCs/>
          <w:i/>
          <w:iCs/>
          <w:sz w:val="20"/>
          <w:szCs w:val="20"/>
        </w:rPr>
        <w:t>PARÁGRAFO 1</w:t>
      </w:r>
      <w:r w:rsidRPr="005D659A">
        <w:rPr>
          <w:rFonts w:ascii="Arial Narrow" w:hAnsi="Arial Narrow"/>
          <w:i/>
          <w:iCs/>
          <w:sz w:val="20"/>
          <w:szCs w:val="20"/>
        </w:rPr>
        <w:t xml:space="preserve">. </w:t>
      </w:r>
      <w:r w:rsidR="00547665" w:rsidRPr="005D659A">
        <w:rPr>
          <w:rFonts w:ascii="Arial Narrow" w:hAnsi="Arial Narrow"/>
          <w:i/>
          <w:iCs/>
          <w:sz w:val="20"/>
          <w:szCs w:val="20"/>
        </w:rPr>
        <w:t>Serán</w:t>
      </w:r>
      <w:r w:rsidR="0094007D" w:rsidRPr="005D659A">
        <w:rPr>
          <w:rFonts w:ascii="Arial Narrow" w:hAnsi="Arial Narrow"/>
          <w:i/>
          <w:iCs/>
          <w:sz w:val="20"/>
          <w:szCs w:val="20"/>
        </w:rPr>
        <w:t xml:space="preserve"> </w:t>
      </w:r>
      <w:r w:rsidRPr="005D659A">
        <w:rPr>
          <w:rFonts w:ascii="Arial Narrow" w:hAnsi="Arial Narrow"/>
          <w:i/>
          <w:iCs/>
          <w:sz w:val="20"/>
          <w:szCs w:val="20"/>
        </w:rPr>
        <w:t>beneficiario</w:t>
      </w:r>
      <w:r w:rsidR="00547665" w:rsidRPr="005D659A">
        <w:rPr>
          <w:rFonts w:ascii="Arial Narrow" w:hAnsi="Arial Narrow"/>
          <w:i/>
          <w:iCs/>
          <w:sz w:val="20"/>
          <w:szCs w:val="20"/>
        </w:rPr>
        <w:t xml:space="preserve">s de la asignación mensual quienes </w:t>
      </w:r>
      <w:r w:rsidR="00547665" w:rsidRPr="005D659A">
        <w:rPr>
          <w:rFonts w:ascii="Arial Narrow" w:hAnsi="Arial Narrow"/>
          <w:i/>
          <w:iCs/>
          <w:sz w:val="22"/>
          <w:szCs w:val="22"/>
          <w:lang w:val="es-CO"/>
        </w:rPr>
        <w:t>no tengan un vínculo contractual, laboral, legal y reglamentario, o un contrato de cualquier naturaleza que les genere ningún tipo de ingresos</w:t>
      </w:r>
      <w:r w:rsidRPr="005D659A">
        <w:rPr>
          <w:rFonts w:ascii="Arial Narrow" w:hAnsi="Arial Narrow"/>
          <w:i/>
          <w:iCs/>
          <w:sz w:val="20"/>
          <w:szCs w:val="20"/>
        </w:rPr>
        <w:t xml:space="preserve">. </w:t>
      </w:r>
    </w:p>
    <w:p w14:paraId="742EAB63" w14:textId="77777777" w:rsidR="006350FA" w:rsidRPr="005D659A" w:rsidRDefault="006350FA" w:rsidP="0094007D">
      <w:pPr>
        <w:ind w:left="360"/>
        <w:jc w:val="both"/>
        <w:rPr>
          <w:rFonts w:ascii="Arial Narrow" w:hAnsi="Arial Narrow"/>
          <w:i/>
          <w:iCs/>
          <w:sz w:val="20"/>
          <w:szCs w:val="20"/>
        </w:rPr>
      </w:pPr>
    </w:p>
    <w:p w14:paraId="585B7E6B" w14:textId="77777777" w:rsidR="006350FA" w:rsidRPr="005D659A" w:rsidRDefault="006350FA" w:rsidP="0094007D">
      <w:pPr>
        <w:ind w:left="567"/>
        <w:jc w:val="both"/>
        <w:rPr>
          <w:rFonts w:ascii="Arial Narrow" w:hAnsi="Arial Narrow"/>
          <w:i/>
          <w:iCs/>
          <w:sz w:val="20"/>
          <w:szCs w:val="20"/>
        </w:rPr>
      </w:pPr>
      <w:r w:rsidRPr="005D659A">
        <w:rPr>
          <w:rFonts w:ascii="Arial Narrow" w:hAnsi="Arial Narrow"/>
          <w:b/>
          <w:bCs/>
          <w:i/>
          <w:iCs/>
          <w:sz w:val="20"/>
          <w:szCs w:val="20"/>
        </w:rPr>
        <w:t>PARÁGRAFO 2</w:t>
      </w:r>
      <w:r w:rsidRPr="005D659A">
        <w:rPr>
          <w:rFonts w:ascii="Arial Narrow" w:hAnsi="Arial Narrow"/>
          <w:i/>
          <w:iCs/>
          <w:sz w:val="20"/>
          <w:szCs w:val="20"/>
        </w:rPr>
        <w:t xml:space="preserve">. Las personas que se encuentran activas en el proceso de reincorporación a la fecha de </w:t>
      </w:r>
      <w:proofErr w:type="gramStart"/>
      <w:r w:rsidRPr="005D659A">
        <w:rPr>
          <w:rFonts w:ascii="Arial Narrow" w:hAnsi="Arial Narrow"/>
          <w:i/>
          <w:iCs/>
          <w:sz w:val="20"/>
          <w:szCs w:val="20"/>
        </w:rPr>
        <w:t>entrada en vigencia</w:t>
      </w:r>
      <w:proofErr w:type="gramEnd"/>
      <w:r w:rsidRPr="005D659A">
        <w:rPr>
          <w:rFonts w:ascii="Arial Narrow" w:hAnsi="Arial Narrow"/>
          <w:i/>
          <w:iCs/>
          <w:sz w:val="20"/>
          <w:szCs w:val="20"/>
        </w:rPr>
        <w:t xml:space="preserve"> de esta resolución recibirán la asignación mensual en el periodo establecido para la firma del acta de compromiso al participar mensualmente en las actividades de socialización de la presente resolución. </w:t>
      </w:r>
    </w:p>
    <w:p w14:paraId="2D5E70A9" w14:textId="77777777" w:rsidR="006350FA" w:rsidRPr="005D659A" w:rsidRDefault="006350FA" w:rsidP="0094007D">
      <w:pPr>
        <w:ind w:left="360"/>
        <w:jc w:val="both"/>
        <w:rPr>
          <w:rFonts w:ascii="Arial Narrow" w:hAnsi="Arial Narrow"/>
          <w:i/>
          <w:iCs/>
          <w:sz w:val="20"/>
          <w:szCs w:val="20"/>
        </w:rPr>
      </w:pPr>
    </w:p>
    <w:p w14:paraId="07225EE2" w14:textId="77777777" w:rsidR="006350FA" w:rsidRPr="005D659A" w:rsidRDefault="006350FA" w:rsidP="0094007D">
      <w:pPr>
        <w:ind w:left="567"/>
        <w:jc w:val="both"/>
        <w:rPr>
          <w:rFonts w:ascii="Arial Narrow" w:hAnsi="Arial Narrow"/>
          <w:i/>
          <w:iCs/>
          <w:sz w:val="20"/>
          <w:szCs w:val="20"/>
        </w:rPr>
      </w:pPr>
      <w:r w:rsidRPr="005D659A">
        <w:rPr>
          <w:rFonts w:ascii="Arial Narrow" w:hAnsi="Arial Narrow"/>
          <w:b/>
          <w:bCs/>
          <w:i/>
          <w:iCs/>
          <w:sz w:val="20"/>
          <w:szCs w:val="20"/>
        </w:rPr>
        <w:t>PARÁGRAFO 3</w:t>
      </w:r>
      <w:r w:rsidRPr="005D659A">
        <w:rPr>
          <w:rFonts w:ascii="Arial Narrow" w:hAnsi="Arial Narrow"/>
          <w:i/>
          <w:iCs/>
          <w:sz w:val="20"/>
          <w:szCs w:val="20"/>
        </w:rPr>
        <w:t xml:space="preserve">. En los casos de personas con discapacidad que no puedan expresar su voluntad por ningún medio ni formato, la asignación mensual se reconocerá conforme al acompañamiento periódico que reciba por parte de la Agencia para la Reincorporación y la Normalización hasta que se supere la situación que genera la dificultad para expresar su voluntad por cualquier medio o formato para el ejercicio de la capacidad legal. Si la persona no supera su condición se realizará el desembolso hasta la finalización del Programa de Reincorporación Integral según lo establecido en el artículo 60 de la presente resolución. </w:t>
      </w:r>
    </w:p>
    <w:p w14:paraId="7F57618C" w14:textId="77777777" w:rsidR="006350FA" w:rsidRPr="005D659A" w:rsidRDefault="006350FA" w:rsidP="0094007D">
      <w:pPr>
        <w:ind w:left="360"/>
        <w:jc w:val="both"/>
        <w:rPr>
          <w:rFonts w:ascii="Arial Narrow" w:hAnsi="Arial Narrow"/>
          <w:i/>
          <w:iCs/>
          <w:sz w:val="20"/>
          <w:szCs w:val="20"/>
        </w:rPr>
      </w:pPr>
    </w:p>
    <w:p w14:paraId="5E49367D" w14:textId="77777777" w:rsidR="006350FA" w:rsidRPr="005D659A" w:rsidRDefault="006350FA" w:rsidP="0094007D">
      <w:pPr>
        <w:ind w:left="567"/>
        <w:jc w:val="both"/>
        <w:rPr>
          <w:rFonts w:ascii="Arial Narrow" w:hAnsi="Arial Narrow"/>
          <w:i/>
          <w:iCs/>
          <w:sz w:val="20"/>
          <w:szCs w:val="20"/>
        </w:rPr>
      </w:pPr>
      <w:r w:rsidRPr="005D659A">
        <w:rPr>
          <w:rFonts w:ascii="Arial Narrow" w:hAnsi="Arial Narrow"/>
          <w:b/>
          <w:bCs/>
          <w:i/>
          <w:iCs/>
          <w:sz w:val="20"/>
          <w:szCs w:val="20"/>
        </w:rPr>
        <w:lastRenderedPageBreak/>
        <w:t>PARÁGRAFO 4.</w:t>
      </w:r>
      <w:r w:rsidRPr="005D659A">
        <w:rPr>
          <w:rFonts w:ascii="Arial Narrow" w:hAnsi="Arial Narrow"/>
          <w:i/>
          <w:iCs/>
          <w:sz w:val="20"/>
          <w:szCs w:val="20"/>
        </w:rPr>
        <w:t xml:space="preserve"> Los desembolsos mensuales se harán siempre que se cumplan con los requisitos para acceder al beneficio para cada periodo de causación, aún si la persona se encuentra, con posterioridad, en una de las causales de limitante o finalización del proceso establecidas en la presente resolución. </w:t>
      </w:r>
    </w:p>
    <w:p w14:paraId="04490CF4" w14:textId="77777777" w:rsidR="006350FA" w:rsidRPr="005D659A" w:rsidRDefault="006350FA" w:rsidP="0094007D">
      <w:pPr>
        <w:ind w:left="360"/>
        <w:jc w:val="both"/>
        <w:rPr>
          <w:rFonts w:ascii="Arial Narrow" w:hAnsi="Arial Narrow"/>
          <w:i/>
          <w:iCs/>
          <w:sz w:val="20"/>
          <w:szCs w:val="20"/>
        </w:rPr>
      </w:pPr>
    </w:p>
    <w:p w14:paraId="087F7084" w14:textId="77777777" w:rsidR="006350FA" w:rsidRPr="005D659A" w:rsidRDefault="006350FA" w:rsidP="0094007D">
      <w:pPr>
        <w:ind w:left="567"/>
        <w:jc w:val="both"/>
        <w:rPr>
          <w:rFonts w:ascii="Arial Narrow" w:hAnsi="Arial Narrow"/>
          <w:i/>
          <w:iCs/>
          <w:sz w:val="20"/>
          <w:szCs w:val="20"/>
        </w:rPr>
      </w:pPr>
      <w:r w:rsidRPr="005D659A">
        <w:rPr>
          <w:rFonts w:ascii="Arial Narrow" w:hAnsi="Arial Narrow"/>
          <w:b/>
          <w:bCs/>
          <w:i/>
          <w:iCs/>
          <w:sz w:val="20"/>
          <w:szCs w:val="20"/>
        </w:rPr>
        <w:t>PARÁGRAFO 5.</w:t>
      </w:r>
      <w:r w:rsidRPr="005D659A">
        <w:rPr>
          <w:rFonts w:ascii="Arial Narrow" w:hAnsi="Arial Narrow"/>
          <w:i/>
          <w:iCs/>
          <w:sz w:val="20"/>
          <w:szCs w:val="20"/>
        </w:rPr>
        <w:t xml:space="preserve"> El desembolso de la Asignación Mensual estará sujeta a la vigencia de la normatividad aplicable y a los procedimientos administrativos que determine la Agencia para la Reincorporación y la Normalización. </w:t>
      </w:r>
    </w:p>
    <w:p w14:paraId="67D2291A" w14:textId="77777777" w:rsidR="006350FA" w:rsidRPr="005D659A" w:rsidRDefault="006350FA" w:rsidP="0094007D">
      <w:pPr>
        <w:ind w:left="360"/>
        <w:jc w:val="both"/>
        <w:rPr>
          <w:rFonts w:ascii="Arial Narrow" w:hAnsi="Arial Narrow"/>
          <w:i/>
          <w:iCs/>
          <w:sz w:val="20"/>
          <w:szCs w:val="20"/>
        </w:rPr>
      </w:pPr>
    </w:p>
    <w:p w14:paraId="351C6CF8" w14:textId="25B9C1D1" w:rsidR="0079139A" w:rsidRPr="005D659A" w:rsidRDefault="006350FA" w:rsidP="0094007D">
      <w:pPr>
        <w:ind w:left="567"/>
        <w:jc w:val="both"/>
        <w:rPr>
          <w:rFonts w:ascii="Arial Narrow" w:hAnsi="Arial Narrow"/>
          <w:sz w:val="20"/>
          <w:szCs w:val="20"/>
        </w:rPr>
      </w:pPr>
      <w:r w:rsidRPr="005D659A">
        <w:rPr>
          <w:rFonts w:ascii="Arial Narrow" w:hAnsi="Arial Narrow"/>
          <w:b/>
          <w:bCs/>
          <w:i/>
          <w:iCs/>
          <w:sz w:val="20"/>
          <w:szCs w:val="20"/>
        </w:rPr>
        <w:t>PARÁGRAFO TRANSITORIO</w:t>
      </w:r>
      <w:r w:rsidR="0079139A" w:rsidRPr="005D659A">
        <w:rPr>
          <w:rFonts w:ascii="Arial Narrow" w:hAnsi="Arial Narrow"/>
          <w:b/>
          <w:bCs/>
          <w:i/>
          <w:iCs/>
          <w:sz w:val="20"/>
          <w:szCs w:val="20"/>
        </w:rPr>
        <w:t xml:space="preserve"> 1</w:t>
      </w:r>
      <w:r w:rsidRPr="005D659A">
        <w:rPr>
          <w:rFonts w:ascii="Arial Narrow" w:hAnsi="Arial Narrow"/>
          <w:b/>
          <w:bCs/>
          <w:i/>
          <w:iCs/>
          <w:sz w:val="20"/>
          <w:szCs w:val="20"/>
        </w:rPr>
        <w:t xml:space="preserve">. </w:t>
      </w:r>
      <w:r w:rsidRPr="005D659A">
        <w:rPr>
          <w:rFonts w:ascii="Arial Narrow" w:hAnsi="Arial Narrow"/>
          <w:i/>
          <w:iCs/>
          <w:sz w:val="20"/>
          <w:szCs w:val="20"/>
        </w:rPr>
        <w:t>El desembolso del beneficio de Asignación Mensual, conforme a las reglas dispuestas en la presente resolución, se causará a partir de los dos (2) meses posteriores de la expedición de la presente resolución. Las actividades realizadas con anterioridad a esa fecha se desembolsarán acorde con los criterios definidos por la normatividad previa</w:t>
      </w:r>
      <w:r w:rsidR="008A4977" w:rsidRPr="005D659A">
        <w:rPr>
          <w:rFonts w:ascii="Arial Narrow" w:hAnsi="Arial Narrow"/>
          <w:sz w:val="20"/>
          <w:szCs w:val="20"/>
        </w:rPr>
        <w:t>.</w:t>
      </w:r>
    </w:p>
    <w:p w14:paraId="2733C3A4" w14:textId="77777777" w:rsidR="0079139A" w:rsidRPr="005D659A" w:rsidRDefault="0079139A" w:rsidP="0094007D">
      <w:pPr>
        <w:ind w:left="284"/>
        <w:jc w:val="both"/>
        <w:rPr>
          <w:rFonts w:ascii="Arial Narrow" w:hAnsi="Arial Narrow"/>
          <w:sz w:val="20"/>
          <w:szCs w:val="20"/>
        </w:rPr>
      </w:pPr>
    </w:p>
    <w:p w14:paraId="6EB98ACF" w14:textId="5C033DDA" w:rsidR="006350FA" w:rsidRPr="005D659A" w:rsidRDefault="0079139A" w:rsidP="0094007D">
      <w:pPr>
        <w:ind w:left="567"/>
        <w:jc w:val="both"/>
        <w:rPr>
          <w:rFonts w:ascii="Arial Narrow" w:hAnsi="Arial Narrow"/>
          <w:i/>
          <w:iCs/>
          <w:sz w:val="20"/>
          <w:szCs w:val="20"/>
        </w:rPr>
      </w:pPr>
      <w:r w:rsidRPr="005D659A">
        <w:rPr>
          <w:rFonts w:ascii="Arial Narrow" w:hAnsi="Arial Narrow"/>
          <w:b/>
          <w:bCs/>
          <w:i/>
          <w:iCs/>
          <w:sz w:val="20"/>
          <w:szCs w:val="20"/>
        </w:rPr>
        <w:t>PARÁGRAFO TRANSITORIO 2</w:t>
      </w:r>
      <w:r w:rsidR="00D27818" w:rsidRPr="005D659A">
        <w:rPr>
          <w:rFonts w:ascii="Arial Narrow" w:hAnsi="Arial Narrow"/>
          <w:b/>
          <w:bCs/>
          <w:i/>
          <w:iCs/>
          <w:sz w:val="20"/>
          <w:szCs w:val="20"/>
        </w:rPr>
        <w:t>.</w:t>
      </w:r>
      <w:r w:rsidRPr="005D659A">
        <w:rPr>
          <w:rFonts w:ascii="Arial Narrow" w:hAnsi="Arial Narrow"/>
          <w:b/>
          <w:bCs/>
          <w:i/>
          <w:iCs/>
          <w:sz w:val="20"/>
          <w:szCs w:val="20"/>
        </w:rPr>
        <w:t xml:space="preserve"> </w:t>
      </w:r>
      <w:r w:rsidRPr="005D659A">
        <w:rPr>
          <w:rFonts w:ascii="Arial Narrow" w:hAnsi="Arial Narrow"/>
          <w:i/>
          <w:iCs/>
          <w:sz w:val="20"/>
          <w:szCs w:val="20"/>
        </w:rPr>
        <w:t>De acuerdo con el literal b) del Articulo 8</w:t>
      </w:r>
      <w:r w:rsidR="001D4D0D" w:rsidRPr="005D659A">
        <w:rPr>
          <w:rFonts w:ascii="Arial Narrow" w:hAnsi="Arial Narrow"/>
          <w:i/>
          <w:iCs/>
          <w:sz w:val="20"/>
          <w:szCs w:val="20"/>
        </w:rPr>
        <w:t xml:space="preserve"> de la presente resolución</w:t>
      </w:r>
      <w:r w:rsidRPr="005D659A">
        <w:rPr>
          <w:rFonts w:ascii="Arial Narrow" w:hAnsi="Arial Narrow"/>
          <w:i/>
          <w:iCs/>
          <w:sz w:val="20"/>
          <w:szCs w:val="20"/>
        </w:rPr>
        <w:t xml:space="preserve">, el otorgamiento de la Asignación Mensual en la Fase 1 del presente artículo se reconocerá conforme </w:t>
      </w:r>
      <w:r w:rsidR="001F06D3" w:rsidRPr="005D659A">
        <w:rPr>
          <w:rFonts w:ascii="Arial Narrow" w:hAnsi="Arial Narrow"/>
          <w:i/>
          <w:iCs/>
          <w:sz w:val="20"/>
          <w:szCs w:val="20"/>
        </w:rPr>
        <w:t xml:space="preserve">con </w:t>
      </w:r>
      <w:r w:rsidR="001D4D0D" w:rsidRPr="005D659A">
        <w:rPr>
          <w:rFonts w:ascii="Arial Narrow" w:hAnsi="Arial Narrow"/>
          <w:i/>
          <w:iCs/>
          <w:sz w:val="20"/>
          <w:szCs w:val="20"/>
        </w:rPr>
        <w:t>el acompañamiento</w:t>
      </w:r>
      <w:r w:rsidRPr="005D659A">
        <w:rPr>
          <w:rFonts w:ascii="Arial Narrow" w:hAnsi="Arial Narrow"/>
          <w:i/>
          <w:iCs/>
          <w:sz w:val="20"/>
          <w:szCs w:val="20"/>
        </w:rPr>
        <w:t xml:space="preserve"> periódico que reciba por parte de la Agencia para la Reincorporación y la Normalización hasta que </w:t>
      </w:r>
      <w:r w:rsidR="00F16AF2" w:rsidRPr="005D659A">
        <w:rPr>
          <w:rFonts w:ascii="Arial Narrow" w:hAnsi="Arial Narrow"/>
          <w:i/>
          <w:iCs/>
          <w:sz w:val="20"/>
          <w:szCs w:val="20"/>
        </w:rPr>
        <w:t>expire la vigencia del</w:t>
      </w:r>
      <w:r w:rsidR="007C5C0B" w:rsidRPr="005D659A">
        <w:rPr>
          <w:rFonts w:ascii="Arial Narrow" w:hAnsi="Arial Narrow"/>
          <w:i/>
          <w:iCs/>
          <w:sz w:val="20"/>
          <w:szCs w:val="20"/>
        </w:rPr>
        <w:t xml:space="preserve"> E</w:t>
      </w:r>
      <w:r w:rsidR="000876D1" w:rsidRPr="005D659A">
        <w:rPr>
          <w:rFonts w:ascii="Arial Narrow" w:hAnsi="Arial Narrow"/>
          <w:i/>
          <w:iCs/>
          <w:sz w:val="20"/>
          <w:szCs w:val="20"/>
        </w:rPr>
        <w:t>stado de Conmoción Interior declarado mediante el Decreto 062 de 2025</w:t>
      </w:r>
      <w:r w:rsidR="0089039A" w:rsidRPr="005D659A">
        <w:rPr>
          <w:rFonts w:ascii="Arial Narrow" w:hAnsi="Arial Narrow"/>
          <w:sz w:val="20"/>
          <w:szCs w:val="20"/>
        </w:rPr>
        <w:t>”</w:t>
      </w:r>
      <w:r w:rsidR="007C5C0B" w:rsidRPr="005D659A">
        <w:rPr>
          <w:rFonts w:ascii="Arial Narrow" w:hAnsi="Arial Narrow"/>
          <w:sz w:val="20"/>
          <w:szCs w:val="20"/>
        </w:rPr>
        <w:t>.</w:t>
      </w:r>
    </w:p>
    <w:p w14:paraId="405095E9" w14:textId="77777777" w:rsidR="006350FA" w:rsidRPr="005D659A" w:rsidRDefault="006350FA" w:rsidP="0094007D">
      <w:pPr>
        <w:jc w:val="both"/>
        <w:rPr>
          <w:rFonts w:ascii="Arial Narrow" w:hAnsi="Arial Narrow"/>
          <w:b/>
          <w:bCs/>
          <w:sz w:val="22"/>
          <w:szCs w:val="22"/>
          <w:lang w:val="es-CO"/>
        </w:rPr>
      </w:pPr>
    </w:p>
    <w:p w14:paraId="689737BB" w14:textId="45CECAFF" w:rsidR="000D74C3" w:rsidRPr="005D659A" w:rsidRDefault="001F3725" w:rsidP="0094007D">
      <w:pPr>
        <w:jc w:val="both"/>
        <w:rPr>
          <w:rFonts w:ascii="Arial Narrow" w:hAnsi="Arial Narrow"/>
          <w:sz w:val="22"/>
          <w:szCs w:val="22"/>
          <w:lang w:val="es-CO"/>
        </w:rPr>
      </w:pPr>
      <w:r w:rsidRPr="005D659A">
        <w:rPr>
          <w:rFonts w:ascii="Arial Narrow" w:hAnsi="Arial Narrow"/>
          <w:b/>
          <w:bCs/>
          <w:sz w:val="22"/>
          <w:szCs w:val="22"/>
        </w:rPr>
        <w:t xml:space="preserve">ARTÍCULO </w:t>
      </w:r>
      <w:r w:rsidR="00206E18" w:rsidRPr="005D659A">
        <w:rPr>
          <w:rFonts w:ascii="Arial Narrow" w:hAnsi="Arial Narrow"/>
          <w:b/>
          <w:bCs/>
          <w:sz w:val="22"/>
          <w:szCs w:val="22"/>
        </w:rPr>
        <w:t>SEGUNDO</w:t>
      </w:r>
      <w:r w:rsidRPr="005D659A">
        <w:rPr>
          <w:rFonts w:ascii="Arial Narrow" w:hAnsi="Arial Narrow"/>
          <w:b/>
          <w:bCs/>
          <w:sz w:val="22"/>
          <w:szCs w:val="22"/>
        </w:rPr>
        <w:t>. VIGENCIA</w:t>
      </w:r>
      <w:r w:rsidR="007C5C0B" w:rsidRPr="005D659A">
        <w:rPr>
          <w:rFonts w:ascii="Arial Narrow" w:hAnsi="Arial Narrow"/>
          <w:b/>
          <w:bCs/>
          <w:sz w:val="22"/>
          <w:szCs w:val="22"/>
        </w:rPr>
        <w:t>.</w:t>
      </w:r>
      <w:r w:rsidR="0094007D" w:rsidRPr="005D659A">
        <w:rPr>
          <w:rFonts w:ascii="Arial Narrow" w:hAnsi="Arial Narrow"/>
          <w:b/>
          <w:bCs/>
          <w:sz w:val="22"/>
          <w:szCs w:val="22"/>
        </w:rPr>
        <w:t xml:space="preserve"> </w:t>
      </w:r>
      <w:r w:rsidR="00191536" w:rsidRPr="005D659A">
        <w:rPr>
          <w:rFonts w:ascii="Arial Narrow" w:hAnsi="Arial Narrow"/>
          <w:sz w:val="22"/>
          <w:szCs w:val="22"/>
        </w:rPr>
        <w:t>La presente resolución rige a partir de</w:t>
      </w:r>
      <w:r w:rsidR="00547665" w:rsidRPr="005D659A">
        <w:rPr>
          <w:rFonts w:ascii="Arial Narrow" w:hAnsi="Arial Narrow"/>
          <w:sz w:val="22"/>
          <w:szCs w:val="22"/>
        </w:rPr>
        <w:t>l mes siguiente a</w:t>
      </w:r>
      <w:r w:rsidR="0094007D" w:rsidRPr="005D659A">
        <w:rPr>
          <w:rFonts w:ascii="Arial Narrow" w:hAnsi="Arial Narrow"/>
          <w:sz w:val="22"/>
          <w:szCs w:val="22"/>
        </w:rPr>
        <w:t xml:space="preserve"> </w:t>
      </w:r>
      <w:r w:rsidR="00191536" w:rsidRPr="005D659A">
        <w:rPr>
          <w:rFonts w:ascii="Arial Narrow" w:hAnsi="Arial Narrow"/>
          <w:sz w:val="22"/>
          <w:szCs w:val="22"/>
        </w:rPr>
        <w:t>la fecha de su publicación en el Diario Oficial.</w:t>
      </w:r>
    </w:p>
    <w:p w14:paraId="0C41EC16" w14:textId="77777777" w:rsidR="000D74C3" w:rsidRPr="005D659A" w:rsidRDefault="000D74C3" w:rsidP="0094007D">
      <w:pPr>
        <w:jc w:val="both"/>
        <w:rPr>
          <w:rFonts w:ascii="Arial Narrow" w:hAnsi="Arial Narrow"/>
          <w:b/>
          <w:bCs/>
          <w:sz w:val="22"/>
          <w:szCs w:val="22"/>
          <w:lang w:val="es-CO"/>
        </w:rPr>
      </w:pPr>
    </w:p>
    <w:p w14:paraId="7510DA3E" w14:textId="77777777" w:rsidR="00025E6F" w:rsidRPr="005D659A" w:rsidRDefault="00025E6F" w:rsidP="0094007D">
      <w:pPr>
        <w:jc w:val="both"/>
        <w:rPr>
          <w:rFonts w:ascii="Arial Narrow" w:hAnsi="Arial Narrow"/>
          <w:sz w:val="22"/>
          <w:szCs w:val="22"/>
        </w:rPr>
      </w:pPr>
    </w:p>
    <w:p w14:paraId="24C24A5A" w14:textId="75FD0885" w:rsidR="001F3725" w:rsidRPr="005D659A" w:rsidRDefault="001F3725" w:rsidP="0094007D">
      <w:pPr>
        <w:jc w:val="center"/>
        <w:rPr>
          <w:rFonts w:ascii="Arial Narrow" w:hAnsi="Arial Narrow"/>
          <w:b/>
          <w:bCs/>
          <w:sz w:val="22"/>
          <w:szCs w:val="22"/>
        </w:rPr>
      </w:pPr>
      <w:r w:rsidRPr="005D659A">
        <w:rPr>
          <w:rFonts w:ascii="Arial Narrow" w:hAnsi="Arial Narrow"/>
          <w:b/>
          <w:bCs/>
          <w:sz w:val="22"/>
          <w:szCs w:val="22"/>
        </w:rPr>
        <w:t>PUBLÍQUESE Y CÚMPLASE</w:t>
      </w:r>
    </w:p>
    <w:p w14:paraId="5DA50876" w14:textId="1F4274E8" w:rsidR="001F3725" w:rsidRPr="005D659A" w:rsidRDefault="001F3725" w:rsidP="0094007D">
      <w:pPr>
        <w:jc w:val="both"/>
        <w:rPr>
          <w:rFonts w:ascii="Arial Narrow" w:hAnsi="Arial Narrow"/>
          <w:sz w:val="22"/>
          <w:szCs w:val="22"/>
        </w:rPr>
      </w:pPr>
    </w:p>
    <w:p w14:paraId="538B9A2F" w14:textId="5C4E907D" w:rsidR="001F3725" w:rsidRPr="005D659A" w:rsidRDefault="001F3725" w:rsidP="0094007D">
      <w:pPr>
        <w:jc w:val="both"/>
        <w:rPr>
          <w:rFonts w:ascii="Arial Narrow" w:hAnsi="Arial Narrow"/>
          <w:sz w:val="22"/>
          <w:szCs w:val="22"/>
        </w:rPr>
      </w:pPr>
      <w:r w:rsidRPr="005D659A">
        <w:rPr>
          <w:rFonts w:ascii="Arial Narrow" w:hAnsi="Arial Narrow"/>
          <w:sz w:val="22"/>
          <w:szCs w:val="22"/>
        </w:rPr>
        <w:t xml:space="preserve">Dada en Bogotá D.C. a los </w:t>
      </w:r>
    </w:p>
    <w:p w14:paraId="195A9C25" w14:textId="77777777" w:rsidR="005045EC" w:rsidRPr="005D659A" w:rsidRDefault="005045EC" w:rsidP="0094007D">
      <w:pPr>
        <w:jc w:val="both"/>
        <w:rPr>
          <w:rFonts w:ascii="Arial Narrow" w:hAnsi="Arial Narrow"/>
          <w:sz w:val="22"/>
          <w:szCs w:val="22"/>
        </w:rPr>
      </w:pPr>
    </w:p>
    <w:p w14:paraId="646CC78C" w14:textId="105B1688" w:rsidR="008C0AAD" w:rsidRPr="005D659A" w:rsidRDefault="008C0AAD" w:rsidP="0094007D">
      <w:pPr>
        <w:jc w:val="both"/>
        <w:rPr>
          <w:rFonts w:ascii="Arial Narrow" w:hAnsi="Arial Narrow"/>
          <w:sz w:val="22"/>
          <w:szCs w:val="22"/>
        </w:rPr>
      </w:pPr>
    </w:p>
    <w:p w14:paraId="117C06AC" w14:textId="5E18AEDA" w:rsidR="001F3725" w:rsidRPr="005D659A" w:rsidRDefault="001F3725" w:rsidP="0094007D">
      <w:pPr>
        <w:jc w:val="both"/>
        <w:rPr>
          <w:rFonts w:ascii="Arial Narrow" w:hAnsi="Arial Narrow"/>
          <w:sz w:val="22"/>
          <w:szCs w:val="22"/>
        </w:rPr>
      </w:pPr>
    </w:p>
    <w:p w14:paraId="16891D0A" w14:textId="69A3F65A" w:rsidR="001F3725" w:rsidRPr="005D659A" w:rsidRDefault="001F3725" w:rsidP="0094007D">
      <w:pPr>
        <w:jc w:val="center"/>
        <w:rPr>
          <w:rFonts w:ascii="Arial Narrow" w:hAnsi="Arial Narrow"/>
          <w:b/>
          <w:bCs/>
          <w:sz w:val="22"/>
          <w:szCs w:val="22"/>
        </w:rPr>
      </w:pPr>
      <w:r w:rsidRPr="005D659A">
        <w:rPr>
          <w:rFonts w:ascii="Arial Narrow" w:hAnsi="Arial Narrow"/>
          <w:b/>
          <w:bCs/>
          <w:sz w:val="22"/>
          <w:szCs w:val="22"/>
        </w:rPr>
        <w:t>ALEJANDRA MILLER RESTREPO</w:t>
      </w:r>
    </w:p>
    <w:p w14:paraId="3E650E32" w14:textId="0E0DFC3E" w:rsidR="001F3725" w:rsidRPr="005D659A" w:rsidRDefault="001F3725" w:rsidP="0094007D">
      <w:pPr>
        <w:jc w:val="center"/>
        <w:rPr>
          <w:rFonts w:ascii="Arial Narrow" w:hAnsi="Arial Narrow"/>
          <w:sz w:val="22"/>
          <w:szCs w:val="22"/>
        </w:rPr>
      </w:pPr>
      <w:r w:rsidRPr="005D659A">
        <w:rPr>
          <w:rFonts w:ascii="Arial Narrow" w:hAnsi="Arial Narrow"/>
          <w:sz w:val="22"/>
          <w:szCs w:val="22"/>
        </w:rPr>
        <w:t>Directora General</w:t>
      </w:r>
    </w:p>
    <w:p w14:paraId="170F8623" w14:textId="4999AE5A" w:rsidR="001F3725" w:rsidRPr="005D659A" w:rsidRDefault="001F3725" w:rsidP="0094007D">
      <w:pPr>
        <w:jc w:val="both"/>
        <w:rPr>
          <w:rFonts w:ascii="Arial Narrow" w:hAnsi="Arial Narrow"/>
          <w:sz w:val="22"/>
          <w:szCs w:val="22"/>
        </w:rPr>
      </w:pPr>
    </w:p>
    <w:bookmarkEnd w:id="0"/>
    <w:p w14:paraId="27C29108" w14:textId="77777777" w:rsidR="001F3725" w:rsidRPr="005D659A" w:rsidRDefault="001F3725" w:rsidP="0094007D">
      <w:pPr>
        <w:jc w:val="both"/>
        <w:rPr>
          <w:rFonts w:ascii="Arial Narrow" w:hAnsi="Arial Narrow"/>
          <w:sz w:val="22"/>
          <w:szCs w:val="22"/>
        </w:rPr>
      </w:pPr>
    </w:p>
    <w:sectPr w:rsidR="001F3725" w:rsidRPr="005D659A" w:rsidSect="00C66FB8">
      <w:headerReference w:type="even" r:id="rId12"/>
      <w:headerReference w:type="default" r:id="rId13"/>
      <w:footerReference w:type="even" r:id="rId14"/>
      <w:headerReference w:type="first" r:id="rId15"/>
      <w:pgSz w:w="12240" w:h="18720" w:code="14"/>
      <w:pgMar w:top="1701" w:right="1325" w:bottom="1134" w:left="1191"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6163" w14:textId="77777777" w:rsidR="000F4F56" w:rsidRDefault="000F4F56" w:rsidP="00CF32C3">
      <w:r>
        <w:separator/>
      </w:r>
    </w:p>
  </w:endnote>
  <w:endnote w:type="continuationSeparator" w:id="0">
    <w:p w14:paraId="46B82C40" w14:textId="77777777" w:rsidR="000F4F56" w:rsidRDefault="000F4F56" w:rsidP="00CF32C3">
      <w:r>
        <w:continuationSeparator/>
      </w:r>
    </w:p>
  </w:endnote>
  <w:endnote w:type="continuationNotice" w:id="1">
    <w:p w14:paraId="18C66C08" w14:textId="77777777" w:rsidR="000F4F56" w:rsidRDefault="000F4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5A72" w14:textId="77777777" w:rsidR="00893EC6" w:rsidRDefault="00893EC6">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CCBF" w14:textId="77777777" w:rsidR="000F4F56" w:rsidRDefault="000F4F56" w:rsidP="00CF32C3">
      <w:r>
        <w:separator/>
      </w:r>
    </w:p>
  </w:footnote>
  <w:footnote w:type="continuationSeparator" w:id="0">
    <w:p w14:paraId="66A4F9D7" w14:textId="77777777" w:rsidR="000F4F56" w:rsidRDefault="000F4F56" w:rsidP="00CF32C3">
      <w:r>
        <w:continuationSeparator/>
      </w:r>
    </w:p>
  </w:footnote>
  <w:footnote w:type="continuationNotice" w:id="1">
    <w:p w14:paraId="5680F76E" w14:textId="77777777" w:rsidR="000F4F56" w:rsidRDefault="000F4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9049" w14:textId="77777777" w:rsidR="00893EC6" w:rsidRDefault="00893EC6">
    <w:pPr>
      <w:pStyle w:val="Encabezado"/>
      <w:tabs>
        <w:tab w:val="clear" w:pos="4320"/>
        <w:tab w:val="clear" w:pos="8640"/>
        <w:tab w:val="center" w:pos="5220"/>
      </w:tabs>
      <w:spacing w:before="272"/>
      <w:rPr>
        <w:b/>
      </w:rPr>
    </w:pPr>
    <w:r>
      <w:rPr>
        <w:b/>
        <w:lang w:val="pt-BR"/>
      </w:rPr>
      <w:t xml:space="preserve">DECRETO </w:t>
    </w:r>
    <w:proofErr w:type="gramStart"/>
    <w:r>
      <w:rPr>
        <w:b/>
        <w:lang w:val="pt-BR"/>
      </w:rPr>
      <w:t>NUMERO</w:t>
    </w:r>
    <w:proofErr w:type="gramEnd"/>
    <w:r>
      <w:rPr>
        <w:b/>
        <w:lang w:val="pt-BR"/>
      </w:rPr>
      <w:t xml:space="preserve"> _________________de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7A62B12" w14:textId="77777777" w:rsidR="00893EC6" w:rsidRDefault="00893EC6">
    <w:pPr>
      <w:pStyle w:val="Encabezado"/>
    </w:pPr>
    <w:r>
      <w:rPr>
        <w:noProof/>
        <w:lang w:val="es-CO" w:eastAsia="es-CO"/>
      </w:rPr>
      <mc:AlternateContent>
        <mc:Choice Requires="wps">
          <w:drawing>
            <wp:anchor distT="0" distB="0" distL="114300" distR="114300" simplePos="0" relativeHeight="251658241" behindDoc="0" locked="0" layoutInCell="0" allowOverlap="1" wp14:anchorId="5E3AF77E" wp14:editId="17359603">
              <wp:simplePos x="0" y="0"/>
              <wp:positionH relativeFrom="page">
                <wp:posOffset>440055</wp:posOffset>
              </wp:positionH>
              <wp:positionV relativeFrom="page">
                <wp:posOffset>891540</wp:posOffset>
              </wp:positionV>
              <wp:extent cx="6872605" cy="10634345"/>
              <wp:effectExtent l="0" t="0" r="23495" b="14605"/>
              <wp:wrapNone/>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656F5" id="Rectangle 3" o:spid="_x0000_s1026" style="position:absolute;margin-left:34.65pt;margin-top:70.2pt;width:541.15pt;height:83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" o:allowincell="f" filled="f" strokeweight="2pt">
              <o:lock v:ext="edit" aspectratio="t"/>
              <w10:wrap anchorx="page" anchory="page"/>
            </v:rect>
          </w:pict>
        </mc:Fallback>
      </mc:AlternateContent>
    </w:r>
  </w:p>
  <w:p w14:paraId="5CCF1041" w14:textId="77777777" w:rsidR="00893EC6" w:rsidRDefault="00893EC6">
    <w:pPr>
      <w:jc w:val="center"/>
      <w:rPr>
        <w:b/>
      </w:rPr>
    </w:pPr>
  </w:p>
  <w:p w14:paraId="0EAF68BB" w14:textId="77777777" w:rsidR="00893EC6" w:rsidRDefault="00893EC6">
    <w:pPr>
      <w:jc w:val="center"/>
      <w:rPr>
        <w:sz w:val="22"/>
      </w:rPr>
    </w:pPr>
    <w:r>
      <w:rPr>
        <w:noProof/>
        <w:color w:val="000000"/>
        <w:lang w:val="es-CO" w:eastAsia="es-CO"/>
      </w:rPr>
      <mc:AlternateContent>
        <mc:Choice Requires="wps">
          <w:drawing>
            <wp:anchor distT="4294967295" distB="4294967295" distL="114300" distR="114300" simplePos="0" relativeHeight="251658243" behindDoc="0" locked="0" layoutInCell="0" allowOverlap="1" wp14:anchorId="7DC8A084" wp14:editId="14C2E756">
              <wp:simplePos x="0" y="0"/>
              <wp:positionH relativeFrom="column">
                <wp:posOffset>188595</wp:posOffset>
              </wp:positionH>
              <wp:positionV relativeFrom="paragraph">
                <wp:posOffset>406399</wp:posOffset>
              </wp:positionV>
              <wp:extent cx="62865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A99B1" id="Line 5"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A517C9C" w14:textId="77777777" w:rsidR="00893EC6" w:rsidRDefault="00893EC6">
    <w:pPr>
      <w:jc w:val="center"/>
      <w:rPr>
        <w:sz w:val="22"/>
      </w:rPr>
    </w:pPr>
  </w:p>
  <w:p w14:paraId="23267318" w14:textId="77777777" w:rsidR="00893EC6" w:rsidRDefault="00893EC6">
    <w:pPr>
      <w:jc w:val="center"/>
      <w:rPr>
        <w:snapToGrid w:val="0"/>
        <w:color w:val="000000"/>
        <w:sz w:val="18"/>
      </w:rPr>
    </w:pPr>
  </w:p>
  <w:p w14:paraId="151A3477" w14:textId="77777777" w:rsidR="00893EC6" w:rsidRDefault="00893EC6">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3096" w14:textId="7B4276F7" w:rsidR="00893EC6" w:rsidRPr="0008135D" w:rsidRDefault="00893EC6" w:rsidP="00C66FB8">
    <w:pPr>
      <w:pStyle w:val="Encabezado"/>
      <w:jc w:val="center"/>
      <w:rPr>
        <w:b/>
        <w:sz w:val="24"/>
        <w:szCs w:val="24"/>
        <w:lang w:val="pt-BR"/>
      </w:rPr>
    </w:pPr>
    <w:r w:rsidRPr="009C52D2">
      <w:rPr>
        <w:rFonts w:ascii="Arial Narrow" w:hAnsi="Arial Narrow"/>
        <w:b/>
        <w:noProof/>
        <w:sz w:val="22"/>
        <w:szCs w:val="22"/>
        <w:lang w:val="es-CO" w:eastAsia="es-CO"/>
      </w:rPr>
      <mc:AlternateContent>
        <mc:Choice Requires="wps">
          <w:drawing>
            <wp:anchor distT="0" distB="0" distL="114300" distR="114300" simplePos="0" relativeHeight="251659264" behindDoc="0" locked="0" layoutInCell="0" allowOverlap="1" wp14:anchorId="143179A1" wp14:editId="4913CF7C">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9B302" id="Rectangle 4" o:spid="_x0000_s1026" style="position:absolute;margin-left:36.65pt;margin-top:57.3pt;width:537.85pt;height:8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" o:allowincell="f" filled="f" strokeweight="2pt">
              <o:lock v:ext="edit" aspectratio="t"/>
              <w10:wrap anchorx="page" anchory="page"/>
            </v:rect>
          </w:pict>
        </mc:Fallback>
      </mc:AlternateContent>
    </w:r>
    <w:r w:rsidRPr="009C52D2">
      <w:rPr>
        <w:rFonts w:ascii="Arial Narrow" w:hAnsi="Arial Narrow"/>
        <w:b/>
        <w:sz w:val="22"/>
        <w:szCs w:val="22"/>
        <w:lang w:val="pt-BR"/>
      </w:rPr>
      <w:t>RESOLUCIÓN NÚMERO____________DE 202</w:t>
    </w:r>
    <w:r w:rsidR="00F01F32">
      <w:rPr>
        <w:rFonts w:ascii="Arial Narrow" w:hAnsi="Arial Narrow"/>
        <w:b/>
        <w:sz w:val="22"/>
        <w:szCs w:val="22"/>
        <w:lang w:val="pt-BR"/>
      </w:rPr>
      <w:t>6</w:t>
    </w:r>
    <w:r>
      <w:rPr>
        <w:rFonts w:ascii="Arial Narrow" w:hAnsi="Arial Narrow"/>
        <w:b/>
        <w:sz w:val="22"/>
        <w:szCs w:val="22"/>
        <w:lang w:val="pt-BR"/>
      </w:rPr>
      <w:t xml:space="preserve">                                                                                  </w:t>
    </w:r>
    <w:proofErr w:type="spellStart"/>
    <w:r w:rsidRPr="009C52D2">
      <w:rPr>
        <w:rFonts w:ascii="Arial Narrow" w:hAnsi="Arial Narrow"/>
        <w:b/>
        <w:sz w:val="22"/>
        <w:szCs w:val="22"/>
        <w:lang w:val="pt-BR"/>
      </w:rPr>
      <w:t>Hoja</w:t>
    </w:r>
    <w:proofErr w:type="spellEnd"/>
    <w:r w:rsidRPr="009C52D2">
      <w:rPr>
        <w:rFonts w:ascii="Arial Narrow" w:hAnsi="Arial Narrow"/>
        <w:b/>
        <w:sz w:val="22"/>
        <w:szCs w:val="22"/>
        <w:lang w:val="pt-BR"/>
      </w:rPr>
      <w:t xml:space="preserve"> N°.</w:t>
    </w:r>
    <w:r>
      <w:rPr>
        <w:b/>
        <w:sz w:val="24"/>
        <w:szCs w:val="24"/>
        <w:lang w:val="pt-BR"/>
      </w:rPr>
      <w:t xml:space="preserve">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4C1316">
      <w:rPr>
        <w:rStyle w:val="Nmerodepgina"/>
        <w:b/>
        <w:noProof/>
        <w:sz w:val="24"/>
        <w:szCs w:val="24"/>
        <w:lang w:val="pt-BR"/>
      </w:rPr>
      <w:t>7</w:t>
    </w:r>
    <w:r>
      <w:rPr>
        <w:rStyle w:val="Nmerodepgina"/>
        <w:b/>
        <w:sz w:val="24"/>
        <w:szCs w:val="24"/>
      </w:rPr>
      <w:fldChar w:fldCharType="end"/>
    </w:r>
  </w:p>
  <w:p w14:paraId="013FC59C" w14:textId="77777777" w:rsidR="00893EC6" w:rsidRDefault="00893EC6">
    <w:pPr>
      <w:jc w:val="center"/>
      <w:rPr>
        <w:b/>
      </w:rPr>
    </w:pPr>
  </w:p>
  <w:p w14:paraId="068CA05B" w14:textId="77777777" w:rsidR="00893EC6" w:rsidRDefault="00893EC6" w:rsidP="00C66FB8"/>
  <w:p w14:paraId="5BF07CC1" w14:textId="4490B471" w:rsidR="00893EC6" w:rsidRPr="002A0ED6" w:rsidRDefault="00893EC6" w:rsidP="00C66FB8">
    <w:pPr>
      <w:jc w:val="center"/>
      <w:rPr>
        <w:rFonts w:ascii="Arial Narrow" w:hAnsi="Arial Narrow"/>
        <w:i/>
        <w:iCs/>
        <w:sz w:val="22"/>
        <w:szCs w:val="22"/>
      </w:rPr>
    </w:pPr>
    <w:r>
      <w:rPr>
        <w:rFonts w:ascii="Arial Narrow" w:hAnsi="Arial Narrow"/>
        <w:sz w:val="22"/>
        <w:szCs w:val="22"/>
      </w:rPr>
      <w:t xml:space="preserve">Continuación de la resolución </w:t>
    </w:r>
    <w:r w:rsidRPr="00B91D01">
      <w:rPr>
        <w:rFonts w:ascii="Arial Narrow" w:hAnsi="Arial Narrow"/>
        <w:i/>
        <w:iCs/>
        <w:sz w:val="22"/>
        <w:szCs w:val="22"/>
      </w:rPr>
      <w:t>“</w:t>
    </w:r>
    <w:r w:rsidR="002A6C4D" w:rsidRPr="0009302A">
      <w:rPr>
        <w:rFonts w:ascii="Arial Narrow" w:hAnsi="Arial Narrow" w:cs="Arial"/>
        <w:i/>
        <w:iCs/>
        <w:sz w:val="22"/>
        <w:szCs w:val="22"/>
      </w:rPr>
      <w:t xml:space="preserve">Por la cual se modifica </w:t>
    </w:r>
    <w:r w:rsidR="0028796A">
      <w:rPr>
        <w:rFonts w:ascii="Arial Narrow" w:hAnsi="Arial Narrow" w:cs="Arial"/>
        <w:i/>
        <w:iCs/>
        <w:sz w:val="22"/>
        <w:szCs w:val="22"/>
      </w:rPr>
      <w:t xml:space="preserve">el </w:t>
    </w:r>
    <w:r w:rsidR="002A6C4D" w:rsidRPr="0009302A">
      <w:rPr>
        <w:rFonts w:ascii="Arial Narrow" w:hAnsi="Arial Narrow" w:cs="Arial"/>
        <w:i/>
        <w:iCs/>
        <w:sz w:val="22"/>
        <w:szCs w:val="22"/>
      </w:rPr>
      <w:t>artícul</w:t>
    </w:r>
    <w:r w:rsidR="002A6C4D" w:rsidRPr="00025E6F">
      <w:rPr>
        <w:rFonts w:ascii="Arial Narrow" w:hAnsi="Arial Narrow" w:cs="Arial"/>
        <w:i/>
        <w:iCs/>
        <w:sz w:val="22"/>
        <w:szCs w:val="22"/>
      </w:rPr>
      <w:t>o 44</w:t>
    </w:r>
    <w:r w:rsidR="001F06D3">
      <w:rPr>
        <w:rFonts w:ascii="Arial Narrow" w:hAnsi="Arial Narrow" w:cs="Arial"/>
        <w:i/>
        <w:iCs/>
        <w:sz w:val="22"/>
        <w:szCs w:val="22"/>
      </w:rPr>
      <w:t xml:space="preserve"> </w:t>
    </w:r>
    <w:r w:rsidR="002A6C4D" w:rsidRPr="0009302A">
      <w:rPr>
        <w:rFonts w:ascii="Arial Narrow" w:hAnsi="Arial Narrow" w:cs="Arial"/>
        <w:i/>
        <w:iCs/>
        <w:sz w:val="22"/>
        <w:szCs w:val="22"/>
      </w:rPr>
      <w:t>de la Resolución 2319 de 2024</w:t>
    </w:r>
    <w:r w:rsidR="00AA6BF6">
      <w:rPr>
        <w:rFonts w:ascii="Arial Narrow" w:hAnsi="Arial Narrow" w:cs="Arial"/>
        <w:i/>
        <w:iCs/>
        <w:sz w:val="22"/>
        <w:szCs w:val="22"/>
      </w:rPr>
      <w:t>, modificad</w:t>
    </w:r>
    <w:r w:rsidR="007A0DCE">
      <w:rPr>
        <w:rFonts w:ascii="Arial Narrow" w:hAnsi="Arial Narrow" w:cs="Arial"/>
        <w:i/>
        <w:iCs/>
        <w:sz w:val="22"/>
        <w:szCs w:val="22"/>
      </w:rPr>
      <w:t>o</w:t>
    </w:r>
    <w:r w:rsidR="00AA6BF6">
      <w:rPr>
        <w:rFonts w:ascii="Arial Narrow" w:hAnsi="Arial Narrow" w:cs="Arial"/>
        <w:i/>
        <w:iCs/>
        <w:sz w:val="22"/>
        <w:szCs w:val="22"/>
      </w:rPr>
      <w:t xml:space="preserve"> por </w:t>
    </w:r>
    <w:r w:rsidR="007A0DCE">
      <w:rPr>
        <w:rFonts w:ascii="Arial Narrow" w:hAnsi="Arial Narrow" w:cs="Arial"/>
        <w:i/>
        <w:iCs/>
        <w:sz w:val="22"/>
        <w:szCs w:val="22"/>
      </w:rPr>
      <w:t xml:space="preserve">el artículo 2 de la </w:t>
    </w:r>
    <w:r w:rsidR="00396F9D">
      <w:rPr>
        <w:rFonts w:ascii="Arial Narrow" w:hAnsi="Arial Narrow" w:cs="Arial"/>
        <w:i/>
        <w:iCs/>
        <w:sz w:val="22"/>
        <w:szCs w:val="22"/>
      </w:rPr>
      <w:t>R</w:t>
    </w:r>
    <w:r w:rsidR="007A0DCE">
      <w:rPr>
        <w:rFonts w:ascii="Arial Narrow" w:hAnsi="Arial Narrow" w:cs="Arial"/>
        <w:i/>
        <w:iCs/>
        <w:sz w:val="22"/>
        <w:szCs w:val="22"/>
      </w:rPr>
      <w:t xml:space="preserve">esolución </w:t>
    </w:r>
    <w:r w:rsidR="00650047">
      <w:rPr>
        <w:rFonts w:ascii="Arial Narrow" w:hAnsi="Arial Narrow" w:cs="Arial"/>
        <w:i/>
        <w:iCs/>
        <w:sz w:val="22"/>
        <w:szCs w:val="22"/>
      </w:rPr>
      <w:t>950 de 2025</w:t>
    </w:r>
    <w:r w:rsidRPr="0094007D">
      <w:rPr>
        <w:rFonts w:ascii="Arial Narrow" w:hAnsi="Arial Narrow"/>
        <w:sz w:val="22"/>
        <w:szCs w:val="22"/>
      </w:rPr>
      <w:t>”</w:t>
    </w:r>
    <w:r>
      <w:rPr>
        <w:rFonts w:ascii="Arial Narrow" w:hAnsi="Arial Narrow"/>
        <w:i/>
        <w:iCs/>
        <w:sz w:val="22"/>
        <w:szCs w:val="22"/>
      </w:rPr>
      <w:t>.</w:t>
    </w:r>
  </w:p>
  <w:p w14:paraId="33EED835" w14:textId="77777777" w:rsidR="00893EC6" w:rsidRDefault="00893EC6" w:rsidP="00C66FB8">
    <w:pPr>
      <w:ind w:left="142" w:right="165"/>
      <w:jc w:val="center"/>
    </w:pPr>
    <w:r>
      <w:rPr>
        <w:rFonts w:cs="Arial"/>
        <w:color w:val="000000"/>
        <w:sz w:val="20"/>
        <w:szCs w:val="20"/>
      </w:rPr>
      <w:t>--------------------------------------------------------------------------------------------------------</w:t>
    </w:r>
  </w:p>
  <w:p w14:paraId="6CE9268B" w14:textId="77777777" w:rsidR="00893EC6" w:rsidRPr="00F875AB" w:rsidRDefault="00893EC6">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9F99" w14:textId="77777777" w:rsidR="00893EC6" w:rsidRDefault="00893EC6" w:rsidP="00C66FB8">
    <w:pPr>
      <w:pStyle w:val="Encabezado"/>
      <w:tabs>
        <w:tab w:val="clear" w:pos="4320"/>
        <w:tab w:val="clear" w:pos="8640"/>
        <w:tab w:val="left" w:pos="9000"/>
        <w:tab w:val="right" w:leader="underscore" w:pos="10530"/>
      </w:tabs>
      <w:rPr>
        <w:b/>
        <w:sz w:val="24"/>
        <w:szCs w:val="24"/>
      </w:rPr>
    </w:pPr>
    <w:r>
      <w:rPr>
        <w:noProof/>
        <w:lang w:val="es-CO" w:eastAsia="es-CO"/>
      </w:rPr>
      <w:drawing>
        <wp:anchor distT="0" distB="0" distL="114300" distR="114300" simplePos="0" relativeHeight="251658244" behindDoc="1" locked="0" layoutInCell="1" allowOverlap="1" wp14:anchorId="180B9227" wp14:editId="0EF2AE4C">
          <wp:simplePos x="0" y="0"/>
          <wp:positionH relativeFrom="page">
            <wp:posOffset>-61595</wp:posOffset>
          </wp:positionH>
          <wp:positionV relativeFrom="paragraph">
            <wp:posOffset>136525</wp:posOffset>
          </wp:positionV>
          <wp:extent cx="7805011" cy="12552680"/>
          <wp:effectExtent l="0" t="0" r="0" b="0"/>
          <wp:wrapNone/>
          <wp:docPr id="34724443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011" cy="12552680"/>
                  </a:xfrm>
                  <a:prstGeom prst="rect">
                    <a:avLst/>
                  </a:prstGeom>
                </pic:spPr>
              </pic:pic>
            </a:graphicData>
          </a:graphic>
          <wp14:sizeRelH relativeFrom="page">
            <wp14:pctWidth>0</wp14:pctWidth>
          </wp14:sizeRelH>
          <wp14:sizeRelV relativeFrom="page">
            <wp14:pctHeight>0</wp14:pctHeight>
          </wp14:sizeRelV>
        </wp:anchor>
      </w:drawing>
    </w:r>
    <w:r>
      <w:rPr>
        <w:noProof/>
        <w:sz w:val="28"/>
        <w:lang w:val="es-CO" w:eastAsia="es-CO"/>
      </w:rPr>
      <mc:AlternateContent>
        <mc:Choice Requires="wps">
          <w:drawing>
            <wp:anchor distT="0" distB="0" distL="114300" distR="114300" simplePos="0" relativeHeight="251658240" behindDoc="0" locked="0" layoutInCell="0" allowOverlap="1" wp14:anchorId="0F156211" wp14:editId="425FF274">
              <wp:simplePos x="0" y="0"/>
              <wp:positionH relativeFrom="page">
                <wp:posOffset>464820</wp:posOffset>
              </wp:positionH>
              <wp:positionV relativeFrom="page">
                <wp:posOffset>727710</wp:posOffset>
              </wp:positionV>
              <wp:extent cx="6830695" cy="10607040"/>
              <wp:effectExtent l="0" t="0" r="27305" b="2286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607040"/>
                      </a:xfrm>
                      <a:prstGeom prst="rect">
                        <a:avLst/>
                      </a:prstGeom>
                      <a:noFill/>
                      <a:ln w="25400">
                        <a:solidFill>
                          <a:srgbClr val="000000"/>
                        </a:solidFill>
                        <a:miter lim="800000"/>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6C748" id="Rectangle 1" o:spid="_x0000_s1026" style="position:absolute;margin-left:36.6pt;margin-top:57.3pt;width:537.85pt;height:8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" o:allowincell="f" filled="f" strokeweight="2pt">
              <o:lock v:ext="edit" aspectratio="t"/>
              <w10:wrap anchorx="page" anchory="page"/>
            </v:rect>
          </w:pict>
        </mc:Fallback>
      </mc:AlternateContent>
    </w:r>
  </w:p>
  <w:p w14:paraId="73FF6F12" w14:textId="77777777" w:rsidR="00893EC6" w:rsidRDefault="00893EC6" w:rsidP="00C66FB8">
    <w:pPr>
      <w:pStyle w:val="Encabezado"/>
      <w:jc w:val="center"/>
      <w:rPr>
        <w:rFonts w:ascii="Arial Narrow" w:hAnsi="Arial Narrow"/>
        <w:b/>
        <w:sz w:val="24"/>
        <w:szCs w:val="24"/>
      </w:rPr>
    </w:pPr>
  </w:p>
  <w:p w14:paraId="2954F21D" w14:textId="77777777" w:rsidR="00893EC6" w:rsidRPr="003D14D1" w:rsidRDefault="00893EC6" w:rsidP="00C66FB8">
    <w:pPr>
      <w:pStyle w:val="Encabezado"/>
      <w:ind w:left="-284" w:right="83"/>
      <w:jc w:val="center"/>
      <w:rPr>
        <w:rFonts w:ascii="Arial Narrow" w:hAnsi="Arial Narrow"/>
        <w:b/>
        <w:sz w:val="22"/>
        <w:szCs w:val="22"/>
      </w:rPr>
    </w:pPr>
  </w:p>
  <w:p w14:paraId="3AD8FDA7" w14:textId="77777777" w:rsidR="00893EC6" w:rsidRDefault="00893EC6" w:rsidP="00C66FB8">
    <w:pPr>
      <w:pStyle w:val="Encabezado"/>
      <w:ind w:left="-284" w:right="83"/>
      <w:jc w:val="center"/>
      <w:rPr>
        <w:rFonts w:ascii="Arial Narrow" w:hAnsi="Arial Narrow"/>
        <w:b/>
        <w:sz w:val="22"/>
        <w:szCs w:val="22"/>
      </w:rPr>
    </w:pPr>
  </w:p>
  <w:p w14:paraId="3187D592" w14:textId="77777777" w:rsidR="00893EC6" w:rsidRDefault="00893EC6" w:rsidP="00C66FB8">
    <w:pPr>
      <w:pStyle w:val="Encabezado"/>
      <w:ind w:left="-284" w:right="83"/>
      <w:jc w:val="center"/>
      <w:rPr>
        <w:rFonts w:ascii="Arial Narrow" w:hAnsi="Arial Narrow"/>
        <w:b/>
        <w:sz w:val="22"/>
        <w:szCs w:val="22"/>
      </w:rPr>
    </w:pPr>
  </w:p>
  <w:p w14:paraId="43191D14" w14:textId="77777777" w:rsidR="00893EC6" w:rsidRDefault="00893EC6" w:rsidP="00C66FB8">
    <w:pPr>
      <w:pStyle w:val="Encabezado"/>
      <w:ind w:left="-284" w:right="83"/>
      <w:jc w:val="center"/>
      <w:rPr>
        <w:rFonts w:ascii="Arial Narrow" w:hAnsi="Arial Narrow"/>
        <w:b/>
        <w:sz w:val="22"/>
        <w:szCs w:val="22"/>
      </w:rPr>
    </w:pPr>
  </w:p>
  <w:p w14:paraId="357D5658" w14:textId="77777777" w:rsidR="00893EC6" w:rsidRDefault="00893EC6" w:rsidP="00C66FB8">
    <w:pPr>
      <w:pStyle w:val="Encabezado"/>
      <w:ind w:left="-284" w:right="83"/>
      <w:jc w:val="center"/>
      <w:rPr>
        <w:rFonts w:ascii="Arial Narrow" w:hAnsi="Arial Narrow"/>
        <w:b/>
        <w:sz w:val="22"/>
        <w:szCs w:val="22"/>
      </w:rPr>
    </w:pPr>
  </w:p>
  <w:p w14:paraId="24662BC9" w14:textId="77777777" w:rsidR="00893EC6" w:rsidRDefault="00893EC6" w:rsidP="00C66FB8">
    <w:pPr>
      <w:pStyle w:val="Encabezado"/>
      <w:ind w:left="-284" w:right="83"/>
      <w:jc w:val="center"/>
      <w:rPr>
        <w:rFonts w:ascii="Arial Narrow" w:hAnsi="Arial Narrow"/>
        <w:b/>
        <w:sz w:val="22"/>
        <w:szCs w:val="22"/>
      </w:rPr>
    </w:pPr>
  </w:p>
  <w:p w14:paraId="7EAA923C" w14:textId="77777777" w:rsidR="00893EC6" w:rsidRPr="00F7576F" w:rsidRDefault="00893EC6" w:rsidP="00C66FB8">
    <w:pPr>
      <w:pStyle w:val="Encabezado"/>
      <w:ind w:left="-284" w:right="83"/>
      <w:jc w:val="center"/>
      <w:rPr>
        <w:rFonts w:ascii="Arial Narrow" w:hAnsi="Arial Narrow"/>
        <w:b/>
        <w:sz w:val="28"/>
        <w:szCs w:val="28"/>
      </w:rPr>
    </w:pPr>
  </w:p>
  <w:p w14:paraId="70B90E4A" w14:textId="77777777" w:rsidR="00893EC6" w:rsidRPr="00F7576F" w:rsidRDefault="00893EC6" w:rsidP="00C66FB8">
    <w:pPr>
      <w:pStyle w:val="Encabezado"/>
      <w:ind w:left="-284" w:right="83"/>
      <w:jc w:val="center"/>
      <w:rPr>
        <w:rFonts w:ascii="Arial Narrow" w:hAnsi="Arial Narrow"/>
        <w:b/>
        <w:sz w:val="28"/>
        <w:szCs w:val="28"/>
      </w:rPr>
    </w:pPr>
    <w:r w:rsidRPr="00F7576F">
      <w:rPr>
        <w:rFonts w:ascii="Arial Narrow" w:hAnsi="Arial Narrow"/>
        <w:b/>
        <w:sz w:val="28"/>
        <w:szCs w:val="28"/>
      </w:rPr>
      <w:t xml:space="preserve">AGENCIA PARA LA REINCORPORACIÓN Y LA NORMALIZACIÓN </w:t>
    </w:r>
  </w:p>
  <w:p w14:paraId="06662EE3" w14:textId="77777777" w:rsidR="00893EC6" w:rsidRPr="003D14D1" w:rsidRDefault="00893EC6" w:rsidP="00C66FB8">
    <w:pPr>
      <w:ind w:left="1134" w:right="1185"/>
      <w:jc w:val="center"/>
      <w:rPr>
        <w:rFonts w:ascii="Arial Narrow" w:hAnsi="Arial Narrow" w:cs="Arial"/>
        <w:i/>
        <w:sz w:val="22"/>
        <w:szCs w:val="22"/>
      </w:rPr>
    </w:pPr>
  </w:p>
  <w:p w14:paraId="192173A3" w14:textId="77777777" w:rsidR="00893EC6" w:rsidRPr="00F7576F" w:rsidRDefault="00893EC6" w:rsidP="00C66FB8">
    <w:pPr>
      <w:pStyle w:val="Encabezado"/>
      <w:ind w:left="-284"/>
      <w:jc w:val="center"/>
      <w:rPr>
        <w:rFonts w:ascii="Arial Narrow" w:hAnsi="Arial Narrow"/>
        <w:b/>
        <w:sz w:val="24"/>
        <w:szCs w:val="24"/>
        <w:lang w:val="es-ES"/>
      </w:rPr>
    </w:pPr>
  </w:p>
  <w:p w14:paraId="335DFE65" w14:textId="78BD9BD2" w:rsidR="00893EC6" w:rsidRPr="00C6139C" w:rsidRDefault="00893EC6" w:rsidP="00C66FB8">
    <w:pPr>
      <w:pStyle w:val="Encabezado"/>
      <w:ind w:left="-284"/>
      <w:jc w:val="center"/>
      <w:rPr>
        <w:rFonts w:ascii="Arial Narrow" w:hAnsi="Arial Narrow"/>
        <w:b/>
        <w:sz w:val="24"/>
        <w:szCs w:val="24"/>
      </w:rPr>
    </w:pPr>
    <w:r w:rsidRPr="00F7576F">
      <w:rPr>
        <w:rFonts w:ascii="Arial Narrow" w:hAnsi="Arial Narrow"/>
        <w:b/>
        <w:sz w:val="24"/>
        <w:szCs w:val="24"/>
      </w:rPr>
      <w:t>RESOLUCIÓN NÚMERO ______________</w:t>
    </w:r>
    <w:r>
      <w:rPr>
        <w:rFonts w:ascii="Arial Narrow" w:hAnsi="Arial Narrow"/>
        <w:b/>
        <w:sz w:val="24"/>
        <w:szCs w:val="24"/>
      </w:rPr>
      <w:t>DE 202</w:t>
    </w:r>
    <w:r w:rsidR="00227828">
      <w:rPr>
        <w:rFonts w:ascii="Arial Narrow" w:hAnsi="Arial Narrow"/>
        <w:b/>
        <w:sz w:val="24"/>
        <w:szCs w:val="24"/>
      </w:rPr>
      <w:t>6</w:t>
    </w:r>
  </w:p>
  <w:p w14:paraId="37F53BCA" w14:textId="77777777" w:rsidR="00893EC6" w:rsidRPr="003D14D1" w:rsidRDefault="00893EC6" w:rsidP="00C66FB8">
    <w:pPr>
      <w:ind w:left="142" w:right="225"/>
      <w:jc w:val="center"/>
      <w:rPr>
        <w:rFonts w:ascii="Arial Narrow" w:hAnsi="Arial Narrow" w:cs="Arial"/>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05B67"/>
    <w:multiLevelType w:val="hybridMultilevel"/>
    <w:tmpl w:val="825225E8"/>
    <w:lvl w:ilvl="0" w:tplc="C12A03C4">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7A539D"/>
    <w:multiLevelType w:val="hybridMultilevel"/>
    <w:tmpl w:val="792876BA"/>
    <w:lvl w:ilvl="0" w:tplc="344460E6">
      <w:start w:val="1"/>
      <w:numFmt w:val="lowerLetter"/>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A1744A"/>
    <w:multiLevelType w:val="hybridMultilevel"/>
    <w:tmpl w:val="507AC274"/>
    <w:lvl w:ilvl="0" w:tplc="692C4B92">
      <w:start w:val="1"/>
      <w:numFmt w:val="decimal"/>
      <w:lvlText w:val="%1."/>
      <w:lvlJc w:val="left"/>
      <w:pPr>
        <w:ind w:left="927" w:hanging="360"/>
      </w:pPr>
      <w:rPr>
        <w:rFonts w:hint="default"/>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3F8B74A5"/>
    <w:multiLevelType w:val="hybridMultilevel"/>
    <w:tmpl w:val="E22C3580"/>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 w15:restartNumberingAfterBreak="0">
    <w:nsid w:val="4DB270FC"/>
    <w:multiLevelType w:val="hybridMultilevel"/>
    <w:tmpl w:val="CB0ADE38"/>
    <w:lvl w:ilvl="0" w:tplc="791ED416">
      <w:numFmt w:val="bullet"/>
      <w:lvlText w:val="-"/>
      <w:lvlJc w:val="left"/>
      <w:pPr>
        <w:ind w:left="786" w:hanging="360"/>
      </w:pPr>
      <w:rPr>
        <w:rFonts w:ascii="Arial Narrow" w:eastAsia="Times New Roman" w:hAnsi="Arial Narrow" w:cs="Times New Roman"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 w15:restartNumberingAfterBreak="0">
    <w:nsid w:val="5631641D"/>
    <w:multiLevelType w:val="hybridMultilevel"/>
    <w:tmpl w:val="E22C3580"/>
    <w:lvl w:ilvl="0" w:tplc="F40283C8">
      <w:start w:val="1"/>
      <w:numFmt w:val="decimal"/>
      <w:lvlText w:val="%1."/>
      <w:lvlJc w:val="left"/>
      <w:pPr>
        <w:tabs>
          <w:tab w:val="num" w:pos="720"/>
        </w:tabs>
        <w:ind w:left="720" w:hanging="360"/>
      </w:pPr>
    </w:lvl>
    <w:lvl w:ilvl="1" w:tplc="207E08C4" w:tentative="1">
      <w:start w:val="1"/>
      <w:numFmt w:val="decimal"/>
      <w:lvlText w:val="%2."/>
      <w:lvlJc w:val="left"/>
      <w:pPr>
        <w:tabs>
          <w:tab w:val="num" w:pos="1440"/>
        </w:tabs>
        <w:ind w:left="1440" w:hanging="360"/>
      </w:pPr>
    </w:lvl>
    <w:lvl w:ilvl="2" w:tplc="AA12E61C" w:tentative="1">
      <w:start w:val="1"/>
      <w:numFmt w:val="decimal"/>
      <w:lvlText w:val="%3."/>
      <w:lvlJc w:val="left"/>
      <w:pPr>
        <w:tabs>
          <w:tab w:val="num" w:pos="2160"/>
        </w:tabs>
        <w:ind w:left="2160" w:hanging="360"/>
      </w:pPr>
    </w:lvl>
    <w:lvl w:ilvl="3" w:tplc="6EDC4A4A" w:tentative="1">
      <w:start w:val="1"/>
      <w:numFmt w:val="decimal"/>
      <w:lvlText w:val="%4."/>
      <w:lvlJc w:val="left"/>
      <w:pPr>
        <w:tabs>
          <w:tab w:val="num" w:pos="2880"/>
        </w:tabs>
        <w:ind w:left="2880" w:hanging="360"/>
      </w:pPr>
    </w:lvl>
    <w:lvl w:ilvl="4" w:tplc="7CD0DBE6" w:tentative="1">
      <w:start w:val="1"/>
      <w:numFmt w:val="decimal"/>
      <w:lvlText w:val="%5."/>
      <w:lvlJc w:val="left"/>
      <w:pPr>
        <w:tabs>
          <w:tab w:val="num" w:pos="3600"/>
        </w:tabs>
        <w:ind w:left="3600" w:hanging="360"/>
      </w:pPr>
    </w:lvl>
    <w:lvl w:ilvl="5" w:tplc="8124A0B4" w:tentative="1">
      <w:start w:val="1"/>
      <w:numFmt w:val="decimal"/>
      <w:lvlText w:val="%6."/>
      <w:lvlJc w:val="left"/>
      <w:pPr>
        <w:tabs>
          <w:tab w:val="num" w:pos="4320"/>
        </w:tabs>
        <w:ind w:left="4320" w:hanging="360"/>
      </w:pPr>
    </w:lvl>
    <w:lvl w:ilvl="6" w:tplc="C2A83FAA" w:tentative="1">
      <w:start w:val="1"/>
      <w:numFmt w:val="decimal"/>
      <w:lvlText w:val="%7."/>
      <w:lvlJc w:val="left"/>
      <w:pPr>
        <w:tabs>
          <w:tab w:val="num" w:pos="5040"/>
        </w:tabs>
        <w:ind w:left="5040" w:hanging="360"/>
      </w:pPr>
    </w:lvl>
    <w:lvl w:ilvl="7" w:tplc="E91C6700" w:tentative="1">
      <w:start w:val="1"/>
      <w:numFmt w:val="decimal"/>
      <w:lvlText w:val="%8."/>
      <w:lvlJc w:val="left"/>
      <w:pPr>
        <w:tabs>
          <w:tab w:val="num" w:pos="5760"/>
        </w:tabs>
        <w:ind w:left="5760" w:hanging="360"/>
      </w:pPr>
    </w:lvl>
    <w:lvl w:ilvl="8" w:tplc="EC5C2428" w:tentative="1">
      <w:start w:val="1"/>
      <w:numFmt w:val="decimal"/>
      <w:lvlText w:val="%9."/>
      <w:lvlJc w:val="left"/>
      <w:pPr>
        <w:tabs>
          <w:tab w:val="num" w:pos="6480"/>
        </w:tabs>
        <w:ind w:left="6480" w:hanging="360"/>
      </w:pPr>
    </w:lvl>
  </w:abstractNum>
  <w:abstractNum w:abstractNumId="6" w15:restartNumberingAfterBreak="0">
    <w:nsid w:val="56D163F4"/>
    <w:multiLevelType w:val="hybridMultilevel"/>
    <w:tmpl w:val="0FEAEEA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ABD5B7D"/>
    <w:multiLevelType w:val="hybridMultilevel"/>
    <w:tmpl w:val="095EC8B2"/>
    <w:lvl w:ilvl="0" w:tplc="A3DE2B82">
      <w:start w:val="1"/>
      <w:numFmt w:val="decimal"/>
      <w:lvlText w:val="%1."/>
      <w:lvlJc w:val="left"/>
      <w:pPr>
        <w:ind w:left="360" w:hanging="360"/>
      </w:pPr>
      <w:rPr>
        <w:b/>
        <w:bCs/>
      </w:rPr>
    </w:lvl>
    <w:lvl w:ilvl="1" w:tplc="CB9CCA04">
      <w:start w:val="1"/>
      <w:numFmt w:val="lowerRoman"/>
      <w:lvlText w:val="%2)"/>
      <w:lvlJc w:val="left"/>
      <w:pPr>
        <w:ind w:left="1440" w:hanging="720"/>
      </w:pPr>
      <w:rPr>
        <w:rFonts w:hint="default"/>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69065E7E"/>
    <w:multiLevelType w:val="hybridMultilevel"/>
    <w:tmpl w:val="89260EB4"/>
    <w:lvl w:ilvl="0" w:tplc="6380B37E">
      <w:start w:val="5"/>
      <w:numFmt w:val="bullet"/>
      <w:lvlText w:val="-"/>
      <w:lvlJc w:val="left"/>
      <w:pPr>
        <w:ind w:left="720" w:hanging="360"/>
      </w:pPr>
      <w:rPr>
        <w:rFonts w:ascii="Arial Narrow" w:eastAsia="Aptos" w:hAnsi="Arial Narrow" w:cs="Apto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015303755">
    <w:abstractNumId w:val="7"/>
  </w:num>
  <w:num w:numId="2" w16cid:durableId="142507048">
    <w:abstractNumId w:val="1"/>
  </w:num>
  <w:num w:numId="3" w16cid:durableId="1602686858">
    <w:abstractNumId w:val="0"/>
  </w:num>
  <w:num w:numId="4" w16cid:durableId="154498458">
    <w:abstractNumId w:val="8"/>
  </w:num>
  <w:num w:numId="5" w16cid:durableId="810904549">
    <w:abstractNumId w:val="4"/>
  </w:num>
  <w:num w:numId="6" w16cid:durableId="272175439">
    <w:abstractNumId w:val="5"/>
  </w:num>
  <w:num w:numId="7" w16cid:durableId="489172390">
    <w:abstractNumId w:val="3"/>
  </w:num>
  <w:num w:numId="8" w16cid:durableId="333916267">
    <w:abstractNumId w:val="6"/>
  </w:num>
  <w:num w:numId="9" w16cid:durableId="104465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C3"/>
    <w:rsid w:val="000034D8"/>
    <w:rsid w:val="0000358E"/>
    <w:rsid w:val="0000551C"/>
    <w:rsid w:val="00007686"/>
    <w:rsid w:val="000125BA"/>
    <w:rsid w:val="00015DE3"/>
    <w:rsid w:val="0002060F"/>
    <w:rsid w:val="0002488D"/>
    <w:rsid w:val="00025E6F"/>
    <w:rsid w:val="00031A5F"/>
    <w:rsid w:val="00033A67"/>
    <w:rsid w:val="00034175"/>
    <w:rsid w:val="000437BA"/>
    <w:rsid w:val="000475DC"/>
    <w:rsid w:val="000533F5"/>
    <w:rsid w:val="00057B75"/>
    <w:rsid w:val="00057CC7"/>
    <w:rsid w:val="00057EBB"/>
    <w:rsid w:val="00062A06"/>
    <w:rsid w:val="00063BBC"/>
    <w:rsid w:val="00064BE4"/>
    <w:rsid w:val="00075339"/>
    <w:rsid w:val="00075F06"/>
    <w:rsid w:val="000763BD"/>
    <w:rsid w:val="00076B9D"/>
    <w:rsid w:val="00077558"/>
    <w:rsid w:val="000838B7"/>
    <w:rsid w:val="00085E28"/>
    <w:rsid w:val="000876D1"/>
    <w:rsid w:val="0009302A"/>
    <w:rsid w:val="00094722"/>
    <w:rsid w:val="0009682E"/>
    <w:rsid w:val="000A0046"/>
    <w:rsid w:val="000A1FD9"/>
    <w:rsid w:val="000A5BCC"/>
    <w:rsid w:val="000B0E3D"/>
    <w:rsid w:val="000B5067"/>
    <w:rsid w:val="000B516E"/>
    <w:rsid w:val="000B7429"/>
    <w:rsid w:val="000B7F2F"/>
    <w:rsid w:val="000C09DF"/>
    <w:rsid w:val="000C40D9"/>
    <w:rsid w:val="000C4DD4"/>
    <w:rsid w:val="000D02AE"/>
    <w:rsid w:val="000D10E4"/>
    <w:rsid w:val="000D4259"/>
    <w:rsid w:val="000D5173"/>
    <w:rsid w:val="000D74C3"/>
    <w:rsid w:val="000D753E"/>
    <w:rsid w:val="000E2FF3"/>
    <w:rsid w:val="000F3B39"/>
    <w:rsid w:val="000F4F56"/>
    <w:rsid w:val="000F6D10"/>
    <w:rsid w:val="00103485"/>
    <w:rsid w:val="00105FBE"/>
    <w:rsid w:val="001062F6"/>
    <w:rsid w:val="001168C5"/>
    <w:rsid w:val="00121A6B"/>
    <w:rsid w:val="00125868"/>
    <w:rsid w:val="00130C71"/>
    <w:rsid w:val="001420FD"/>
    <w:rsid w:val="00147AE0"/>
    <w:rsid w:val="00152794"/>
    <w:rsid w:val="00155610"/>
    <w:rsid w:val="00156EB9"/>
    <w:rsid w:val="00162B11"/>
    <w:rsid w:val="00170DB3"/>
    <w:rsid w:val="001718B8"/>
    <w:rsid w:val="00174A04"/>
    <w:rsid w:val="001805DD"/>
    <w:rsid w:val="00182998"/>
    <w:rsid w:val="00187B20"/>
    <w:rsid w:val="0019027D"/>
    <w:rsid w:val="00191536"/>
    <w:rsid w:val="00193C22"/>
    <w:rsid w:val="001946A8"/>
    <w:rsid w:val="0019721D"/>
    <w:rsid w:val="001A4FB6"/>
    <w:rsid w:val="001B1F34"/>
    <w:rsid w:val="001B24CF"/>
    <w:rsid w:val="001B384B"/>
    <w:rsid w:val="001C6949"/>
    <w:rsid w:val="001D4D0D"/>
    <w:rsid w:val="001D7597"/>
    <w:rsid w:val="001E0609"/>
    <w:rsid w:val="001E0A69"/>
    <w:rsid w:val="001E347A"/>
    <w:rsid w:val="001E567F"/>
    <w:rsid w:val="001E657C"/>
    <w:rsid w:val="001F06D3"/>
    <w:rsid w:val="001F2475"/>
    <w:rsid w:val="001F3725"/>
    <w:rsid w:val="001F5CA9"/>
    <w:rsid w:val="001F7EBC"/>
    <w:rsid w:val="00200908"/>
    <w:rsid w:val="00200ECD"/>
    <w:rsid w:val="00206E18"/>
    <w:rsid w:val="002077BE"/>
    <w:rsid w:val="00215143"/>
    <w:rsid w:val="002152AE"/>
    <w:rsid w:val="00216DA6"/>
    <w:rsid w:val="0021733B"/>
    <w:rsid w:val="00226A87"/>
    <w:rsid w:val="00227828"/>
    <w:rsid w:val="002314D7"/>
    <w:rsid w:val="002351E9"/>
    <w:rsid w:val="00235597"/>
    <w:rsid w:val="00241257"/>
    <w:rsid w:val="00245616"/>
    <w:rsid w:val="00251639"/>
    <w:rsid w:val="002527B7"/>
    <w:rsid w:val="002606F0"/>
    <w:rsid w:val="00261973"/>
    <w:rsid w:val="00271B5A"/>
    <w:rsid w:val="00271ED2"/>
    <w:rsid w:val="00274395"/>
    <w:rsid w:val="00274674"/>
    <w:rsid w:val="00275456"/>
    <w:rsid w:val="00287750"/>
    <w:rsid w:val="0028796A"/>
    <w:rsid w:val="00294B43"/>
    <w:rsid w:val="00296E7E"/>
    <w:rsid w:val="002A6C4D"/>
    <w:rsid w:val="002B0C55"/>
    <w:rsid w:val="002B149C"/>
    <w:rsid w:val="002B15DE"/>
    <w:rsid w:val="002B228A"/>
    <w:rsid w:val="002B30D9"/>
    <w:rsid w:val="002B5A43"/>
    <w:rsid w:val="002B68FC"/>
    <w:rsid w:val="002C2017"/>
    <w:rsid w:val="002C205B"/>
    <w:rsid w:val="002C3691"/>
    <w:rsid w:val="002C3BE1"/>
    <w:rsid w:val="002C3D7A"/>
    <w:rsid w:val="002C6A8A"/>
    <w:rsid w:val="002C7080"/>
    <w:rsid w:val="002D7927"/>
    <w:rsid w:val="002E306B"/>
    <w:rsid w:val="002E32B1"/>
    <w:rsid w:val="002E406B"/>
    <w:rsid w:val="002F1E2F"/>
    <w:rsid w:val="002F2F64"/>
    <w:rsid w:val="002F403D"/>
    <w:rsid w:val="002F44EE"/>
    <w:rsid w:val="002F484C"/>
    <w:rsid w:val="002F5DCE"/>
    <w:rsid w:val="00305044"/>
    <w:rsid w:val="00313C13"/>
    <w:rsid w:val="00313C8B"/>
    <w:rsid w:val="00316012"/>
    <w:rsid w:val="00316950"/>
    <w:rsid w:val="00322151"/>
    <w:rsid w:val="003305B4"/>
    <w:rsid w:val="00337D34"/>
    <w:rsid w:val="003401CC"/>
    <w:rsid w:val="0034342A"/>
    <w:rsid w:val="003500F3"/>
    <w:rsid w:val="00357F8A"/>
    <w:rsid w:val="00357FF8"/>
    <w:rsid w:val="00365E4E"/>
    <w:rsid w:val="00366C69"/>
    <w:rsid w:val="00370D50"/>
    <w:rsid w:val="00373365"/>
    <w:rsid w:val="00373D5C"/>
    <w:rsid w:val="003742A9"/>
    <w:rsid w:val="003759D8"/>
    <w:rsid w:val="00375F64"/>
    <w:rsid w:val="00386C5B"/>
    <w:rsid w:val="00391193"/>
    <w:rsid w:val="00396F9D"/>
    <w:rsid w:val="003B3D16"/>
    <w:rsid w:val="003B5FC2"/>
    <w:rsid w:val="003C23EA"/>
    <w:rsid w:val="003C4160"/>
    <w:rsid w:val="003C418C"/>
    <w:rsid w:val="003D13E2"/>
    <w:rsid w:val="003D2576"/>
    <w:rsid w:val="003D2CE7"/>
    <w:rsid w:val="004032CA"/>
    <w:rsid w:val="00407137"/>
    <w:rsid w:val="00410486"/>
    <w:rsid w:val="00412D62"/>
    <w:rsid w:val="00416266"/>
    <w:rsid w:val="004249BD"/>
    <w:rsid w:val="00424FBE"/>
    <w:rsid w:val="0042609F"/>
    <w:rsid w:val="00434572"/>
    <w:rsid w:val="00435695"/>
    <w:rsid w:val="00436DFA"/>
    <w:rsid w:val="00440732"/>
    <w:rsid w:val="004413E2"/>
    <w:rsid w:val="004456F3"/>
    <w:rsid w:val="00453C07"/>
    <w:rsid w:val="00461477"/>
    <w:rsid w:val="004759BC"/>
    <w:rsid w:val="00475A52"/>
    <w:rsid w:val="00483F31"/>
    <w:rsid w:val="00484588"/>
    <w:rsid w:val="00484A8B"/>
    <w:rsid w:val="0049331F"/>
    <w:rsid w:val="004944CA"/>
    <w:rsid w:val="004A019C"/>
    <w:rsid w:val="004A0295"/>
    <w:rsid w:val="004A2F9C"/>
    <w:rsid w:val="004A4355"/>
    <w:rsid w:val="004A471D"/>
    <w:rsid w:val="004A4F4B"/>
    <w:rsid w:val="004A774F"/>
    <w:rsid w:val="004B40F7"/>
    <w:rsid w:val="004C1316"/>
    <w:rsid w:val="004C2B67"/>
    <w:rsid w:val="004C5AAB"/>
    <w:rsid w:val="004D3498"/>
    <w:rsid w:val="004D4AE8"/>
    <w:rsid w:val="004D64E8"/>
    <w:rsid w:val="004E089B"/>
    <w:rsid w:val="004E2423"/>
    <w:rsid w:val="004E3CA1"/>
    <w:rsid w:val="004E3FF5"/>
    <w:rsid w:val="004E537C"/>
    <w:rsid w:val="004E721C"/>
    <w:rsid w:val="004F1263"/>
    <w:rsid w:val="004F17A5"/>
    <w:rsid w:val="004F4960"/>
    <w:rsid w:val="004F543B"/>
    <w:rsid w:val="004F64C6"/>
    <w:rsid w:val="005045EC"/>
    <w:rsid w:val="00504E22"/>
    <w:rsid w:val="005068A2"/>
    <w:rsid w:val="0051053C"/>
    <w:rsid w:val="0052123A"/>
    <w:rsid w:val="005213AC"/>
    <w:rsid w:val="00540EE5"/>
    <w:rsid w:val="00547665"/>
    <w:rsid w:val="00555C87"/>
    <w:rsid w:val="00560521"/>
    <w:rsid w:val="00560591"/>
    <w:rsid w:val="00565645"/>
    <w:rsid w:val="00566839"/>
    <w:rsid w:val="005823DD"/>
    <w:rsid w:val="00586C54"/>
    <w:rsid w:val="005911DD"/>
    <w:rsid w:val="005934B5"/>
    <w:rsid w:val="005955C9"/>
    <w:rsid w:val="0059624D"/>
    <w:rsid w:val="005A53FE"/>
    <w:rsid w:val="005A7752"/>
    <w:rsid w:val="005A788A"/>
    <w:rsid w:val="005A7CE7"/>
    <w:rsid w:val="005C44AB"/>
    <w:rsid w:val="005C4A56"/>
    <w:rsid w:val="005C52DD"/>
    <w:rsid w:val="005C5709"/>
    <w:rsid w:val="005D316B"/>
    <w:rsid w:val="005D3FE7"/>
    <w:rsid w:val="005D503D"/>
    <w:rsid w:val="005D659A"/>
    <w:rsid w:val="005E2269"/>
    <w:rsid w:val="005E606B"/>
    <w:rsid w:val="005E7067"/>
    <w:rsid w:val="005F3D66"/>
    <w:rsid w:val="005F3F89"/>
    <w:rsid w:val="005F50C4"/>
    <w:rsid w:val="006024D8"/>
    <w:rsid w:val="0061108D"/>
    <w:rsid w:val="00617BFA"/>
    <w:rsid w:val="00624A3B"/>
    <w:rsid w:val="00624B05"/>
    <w:rsid w:val="006303EC"/>
    <w:rsid w:val="0063484C"/>
    <w:rsid w:val="006350FA"/>
    <w:rsid w:val="00642360"/>
    <w:rsid w:val="00645999"/>
    <w:rsid w:val="00646BAD"/>
    <w:rsid w:val="00650047"/>
    <w:rsid w:val="00651154"/>
    <w:rsid w:val="0065173C"/>
    <w:rsid w:val="00651DD3"/>
    <w:rsid w:val="006545D9"/>
    <w:rsid w:val="00663973"/>
    <w:rsid w:val="00664839"/>
    <w:rsid w:val="006707AF"/>
    <w:rsid w:val="006709A2"/>
    <w:rsid w:val="00672D53"/>
    <w:rsid w:val="006742A8"/>
    <w:rsid w:val="00674966"/>
    <w:rsid w:val="00685041"/>
    <w:rsid w:val="00685B53"/>
    <w:rsid w:val="00696E34"/>
    <w:rsid w:val="006A098C"/>
    <w:rsid w:val="006A1271"/>
    <w:rsid w:val="006A5BD7"/>
    <w:rsid w:val="006B0FF9"/>
    <w:rsid w:val="006B1FA3"/>
    <w:rsid w:val="006B30DF"/>
    <w:rsid w:val="006B53D9"/>
    <w:rsid w:val="006B66CD"/>
    <w:rsid w:val="006B7614"/>
    <w:rsid w:val="006B7807"/>
    <w:rsid w:val="006C163D"/>
    <w:rsid w:val="006C7B0A"/>
    <w:rsid w:val="006C7B72"/>
    <w:rsid w:val="006D0B94"/>
    <w:rsid w:val="006D3FC5"/>
    <w:rsid w:val="006D49FB"/>
    <w:rsid w:val="006D4BD2"/>
    <w:rsid w:val="006D6160"/>
    <w:rsid w:val="006D7703"/>
    <w:rsid w:val="006E2EEB"/>
    <w:rsid w:val="006E3276"/>
    <w:rsid w:val="006E353D"/>
    <w:rsid w:val="006E731D"/>
    <w:rsid w:val="006F04B2"/>
    <w:rsid w:val="006F33D7"/>
    <w:rsid w:val="006F51C9"/>
    <w:rsid w:val="00701C38"/>
    <w:rsid w:val="00715B86"/>
    <w:rsid w:val="00715F77"/>
    <w:rsid w:val="00730290"/>
    <w:rsid w:val="00740024"/>
    <w:rsid w:val="007410B0"/>
    <w:rsid w:val="00741D6C"/>
    <w:rsid w:val="007446AC"/>
    <w:rsid w:val="0074652A"/>
    <w:rsid w:val="007527D0"/>
    <w:rsid w:val="00757DCE"/>
    <w:rsid w:val="00760D96"/>
    <w:rsid w:val="007611D6"/>
    <w:rsid w:val="00761DB5"/>
    <w:rsid w:val="00763732"/>
    <w:rsid w:val="00766B5A"/>
    <w:rsid w:val="00766FB2"/>
    <w:rsid w:val="00774EBE"/>
    <w:rsid w:val="00781E90"/>
    <w:rsid w:val="00782358"/>
    <w:rsid w:val="0078600D"/>
    <w:rsid w:val="00786FF2"/>
    <w:rsid w:val="0079139A"/>
    <w:rsid w:val="00792FE9"/>
    <w:rsid w:val="00793837"/>
    <w:rsid w:val="00793E96"/>
    <w:rsid w:val="007977B1"/>
    <w:rsid w:val="007A0DCE"/>
    <w:rsid w:val="007A3C4D"/>
    <w:rsid w:val="007B1923"/>
    <w:rsid w:val="007B1F18"/>
    <w:rsid w:val="007B3F78"/>
    <w:rsid w:val="007B41DD"/>
    <w:rsid w:val="007B4C15"/>
    <w:rsid w:val="007C09DB"/>
    <w:rsid w:val="007C1C48"/>
    <w:rsid w:val="007C5C0B"/>
    <w:rsid w:val="007C71C6"/>
    <w:rsid w:val="007D475E"/>
    <w:rsid w:val="007D51A4"/>
    <w:rsid w:val="007E13ED"/>
    <w:rsid w:val="007E32F3"/>
    <w:rsid w:val="007E66E6"/>
    <w:rsid w:val="007F1221"/>
    <w:rsid w:val="007F1AB2"/>
    <w:rsid w:val="007F4C02"/>
    <w:rsid w:val="00801416"/>
    <w:rsid w:val="00801A71"/>
    <w:rsid w:val="00803114"/>
    <w:rsid w:val="00806BEC"/>
    <w:rsid w:val="00815028"/>
    <w:rsid w:val="00824335"/>
    <w:rsid w:val="00826102"/>
    <w:rsid w:val="00832CF8"/>
    <w:rsid w:val="008417F4"/>
    <w:rsid w:val="00844E73"/>
    <w:rsid w:val="00844F6D"/>
    <w:rsid w:val="00850569"/>
    <w:rsid w:val="008538B6"/>
    <w:rsid w:val="00853F12"/>
    <w:rsid w:val="008544F4"/>
    <w:rsid w:val="008546D2"/>
    <w:rsid w:val="00857D8F"/>
    <w:rsid w:val="00860458"/>
    <w:rsid w:val="00864F3D"/>
    <w:rsid w:val="00882A92"/>
    <w:rsid w:val="008848F1"/>
    <w:rsid w:val="00886453"/>
    <w:rsid w:val="00886D21"/>
    <w:rsid w:val="008879AF"/>
    <w:rsid w:val="0089039A"/>
    <w:rsid w:val="00891B3B"/>
    <w:rsid w:val="008931B0"/>
    <w:rsid w:val="0089350A"/>
    <w:rsid w:val="00893EC6"/>
    <w:rsid w:val="00896B74"/>
    <w:rsid w:val="008A2E60"/>
    <w:rsid w:val="008A4977"/>
    <w:rsid w:val="008A6365"/>
    <w:rsid w:val="008B437C"/>
    <w:rsid w:val="008C0AAD"/>
    <w:rsid w:val="008C6AC6"/>
    <w:rsid w:val="008D05C0"/>
    <w:rsid w:val="008D39B7"/>
    <w:rsid w:val="008D39C6"/>
    <w:rsid w:val="008D6D9D"/>
    <w:rsid w:val="008E7565"/>
    <w:rsid w:val="008F1F24"/>
    <w:rsid w:val="008F25F1"/>
    <w:rsid w:val="008F394A"/>
    <w:rsid w:val="009065D8"/>
    <w:rsid w:val="0091002E"/>
    <w:rsid w:val="00910CEB"/>
    <w:rsid w:val="0091670F"/>
    <w:rsid w:val="0091748A"/>
    <w:rsid w:val="00922134"/>
    <w:rsid w:val="00923890"/>
    <w:rsid w:val="00927BD3"/>
    <w:rsid w:val="009349C5"/>
    <w:rsid w:val="009372A6"/>
    <w:rsid w:val="0094007D"/>
    <w:rsid w:val="009409C2"/>
    <w:rsid w:val="009462BD"/>
    <w:rsid w:val="00951104"/>
    <w:rsid w:val="0095150B"/>
    <w:rsid w:val="00955826"/>
    <w:rsid w:val="00956A38"/>
    <w:rsid w:val="0097644E"/>
    <w:rsid w:val="00976A64"/>
    <w:rsid w:val="009807DA"/>
    <w:rsid w:val="00985D62"/>
    <w:rsid w:val="00987971"/>
    <w:rsid w:val="009916A9"/>
    <w:rsid w:val="00993641"/>
    <w:rsid w:val="00994D39"/>
    <w:rsid w:val="009A5D07"/>
    <w:rsid w:val="009A79E1"/>
    <w:rsid w:val="009B39D0"/>
    <w:rsid w:val="009B57EB"/>
    <w:rsid w:val="009C0902"/>
    <w:rsid w:val="009C5F56"/>
    <w:rsid w:val="009D01AF"/>
    <w:rsid w:val="009D1485"/>
    <w:rsid w:val="009D25D9"/>
    <w:rsid w:val="009D5A0F"/>
    <w:rsid w:val="009D6F63"/>
    <w:rsid w:val="009E1752"/>
    <w:rsid w:val="009E183D"/>
    <w:rsid w:val="009E4D7B"/>
    <w:rsid w:val="009E5B9D"/>
    <w:rsid w:val="009F1FDB"/>
    <w:rsid w:val="00A02D0C"/>
    <w:rsid w:val="00A1239C"/>
    <w:rsid w:val="00A1361A"/>
    <w:rsid w:val="00A148B9"/>
    <w:rsid w:val="00A17411"/>
    <w:rsid w:val="00A313E1"/>
    <w:rsid w:val="00A328B2"/>
    <w:rsid w:val="00A33DD0"/>
    <w:rsid w:val="00A405F3"/>
    <w:rsid w:val="00A44427"/>
    <w:rsid w:val="00A5009F"/>
    <w:rsid w:val="00A509EB"/>
    <w:rsid w:val="00A5411C"/>
    <w:rsid w:val="00A5420C"/>
    <w:rsid w:val="00A54362"/>
    <w:rsid w:val="00A543B2"/>
    <w:rsid w:val="00A66292"/>
    <w:rsid w:val="00A666EC"/>
    <w:rsid w:val="00A66FC6"/>
    <w:rsid w:val="00A75E04"/>
    <w:rsid w:val="00A76638"/>
    <w:rsid w:val="00A81069"/>
    <w:rsid w:val="00A81ABE"/>
    <w:rsid w:val="00A81E4C"/>
    <w:rsid w:val="00A82842"/>
    <w:rsid w:val="00A8680C"/>
    <w:rsid w:val="00A86B48"/>
    <w:rsid w:val="00A873B0"/>
    <w:rsid w:val="00A901F3"/>
    <w:rsid w:val="00A952F7"/>
    <w:rsid w:val="00A96CC9"/>
    <w:rsid w:val="00A97C29"/>
    <w:rsid w:val="00AA6BF6"/>
    <w:rsid w:val="00AB0778"/>
    <w:rsid w:val="00AB3164"/>
    <w:rsid w:val="00AB379D"/>
    <w:rsid w:val="00AB6133"/>
    <w:rsid w:val="00AB7967"/>
    <w:rsid w:val="00AC1EC5"/>
    <w:rsid w:val="00AC3709"/>
    <w:rsid w:val="00AC654F"/>
    <w:rsid w:val="00AD058F"/>
    <w:rsid w:val="00AD2A51"/>
    <w:rsid w:val="00AD7535"/>
    <w:rsid w:val="00AE2BBF"/>
    <w:rsid w:val="00AE2F6C"/>
    <w:rsid w:val="00AE32DA"/>
    <w:rsid w:val="00AE3A47"/>
    <w:rsid w:val="00AE74BE"/>
    <w:rsid w:val="00AF335C"/>
    <w:rsid w:val="00AF4011"/>
    <w:rsid w:val="00AF4243"/>
    <w:rsid w:val="00AF5141"/>
    <w:rsid w:val="00B017DF"/>
    <w:rsid w:val="00B03C09"/>
    <w:rsid w:val="00B046CD"/>
    <w:rsid w:val="00B05B85"/>
    <w:rsid w:val="00B1165F"/>
    <w:rsid w:val="00B13945"/>
    <w:rsid w:val="00B170C0"/>
    <w:rsid w:val="00B210FD"/>
    <w:rsid w:val="00B2325C"/>
    <w:rsid w:val="00B3152C"/>
    <w:rsid w:val="00B342EB"/>
    <w:rsid w:val="00B412AD"/>
    <w:rsid w:val="00B4675F"/>
    <w:rsid w:val="00B52963"/>
    <w:rsid w:val="00B52EEA"/>
    <w:rsid w:val="00B557C1"/>
    <w:rsid w:val="00B55883"/>
    <w:rsid w:val="00B57245"/>
    <w:rsid w:val="00B57A88"/>
    <w:rsid w:val="00B629B8"/>
    <w:rsid w:val="00B6330E"/>
    <w:rsid w:val="00B63BA9"/>
    <w:rsid w:val="00B644DA"/>
    <w:rsid w:val="00B644EB"/>
    <w:rsid w:val="00B65A0D"/>
    <w:rsid w:val="00B71408"/>
    <w:rsid w:val="00B7377A"/>
    <w:rsid w:val="00B738E1"/>
    <w:rsid w:val="00B82692"/>
    <w:rsid w:val="00B962B8"/>
    <w:rsid w:val="00B962CF"/>
    <w:rsid w:val="00BA04AC"/>
    <w:rsid w:val="00BA1F7A"/>
    <w:rsid w:val="00BA3028"/>
    <w:rsid w:val="00BA3B38"/>
    <w:rsid w:val="00BA7E3C"/>
    <w:rsid w:val="00BB0A02"/>
    <w:rsid w:val="00BB3B6E"/>
    <w:rsid w:val="00BB690E"/>
    <w:rsid w:val="00BB78F6"/>
    <w:rsid w:val="00BD453B"/>
    <w:rsid w:val="00BE18BB"/>
    <w:rsid w:val="00BE21C8"/>
    <w:rsid w:val="00C034A4"/>
    <w:rsid w:val="00C03ABB"/>
    <w:rsid w:val="00C04F7F"/>
    <w:rsid w:val="00C06716"/>
    <w:rsid w:val="00C07192"/>
    <w:rsid w:val="00C1401F"/>
    <w:rsid w:val="00C23DE4"/>
    <w:rsid w:val="00C26694"/>
    <w:rsid w:val="00C275CD"/>
    <w:rsid w:val="00C3132D"/>
    <w:rsid w:val="00C41FE1"/>
    <w:rsid w:val="00C43343"/>
    <w:rsid w:val="00C4566C"/>
    <w:rsid w:val="00C54B37"/>
    <w:rsid w:val="00C60346"/>
    <w:rsid w:val="00C60AC3"/>
    <w:rsid w:val="00C6270B"/>
    <w:rsid w:val="00C66FB8"/>
    <w:rsid w:val="00C70082"/>
    <w:rsid w:val="00C71599"/>
    <w:rsid w:val="00C737E3"/>
    <w:rsid w:val="00C83A8B"/>
    <w:rsid w:val="00C92459"/>
    <w:rsid w:val="00C9282D"/>
    <w:rsid w:val="00CA3534"/>
    <w:rsid w:val="00CA6163"/>
    <w:rsid w:val="00CA780E"/>
    <w:rsid w:val="00CC27A8"/>
    <w:rsid w:val="00CC59A6"/>
    <w:rsid w:val="00CE0A19"/>
    <w:rsid w:val="00CE146F"/>
    <w:rsid w:val="00CE2C3A"/>
    <w:rsid w:val="00CF29F0"/>
    <w:rsid w:val="00CF32C3"/>
    <w:rsid w:val="00D0155C"/>
    <w:rsid w:val="00D04BF5"/>
    <w:rsid w:val="00D04ED8"/>
    <w:rsid w:val="00D1198E"/>
    <w:rsid w:val="00D11F3C"/>
    <w:rsid w:val="00D1258D"/>
    <w:rsid w:val="00D13210"/>
    <w:rsid w:val="00D21DDA"/>
    <w:rsid w:val="00D27818"/>
    <w:rsid w:val="00D27D1E"/>
    <w:rsid w:val="00D305E6"/>
    <w:rsid w:val="00D353D3"/>
    <w:rsid w:val="00D37C32"/>
    <w:rsid w:val="00D40B7B"/>
    <w:rsid w:val="00D441EB"/>
    <w:rsid w:val="00D471B5"/>
    <w:rsid w:val="00D50AA6"/>
    <w:rsid w:val="00D61F77"/>
    <w:rsid w:val="00D633C3"/>
    <w:rsid w:val="00D66446"/>
    <w:rsid w:val="00D72B8F"/>
    <w:rsid w:val="00D72E21"/>
    <w:rsid w:val="00D81CDF"/>
    <w:rsid w:val="00D83F19"/>
    <w:rsid w:val="00D87640"/>
    <w:rsid w:val="00D93755"/>
    <w:rsid w:val="00D9395E"/>
    <w:rsid w:val="00D95352"/>
    <w:rsid w:val="00DA0155"/>
    <w:rsid w:val="00DA4B42"/>
    <w:rsid w:val="00DB50F9"/>
    <w:rsid w:val="00DB5B2B"/>
    <w:rsid w:val="00DC5491"/>
    <w:rsid w:val="00DC5616"/>
    <w:rsid w:val="00DD6131"/>
    <w:rsid w:val="00DD7442"/>
    <w:rsid w:val="00DE28D5"/>
    <w:rsid w:val="00DE51F1"/>
    <w:rsid w:val="00DE6FEE"/>
    <w:rsid w:val="00DF188F"/>
    <w:rsid w:val="00DF29CB"/>
    <w:rsid w:val="00E0420C"/>
    <w:rsid w:val="00E11F2F"/>
    <w:rsid w:val="00E23168"/>
    <w:rsid w:val="00E25128"/>
    <w:rsid w:val="00E30D26"/>
    <w:rsid w:val="00E37E08"/>
    <w:rsid w:val="00E510C9"/>
    <w:rsid w:val="00E55C3B"/>
    <w:rsid w:val="00E56CC2"/>
    <w:rsid w:val="00E617A4"/>
    <w:rsid w:val="00E66339"/>
    <w:rsid w:val="00E824EE"/>
    <w:rsid w:val="00E87FA6"/>
    <w:rsid w:val="00E9175F"/>
    <w:rsid w:val="00E919B5"/>
    <w:rsid w:val="00E92299"/>
    <w:rsid w:val="00E9295C"/>
    <w:rsid w:val="00E943C3"/>
    <w:rsid w:val="00E95E7F"/>
    <w:rsid w:val="00EA481B"/>
    <w:rsid w:val="00EA6C22"/>
    <w:rsid w:val="00EA6D5C"/>
    <w:rsid w:val="00EA73AE"/>
    <w:rsid w:val="00EA75DD"/>
    <w:rsid w:val="00EB7200"/>
    <w:rsid w:val="00EC4DD9"/>
    <w:rsid w:val="00ED2BF9"/>
    <w:rsid w:val="00ED5B71"/>
    <w:rsid w:val="00ED6E95"/>
    <w:rsid w:val="00EE05FB"/>
    <w:rsid w:val="00EF5C73"/>
    <w:rsid w:val="00EF64C5"/>
    <w:rsid w:val="00F0175E"/>
    <w:rsid w:val="00F01772"/>
    <w:rsid w:val="00F01F32"/>
    <w:rsid w:val="00F06988"/>
    <w:rsid w:val="00F07D44"/>
    <w:rsid w:val="00F11097"/>
    <w:rsid w:val="00F11D0F"/>
    <w:rsid w:val="00F12072"/>
    <w:rsid w:val="00F12647"/>
    <w:rsid w:val="00F12C03"/>
    <w:rsid w:val="00F15BC5"/>
    <w:rsid w:val="00F16AF2"/>
    <w:rsid w:val="00F20ECF"/>
    <w:rsid w:val="00F2213F"/>
    <w:rsid w:val="00F42A62"/>
    <w:rsid w:val="00F437CF"/>
    <w:rsid w:val="00F518C3"/>
    <w:rsid w:val="00F54E4F"/>
    <w:rsid w:val="00F64B76"/>
    <w:rsid w:val="00F67A16"/>
    <w:rsid w:val="00F73490"/>
    <w:rsid w:val="00F74D10"/>
    <w:rsid w:val="00F919D7"/>
    <w:rsid w:val="00F920E6"/>
    <w:rsid w:val="00F94F67"/>
    <w:rsid w:val="00F9669B"/>
    <w:rsid w:val="00FA030B"/>
    <w:rsid w:val="00FA3968"/>
    <w:rsid w:val="00FA5D12"/>
    <w:rsid w:val="00FB03A8"/>
    <w:rsid w:val="00FC26F3"/>
    <w:rsid w:val="00FC338D"/>
    <w:rsid w:val="00FD032F"/>
    <w:rsid w:val="00FD0AED"/>
    <w:rsid w:val="00FD23CA"/>
    <w:rsid w:val="00FD3CA5"/>
    <w:rsid w:val="00FD48DF"/>
    <w:rsid w:val="00FD6036"/>
    <w:rsid w:val="00FE1A96"/>
    <w:rsid w:val="00FE6F9C"/>
    <w:rsid w:val="00FF0AFD"/>
    <w:rsid w:val="00FF0DA3"/>
    <w:rsid w:val="00FF2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BBF6"/>
  <w15:chartTrackingRefBased/>
  <w15:docId w15:val="{95C62D6D-3341-48EA-94CF-5FEE6228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F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F32C3"/>
  </w:style>
  <w:style w:type="paragraph" w:styleId="Encabezado">
    <w:name w:val="header"/>
    <w:basedOn w:val="Normal"/>
    <w:link w:val="EncabezadoCar"/>
    <w:uiPriority w:val="99"/>
    <w:rsid w:val="00CF32C3"/>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CF32C3"/>
    <w:rPr>
      <w:rFonts w:ascii="Arial" w:eastAsia="Times New Roman" w:hAnsi="Arial" w:cs="Times New Roman"/>
      <w:sz w:val="20"/>
      <w:szCs w:val="20"/>
      <w:lang w:val="es-ES_tradnl" w:eastAsia="es-ES"/>
    </w:rPr>
  </w:style>
  <w:style w:type="paragraph" w:styleId="Piedepgina">
    <w:name w:val="footer"/>
    <w:basedOn w:val="Normal"/>
    <w:link w:val="PiedepginaCar"/>
    <w:uiPriority w:val="99"/>
    <w:rsid w:val="00CF32C3"/>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CF32C3"/>
    <w:rPr>
      <w:rFonts w:ascii="Arial" w:eastAsia="Times New Roman" w:hAnsi="Arial" w:cs="Times New Roman"/>
      <w:sz w:val="20"/>
      <w:szCs w:val="20"/>
      <w:lang w:val="es-ES_tradnl" w:eastAsia="es-ES"/>
    </w:rPr>
  </w:style>
  <w:style w:type="paragraph" w:styleId="Prrafodelista">
    <w:name w:val="List Paragraph"/>
    <w:aliases w:val="List,Bullet List,FooterText,numbered,List Paragraph1,Paragraphe de liste1,lp1,HOJA,Bolita,Párrafo de lista4,BOLADEF,Párrafo de lista3,Párrafo de lista21,BOLA,Nivel 1 OS,Colorful List Accent 1,Colorful List - Accent 11,b1,Foot,列出段落,列出段落1"/>
    <w:basedOn w:val="Normal"/>
    <w:link w:val="PrrafodelistaCar"/>
    <w:uiPriority w:val="34"/>
    <w:qFormat/>
    <w:rsid w:val="00CF32C3"/>
    <w:pPr>
      <w:ind w:left="720"/>
      <w:contextualSpacing/>
    </w:pPr>
    <w:rPr>
      <w:rFonts w:ascii="Times New Roman" w:hAnsi="Times New Roman"/>
      <w:sz w:val="20"/>
      <w:szCs w:val="20"/>
      <w:lang w:val="es-CO" w:eastAsia="es-CO"/>
    </w:rPr>
  </w:style>
  <w:style w:type="character" w:customStyle="1" w:styleId="PrrafodelistaCar">
    <w:name w:val="Párrafo de lista Car"/>
    <w:aliases w:val="List Car,Bullet List Car,FooterText Car,numbered Car,List Paragraph1 Car,Paragraphe de liste1 Car,lp1 Car,HOJA Car,Bolita Car,Párrafo de lista4 Car,BOLADEF Car,Párrafo de lista3 Car,Párrafo de lista21 Car,BOLA Car,Nivel 1 OS Car"/>
    <w:basedOn w:val="Fuentedeprrafopredeter"/>
    <w:link w:val="Prrafodelista"/>
    <w:uiPriority w:val="34"/>
    <w:qFormat/>
    <w:rsid w:val="00CF32C3"/>
    <w:rPr>
      <w:rFonts w:ascii="Times New Roman" w:eastAsia="Times New Roman" w:hAnsi="Times New Roman" w:cs="Times New Roman"/>
      <w:sz w:val="20"/>
      <w:szCs w:val="20"/>
      <w:lang w:eastAsia="es-CO"/>
    </w:rPr>
  </w:style>
  <w:style w:type="paragraph" w:styleId="Textocomentario">
    <w:name w:val="annotation text"/>
    <w:basedOn w:val="Normal"/>
    <w:link w:val="TextocomentarioCar"/>
    <w:uiPriority w:val="99"/>
    <w:rsid w:val="00CF32C3"/>
    <w:rPr>
      <w:rFonts w:ascii="Times New Roman" w:hAnsi="Times New Roman"/>
      <w:sz w:val="20"/>
      <w:szCs w:val="20"/>
    </w:rPr>
  </w:style>
  <w:style w:type="character" w:customStyle="1" w:styleId="TextocomentarioCar">
    <w:name w:val="Texto comentario Car"/>
    <w:basedOn w:val="Fuentedeprrafopredeter"/>
    <w:link w:val="Textocomentario"/>
    <w:uiPriority w:val="99"/>
    <w:rsid w:val="00CF32C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unhideWhenUsed/>
    <w:rsid w:val="00CF32C3"/>
    <w:rPr>
      <w:sz w:val="16"/>
      <w:szCs w:val="16"/>
    </w:rPr>
  </w:style>
  <w:style w:type="paragraph" w:styleId="Textonotapie">
    <w:name w:val="footnote text"/>
    <w:aliases w:val="Texto nota pie Car Car Car,FOOTNOTES,fn,single space,Footnote Text Char Char Char,Footnote Text1 Char,Footnote Text2,Footnote Text Char Char Char1 Char,Footnote Text Char Char Char1,ft,ADB,Footnote Text Quo,Footnote Text Char Char,FA Fu,F"/>
    <w:basedOn w:val="Normal"/>
    <w:link w:val="TextonotapieCar"/>
    <w:uiPriority w:val="99"/>
    <w:unhideWhenUsed/>
    <w:qFormat/>
    <w:rsid w:val="00CF32C3"/>
    <w:rPr>
      <w:rFonts w:asciiTheme="minorHAnsi" w:eastAsiaTheme="minorHAnsi" w:hAnsiTheme="minorHAnsi" w:cstheme="minorBidi"/>
      <w:kern w:val="2"/>
      <w:sz w:val="20"/>
      <w:szCs w:val="20"/>
      <w:lang w:val="es-CO" w:eastAsia="en-US"/>
    </w:rPr>
  </w:style>
  <w:style w:type="character" w:customStyle="1" w:styleId="TextonotapieCar">
    <w:name w:val="Texto nota pie Car"/>
    <w:aliases w:val="Texto nota pie Car Car Car Car,FOOTNOTES Car,fn Car,single space Car,Footnote Text Char Char Char Car,Footnote Text1 Char Car,Footnote Text2 Car,Footnote Text Char Char Char1 Char Car,Footnote Text Char Char Char1 Car,ft Car,ADB Car"/>
    <w:basedOn w:val="Fuentedeprrafopredeter"/>
    <w:link w:val="Textonotapie"/>
    <w:uiPriority w:val="99"/>
    <w:qFormat/>
    <w:rsid w:val="00CF32C3"/>
    <w:rPr>
      <w:kern w:val="2"/>
      <w:sz w:val="20"/>
      <w:szCs w:val="20"/>
    </w:rPr>
  </w:style>
  <w:style w:type="character" w:styleId="Refdenotaalpie">
    <w:name w:val="footnote reference"/>
    <w:aliases w:val="referencia nota al pie,Nota a pie,Ref. de nota al pie 2,Footnote symbol,Footnote,Char Car Car Car Ca,Texto de nota al pie,BVI fnr,Texto nota al pie,Appel note de bas de page,Ref. de nota al pie2,Nota de pie,Ref,de nota al pie,f,4_G,o"/>
    <w:basedOn w:val="Fuentedeprrafopredeter"/>
    <w:link w:val="Char2"/>
    <w:uiPriority w:val="99"/>
    <w:unhideWhenUsed/>
    <w:qFormat/>
    <w:rsid w:val="00CF32C3"/>
    <w:rPr>
      <w:vertAlign w:val="superscript"/>
    </w:rPr>
  </w:style>
  <w:style w:type="paragraph" w:styleId="Revisin">
    <w:name w:val="Revision"/>
    <w:hidden/>
    <w:uiPriority w:val="99"/>
    <w:semiHidden/>
    <w:rsid w:val="00FB03A8"/>
    <w:pPr>
      <w:spacing w:after="0" w:line="240" w:lineRule="auto"/>
    </w:pPr>
    <w:rPr>
      <w:rFonts w:ascii="Arial" w:eastAsia="Times New Roman" w:hAnsi="Arial"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6303EC"/>
    <w:rPr>
      <w:rFonts w:ascii="Arial" w:hAnsi="Arial"/>
      <w:b/>
      <w:bCs/>
    </w:rPr>
  </w:style>
  <w:style w:type="character" w:customStyle="1" w:styleId="AsuntodelcomentarioCar">
    <w:name w:val="Asunto del comentario Car"/>
    <w:basedOn w:val="TextocomentarioCar"/>
    <w:link w:val="Asuntodelcomentario"/>
    <w:uiPriority w:val="99"/>
    <w:semiHidden/>
    <w:rsid w:val="006303EC"/>
    <w:rPr>
      <w:rFonts w:ascii="Arial" w:eastAsia="Times New Roman" w:hAnsi="Arial" w:cs="Times New Roman"/>
      <w:b/>
      <w:bCs/>
      <w:sz w:val="20"/>
      <w:szCs w:val="20"/>
      <w:lang w:val="es-ES" w:eastAsia="es-ES"/>
    </w:rPr>
  </w:style>
  <w:style w:type="paragraph" w:styleId="Textoindependiente">
    <w:name w:val="Body Text"/>
    <w:basedOn w:val="Normal"/>
    <w:link w:val="TextoindependienteCar"/>
    <w:uiPriority w:val="1"/>
    <w:qFormat/>
    <w:rsid w:val="009065D8"/>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9065D8"/>
    <w:rPr>
      <w:rFonts w:ascii="Arial MT" w:eastAsia="Arial MT" w:hAnsi="Arial MT" w:cs="Arial MT"/>
      <w:lang w:val="es-ES"/>
    </w:rPr>
  </w:style>
  <w:style w:type="paragraph" w:customStyle="1" w:styleId="Char2">
    <w:name w:val="Char2"/>
    <w:basedOn w:val="Normal"/>
    <w:link w:val="Refdenotaalpie"/>
    <w:uiPriority w:val="99"/>
    <w:qFormat/>
    <w:rsid w:val="009065D8"/>
    <w:pPr>
      <w:spacing w:after="160" w:line="240" w:lineRule="exact"/>
    </w:pPr>
    <w:rPr>
      <w:rFonts w:asciiTheme="minorHAnsi" w:eastAsiaTheme="minorHAnsi" w:hAnsiTheme="minorHAnsi" w:cstheme="minorBidi"/>
      <w:sz w:val="22"/>
      <w:szCs w:val="22"/>
      <w:vertAlign w:val="superscript"/>
      <w:lang w:val="es-CO" w:eastAsia="en-US"/>
    </w:rPr>
  </w:style>
  <w:style w:type="character" w:styleId="Hipervnculo">
    <w:name w:val="Hyperlink"/>
    <w:basedOn w:val="Fuentedeprrafopredeter"/>
    <w:uiPriority w:val="99"/>
    <w:unhideWhenUsed/>
    <w:rsid w:val="000125BA"/>
    <w:rPr>
      <w:color w:val="0563C1" w:themeColor="hyperlink"/>
      <w:u w:val="single"/>
    </w:rPr>
  </w:style>
  <w:style w:type="character" w:styleId="Mencinsinresolver">
    <w:name w:val="Unresolved Mention"/>
    <w:basedOn w:val="Fuentedeprrafopredeter"/>
    <w:uiPriority w:val="99"/>
    <w:semiHidden/>
    <w:unhideWhenUsed/>
    <w:rsid w:val="000125BA"/>
    <w:rPr>
      <w:color w:val="605E5C"/>
      <w:shd w:val="clear" w:color="auto" w:fill="E1DFDD"/>
    </w:rPr>
  </w:style>
  <w:style w:type="table" w:styleId="Tablaconcuadrcula">
    <w:name w:val="Table Grid"/>
    <w:basedOn w:val="Tablanormal"/>
    <w:uiPriority w:val="39"/>
    <w:rsid w:val="007C09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6103">
      <w:bodyDiv w:val="1"/>
      <w:marLeft w:val="0"/>
      <w:marRight w:val="0"/>
      <w:marTop w:val="0"/>
      <w:marBottom w:val="0"/>
      <w:divBdr>
        <w:top w:val="none" w:sz="0" w:space="0" w:color="auto"/>
        <w:left w:val="none" w:sz="0" w:space="0" w:color="auto"/>
        <w:bottom w:val="none" w:sz="0" w:space="0" w:color="auto"/>
        <w:right w:val="none" w:sz="0" w:space="0" w:color="auto"/>
      </w:divBdr>
    </w:div>
    <w:div w:id="289022383">
      <w:bodyDiv w:val="1"/>
      <w:marLeft w:val="0"/>
      <w:marRight w:val="0"/>
      <w:marTop w:val="0"/>
      <w:marBottom w:val="0"/>
      <w:divBdr>
        <w:top w:val="none" w:sz="0" w:space="0" w:color="auto"/>
        <w:left w:val="none" w:sz="0" w:space="0" w:color="auto"/>
        <w:bottom w:val="none" w:sz="0" w:space="0" w:color="auto"/>
        <w:right w:val="none" w:sz="0" w:space="0" w:color="auto"/>
      </w:divBdr>
    </w:div>
    <w:div w:id="732627807">
      <w:bodyDiv w:val="1"/>
      <w:marLeft w:val="0"/>
      <w:marRight w:val="0"/>
      <w:marTop w:val="0"/>
      <w:marBottom w:val="0"/>
      <w:divBdr>
        <w:top w:val="none" w:sz="0" w:space="0" w:color="auto"/>
        <w:left w:val="none" w:sz="0" w:space="0" w:color="auto"/>
        <w:bottom w:val="none" w:sz="0" w:space="0" w:color="auto"/>
        <w:right w:val="none" w:sz="0" w:space="0" w:color="auto"/>
      </w:divBdr>
    </w:div>
    <w:div w:id="765230194">
      <w:bodyDiv w:val="1"/>
      <w:marLeft w:val="0"/>
      <w:marRight w:val="0"/>
      <w:marTop w:val="0"/>
      <w:marBottom w:val="0"/>
      <w:divBdr>
        <w:top w:val="none" w:sz="0" w:space="0" w:color="auto"/>
        <w:left w:val="none" w:sz="0" w:space="0" w:color="auto"/>
        <w:bottom w:val="none" w:sz="0" w:space="0" w:color="auto"/>
        <w:right w:val="none" w:sz="0" w:space="0" w:color="auto"/>
      </w:divBdr>
      <w:divsChild>
        <w:div w:id="1453667593">
          <w:marLeft w:val="0"/>
          <w:marRight w:val="0"/>
          <w:marTop w:val="0"/>
          <w:marBottom w:val="0"/>
          <w:divBdr>
            <w:top w:val="none" w:sz="0" w:space="0" w:color="auto"/>
            <w:left w:val="none" w:sz="0" w:space="0" w:color="auto"/>
            <w:bottom w:val="none" w:sz="0" w:space="0" w:color="auto"/>
            <w:right w:val="none" w:sz="0" w:space="0" w:color="auto"/>
          </w:divBdr>
          <w:divsChild>
            <w:div w:id="266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9425">
      <w:bodyDiv w:val="1"/>
      <w:marLeft w:val="0"/>
      <w:marRight w:val="0"/>
      <w:marTop w:val="0"/>
      <w:marBottom w:val="0"/>
      <w:divBdr>
        <w:top w:val="none" w:sz="0" w:space="0" w:color="auto"/>
        <w:left w:val="none" w:sz="0" w:space="0" w:color="auto"/>
        <w:bottom w:val="none" w:sz="0" w:space="0" w:color="auto"/>
        <w:right w:val="none" w:sz="0" w:space="0" w:color="auto"/>
      </w:divBdr>
    </w:div>
    <w:div w:id="907108574">
      <w:bodyDiv w:val="1"/>
      <w:marLeft w:val="0"/>
      <w:marRight w:val="0"/>
      <w:marTop w:val="0"/>
      <w:marBottom w:val="0"/>
      <w:divBdr>
        <w:top w:val="none" w:sz="0" w:space="0" w:color="auto"/>
        <w:left w:val="none" w:sz="0" w:space="0" w:color="auto"/>
        <w:bottom w:val="none" w:sz="0" w:space="0" w:color="auto"/>
        <w:right w:val="none" w:sz="0" w:space="0" w:color="auto"/>
      </w:divBdr>
    </w:div>
    <w:div w:id="924610268">
      <w:bodyDiv w:val="1"/>
      <w:marLeft w:val="0"/>
      <w:marRight w:val="0"/>
      <w:marTop w:val="0"/>
      <w:marBottom w:val="0"/>
      <w:divBdr>
        <w:top w:val="none" w:sz="0" w:space="0" w:color="auto"/>
        <w:left w:val="none" w:sz="0" w:space="0" w:color="auto"/>
        <w:bottom w:val="none" w:sz="0" w:space="0" w:color="auto"/>
        <w:right w:val="none" w:sz="0" w:space="0" w:color="auto"/>
      </w:divBdr>
    </w:div>
    <w:div w:id="940331375">
      <w:bodyDiv w:val="1"/>
      <w:marLeft w:val="0"/>
      <w:marRight w:val="0"/>
      <w:marTop w:val="0"/>
      <w:marBottom w:val="0"/>
      <w:divBdr>
        <w:top w:val="none" w:sz="0" w:space="0" w:color="auto"/>
        <w:left w:val="none" w:sz="0" w:space="0" w:color="auto"/>
        <w:bottom w:val="none" w:sz="0" w:space="0" w:color="auto"/>
        <w:right w:val="none" w:sz="0" w:space="0" w:color="auto"/>
      </w:divBdr>
    </w:div>
    <w:div w:id="1226330676">
      <w:bodyDiv w:val="1"/>
      <w:marLeft w:val="0"/>
      <w:marRight w:val="0"/>
      <w:marTop w:val="0"/>
      <w:marBottom w:val="0"/>
      <w:divBdr>
        <w:top w:val="none" w:sz="0" w:space="0" w:color="auto"/>
        <w:left w:val="none" w:sz="0" w:space="0" w:color="auto"/>
        <w:bottom w:val="none" w:sz="0" w:space="0" w:color="auto"/>
        <w:right w:val="none" w:sz="0" w:space="0" w:color="auto"/>
      </w:divBdr>
      <w:divsChild>
        <w:div w:id="30023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848254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254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807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6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559227">
      <w:bodyDiv w:val="1"/>
      <w:marLeft w:val="0"/>
      <w:marRight w:val="0"/>
      <w:marTop w:val="0"/>
      <w:marBottom w:val="0"/>
      <w:divBdr>
        <w:top w:val="none" w:sz="0" w:space="0" w:color="auto"/>
        <w:left w:val="none" w:sz="0" w:space="0" w:color="auto"/>
        <w:bottom w:val="none" w:sz="0" w:space="0" w:color="auto"/>
        <w:right w:val="none" w:sz="0" w:space="0" w:color="auto"/>
      </w:divBdr>
    </w:div>
    <w:div w:id="1487743669">
      <w:bodyDiv w:val="1"/>
      <w:marLeft w:val="0"/>
      <w:marRight w:val="0"/>
      <w:marTop w:val="0"/>
      <w:marBottom w:val="0"/>
      <w:divBdr>
        <w:top w:val="none" w:sz="0" w:space="0" w:color="auto"/>
        <w:left w:val="none" w:sz="0" w:space="0" w:color="auto"/>
        <w:bottom w:val="none" w:sz="0" w:space="0" w:color="auto"/>
        <w:right w:val="none" w:sz="0" w:space="0" w:color="auto"/>
      </w:divBdr>
    </w:div>
    <w:div w:id="1609896602">
      <w:bodyDiv w:val="1"/>
      <w:marLeft w:val="0"/>
      <w:marRight w:val="0"/>
      <w:marTop w:val="0"/>
      <w:marBottom w:val="0"/>
      <w:divBdr>
        <w:top w:val="none" w:sz="0" w:space="0" w:color="auto"/>
        <w:left w:val="none" w:sz="0" w:space="0" w:color="auto"/>
        <w:bottom w:val="none" w:sz="0" w:space="0" w:color="auto"/>
        <w:right w:val="none" w:sz="0" w:space="0" w:color="auto"/>
      </w:divBdr>
    </w:div>
    <w:div w:id="1675297785">
      <w:bodyDiv w:val="1"/>
      <w:marLeft w:val="0"/>
      <w:marRight w:val="0"/>
      <w:marTop w:val="0"/>
      <w:marBottom w:val="0"/>
      <w:divBdr>
        <w:top w:val="none" w:sz="0" w:space="0" w:color="auto"/>
        <w:left w:val="none" w:sz="0" w:space="0" w:color="auto"/>
        <w:bottom w:val="none" w:sz="0" w:space="0" w:color="auto"/>
        <w:right w:val="none" w:sz="0" w:space="0" w:color="auto"/>
      </w:divBdr>
      <w:divsChild>
        <w:div w:id="813915659">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6989">
      <w:bodyDiv w:val="1"/>
      <w:marLeft w:val="0"/>
      <w:marRight w:val="0"/>
      <w:marTop w:val="0"/>
      <w:marBottom w:val="0"/>
      <w:divBdr>
        <w:top w:val="none" w:sz="0" w:space="0" w:color="auto"/>
        <w:left w:val="none" w:sz="0" w:space="0" w:color="auto"/>
        <w:bottom w:val="none" w:sz="0" w:space="0" w:color="auto"/>
        <w:right w:val="none" w:sz="0" w:space="0" w:color="auto"/>
      </w:divBdr>
    </w:div>
    <w:div w:id="1811022659">
      <w:bodyDiv w:val="1"/>
      <w:marLeft w:val="0"/>
      <w:marRight w:val="0"/>
      <w:marTop w:val="0"/>
      <w:marBottom w:val="0"/>
      <w:divBdr>
        <w:top w:val="none" w:sz="0" w:space="0" w:color="auto"/>
        <w:left w:val="none" w:sz="0" w:space="0" w:color="auto"/>
        <w:bottom w:val="none" w:sz="0" w:space="0" w:color="auto"/>
        <w:right w:val="none" w:sz="0" w:space="0" w:color="auto"/>
      </w:divBdr>
    </w:div>
    <w:div w:id="1820802910">
      <w:bodyDiv w:val="1"/>
      <w:marLeft w:val="0"/>
      <w:marRight w:val="0"/>
      <w:marTop w:val="0"/>
      <w:marBottom w:val="0"/>
      <w:divBdr>
        <w:top w:val="none" w:sz="0" w:space="0" w:color="auto"/>
        <w:left w:val="none" w:sz="0" w:space="0" w:color="auto"/>
        <w:bottom w:val="none" w:sz="0" w:space="0" w:color="auto"/>
        <w:right w:val="none" w:sz="0" w:space="0" w:color="auto"/>
      </w:divBdr>
    </w:div>
    <w:div w:id="1922830559">
      <w:bodyDiv w:val="1"/>
      <w:marLeft w:val="0"/>
      <w:marRight w:val="0"/>
      <w:marTop w:val="0"/>
      <w:marBottom w:val="0"/>
      <w:divBdr>
        <w:top w:val="none" w:sz="0" w:space="0" w:color="auto"/>
        <w:left w:val="none" w:sz="0" w:space="0" w:color="auto"/>
        <w:bottom w:val="none" w:sz="0" w:space="0" w:color="auto"/>
        <w:right w:val="none" w:sz="0" w:space="0" w:color="auto"/>
      </w:divBdr>
      <w:divsChild>
        <w:div w:id="133661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61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01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361746">
          <w:blockQuote w:val="1"/>
          <w:marLeft w:val="720"/>
          <w:marRight w:val="720"/>
          <w:marTop w:val="100"/>
          <w:marBottom w:val="100"/>
          <w:divBdr>
            <w:top w:val="none" w:sz="0" w:space="0" w:color="auto"/>
            <w:left w:val="none" w:sz="0" w:space="0" w:color="auto"/>
            <w:bottom w:val="none" w:sz="0" w:space="0" w:color="auto"/>
            <w:right w:val="none" w:sz="0" w:space="0" w:color="auto"/>
          </w:divBdr>
        </w:div>
        <w:div w:id="864901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075435">
      <w:bodyDiv w:val="1"/>
      <w:marLeft w:val="0"/>
      <w:marRight w:val="0"/>
      <w:marTop w:val="0"/>
      <w:marBottom w:val="0"/>
      <w:divBdr>
        <w:top w:val="none" w:sz="0" w:space="0" w:color="auto"/>
        <w:left w:val="none" w:sz="0" w:space="0" w:color="auto"/>
        <w:bottom w:val="none" w:sz="0" w:space="0" w:color="auto"/>
        <w:right w:val="none" w:sz="0" w:space="0" w:color="auto"/>
      </w:divBdr>
    </w:div>
    <w:div w:id="21409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funcionpublica.gov.co/eva/gestornormativo/norma.php?i=73593"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C9CCF68D606B14AA3AE92C817552752" ma:contentTypeVersion="1" ma:contentTypeDescription="Crear nuevo documento." ma:contentTypeScope="" ma:versionID="a872cb24a3e7180926639edde9fea1ea">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B6A94F-6210-4445-AA89-45EEAFA1E2D0}">
  <ds:schemaRefs>
    <ds:schemaRef ds:uri="http://schemas.openxmlformats.org/officeDocument/2006/bibliography"/>
  </ds:schemaRefs>
</ds:datastoreItem>
</file>

<file path=customXml/itemProps2.xml><?xml version="1.0" encoding="utf-8"?>
<ds:datastoreItem xmlns:ds="http://schemas.openxmlformats.org/officeDocument/2006/customXml" ds:itemID="{650BC5C5-34C8-4B10-A2AF-17BE4ED9F899}">
  <ds:schemaRefs>
    <ds:schemaRef ds:uri="http://schemas.microsoft.com/office/2006/metadata/properties"/>
    <ds:schemaRef ds:uri="http://schemas.microsoft.com/office/infopath/2007/PartnerControls"/>
    <ds:schemaRef ds:uri="752c9166-85b5-40e8-abe6-9b205b19dfaa"/>
    <ds:schemaRef ds:uri="c50b2db6-31bc-4249-8e7b-860ea918ba70"/>
  </ds:schemaRefs>
</ds:datastoreItem>
</file>

<file path=customXml/itemProps3.xml><?xml version="1.0" encoding="utf-8"?>
<ds:datastoreItem xmlns:ds="http://schemas.openxmlformats.org/officeDocument/2006/customXml" ds:itemID="{5F882897-3595-485F-9912-C066638E256C}">
  <ds:schemaRefs>
    <ds:schemaRef ds:uri="http://schemas.microsoft.com/sharepoint/v3/contenttype/forms"/>
  </ds:schemaRefs>
</ds:datastoreItem>
</file>

<file path=customXml/itemProps4.xml><?xml version="1.0" encoding="utf-8"?>
<ds:datastoreItem xmlns:ds="http://schemas.openxmlformats.org/officeDocument/2006/customXml" ds:itemID="{9D95089D-746A-4C5D-A9A5-EC108CEDC596}"/>
</file>

<file path=customXml/itemProps5.xml><?xml version="1.0" encoding="utf-8"?>
<ds:datastoreItem xmlns:ds="http://schemas.openxmlformats.org/officeDocument/2006/customXml" ds:itemID="{BC142F6A-8FE1-423A-86B0-479FB4918C28}"/>
</file>

<file path=docProps/app.xml><?xml version="1.0" encoding="utf-8"?>
<Properties xmlns="http://schemas.openxmlformats.org/officeDocument/2006/extended-properties" xmlns:vt="http://schemas.openxmlformats.org/officeDocument/2006/docPropsVTypes">
  <Template>Normal</Template>
  <TotalTime>10</TotalTime>
  <Pages>1</Pages>
  <Words>2173</Words>
  <Characters>11784</Characters>
  <Application>Microsoft Office Word</Application>
  <DocSecurity>0</DocSecurity>
  <Lines>250</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ISABEL BAZAN ALDANA</dc:creator>
  <cp:keywords/>
  <dc:description/>
  <cp:lastModifiedBy>Denisse Gisella Rivera Sarmiento</cp:lastModifiedBy>
  <cp:revision>7</cp:revision>
  <dcterms:created xsi:type="dcterms:W3CDTF">2026-02-19T20:38:00Z</dcterms:created>
  <dcterms:modified xsi:type="dcterms:W3CDTF">2026-02-19T20:51:00Z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0x010100CC9CCF68D606B14AA3AE92C817552752</vt:lpwstr>
  </property>
  <property fmtid="{D5CDD505-2E9C-101B-9397-08002B2CF9AE}" pid="3" name="MediaServiceImageTags">
    <vt:lpwstr/>
  </property>
</Properties>
</file>